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82B3D"/>
          <w:sz w:val="64"/>
        </w:rPr>
        <w:t>EDAPT v2</w:t>
      </w:r>
    </w:p>
    <w:p>
      <w:pPr>
        <w:spacing w:after="40"/>
      </w:pPr>
      <w:r>
        <w:rPr>
          <w:i w:val="0"/>
          <w:color w:val="2E6E8E"/>
          <w:sz w:val="30"/>
        </w:rPr>
        <w:t>Capstone Phase II — Presenter Scripts</w:t>
      </w:r>
    </w:p>
    <w:p>
      <w:pPr>
        <w:spacing w:after="280"/>
      </w:pPr>
      <w:r>
        <w:rPr>
          <w:i/>
          <w:color w:val="555F6B"/>
          <w:sz w:val="24"/>
        </w:rPr>
        <w:t>A spoken-word script for each of the six presenters, matched to the current 29-slide deck.</w:t>
      </w:r>
    </w:p>
    <w:p>
      <w:pPr>
        <w:spacing w:after="120"/>
      </w:pPr>
      <w:r>
        <w:rPr>
          <w:b/>
          <w:color w:val="182B3D"/>
          <w:sz w:val="32"/>
        </w:rPr>
        <w:t>Running order &amp; hand-offs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t>Slides</w:t>
            </w:r>
          </w:p>
        </w:tc>
        <w:tc>
          <w:tcPr>
            <w:tcW w:type="dxa" w:w="3216"/>
          </w:tcPr>
          <w:p>
            <w:r>
              <w:t>Section</w:t>
            </w:r>
          </w:p>
        </w:tc>
        <w:tc>
          <w:tcPr>
            <w:tcW w:type="dxa" w:w="3216"/>
          </w:tcPr>
          <w:p>
            <w:r>
              <w:t>Presenter</w:t>
            </w:r>
          </w:p>
        </w:tc>
      </w:tr>
      <w:tr>
        <w:tc>
          <w:tcPr>
            <w:tcW w:type="dxa" w:w="3216"/>
          </w:tcPr>
          <w:p>
            <w:r>
              <w:t>1</w:t>
            </w:r>
          </w:p>
        </w:tc>
        <w:tc>
          <w:tcPr>
            <w:tcW w:type="dxa" w:w="3216"/>
          </w:tcPr>
          <w:p>
            <w:r>
              <w:t>Title</w:t>
            </w:r>
          </w:p>
        </w:tc>
        <w:tc>
          <w:tcPr>
            <w:tcW w:type="dxa" w:w="3216"/>
          </w:tcPr>
          <w:p>
            <w:r>
              <w:t>Whoever opens</w:t>
            </w:r>
          </w:p>
        </w:tc>
      </w:tr>
      <w:tr>
        <w:tc>
          <w:tcPr>
            <w:tcW w:type="dxa" w:w="3216"/>
          </w:tcPr>
          <w:p>
            <w:r>
              <w:t>2–4</w:t>
            </w:r>
          </w:p>
        </w:tc>
        <w:tc>
          <w:tcPr>
            <w:tcW w:type="dxa" w:w="3216"/>
          </w:tcPr>
          <w:p>
            <w:r>
              <w:t>Agenda, Problem, Aim</w:t>
            </w:r>
          </w:p>
        </w:tc>
        <w:tc>
          <w:tcPr>
            <w:tcW w:type="dxa" w:w="3216"/>
          </w:tcPr>
          <w:p>
            <w:r>
              <w:t>Nitesh Bhatta</w:t>
            </w:r>
          </w:p>
        </w:tc>
      </w:tr>
      <w:tr>
        <w:tc>
          <w:tcPr>
            <w:tcW w:type="dxa" w:w="3216"/>
          </w:tcPr>
          <w:p>
            <w:r>
              <w:t>5–7</w:t>
            </w:r>
          </w:p>
        </w:tc>
        <w:tc>
          <w:tcPr>
            <w:tcW w:type="dxa" w:w="3216"/>
          </w:tcPr>
          <w:p>
            <w:r>
              <w:t>Stakeholders, Functional &amp; Non-Functional Requirements</w:t>
            </w:r>
          </w:p>
        </w:tc>
        <w:tc>
          <w:tcPr>
            <w:tcW w:type="dxa" w:w="3216"/>
          </w:tcPr>
          <w:p>
            <w:r>
              <w:t>Gyani Bohara</w:t>
            </w:r>
          </w:p>
        </w:tc>
      </w:tr>
      <w:tr>
        <w:tc>
          <w:tcPr>
            <w:tcW w:type="dxa" w:w="3216"/>
          </w:tcPr>
          <w:p>
            <w:r>
              <w:t>8–12</w:t>
            </w:r>
          </w:p>
        </w:tc>
        <w:tc>
          <w:tcPr>
            <w:tcW w:type="dxa" w:w="3216"/>
          </w:tcPr>
          <w:p>
            <w:r>
              <w:t>Architecture, Tech Stack, Timeline, System Design, Database ERD</w:t>
            </w:r>
          </w:p>
        </w:tc>
        <w:tc>
          <w:tcPr>
            <w:tcW w:type="dxa" w:w="3216"/>
          </w:tcPr>
          <w:p>
            <w:r>
              <w:t>Griffins Leshan</w:t>
            </w:r>
          </w:p>
        </w:tc>
      </w:tr>
      <w:tr>
        <w:tc>
          <w:tcPr>
            <w:tcW w:type="dxa" w:w="3216"/>
          </w:tcPr>
          <w:p>
            <w:r>
              <w:t>13–16</w:t>
            </w:r>
          </w:p>
        </w:tc>
        <w:tc>
          <w:tcPr>
            <w:tcW w:type="dxa" w:w="3216"/>
          </w:tcPr>
          <w:p>
            <w:r>
              <w:t>The two models, ML pipeline, prediction sequence, model performance</w:t>
            </w:r>
          </w:p>
        </w:tc>
        <w:tc>
          <w:tcPr>
            <w:tcW w:type="dxa" w:w="3216"/>
          </w:tcPr>
          <w:p>
            <w:r>
              <w:t>Sangam Ghale Gurung</w:t>
            </w:r>
          </w:p>
        </w:tc>
      </w:tr>
      <w:tr>
        <w:tc>
          <w:tcPr>
            <w:tcW w:type="dxa" w:w="3216"/>
          </w:tcPr>
          <w:p>
            <w:r>
              <w:t>17–20</w:t>
            </w:r>
          </w:p>
        </w:tc>
        <w:tc>
          <w:tcPr>
            <w:tcW w:type="dxa" w:w="3216"/>
          </w:tcPr>
          <w:p>
            <w:r>
              <w:t>Integrations &amp; API, AI assistant sequence, email workflow, deployment</w:t>
            </w:r>
          </w:p>
        </w:tc>
        <w:tc>
          <w:tcPr>
            <w:tcW w:type="dxa" w:w="3216"/>
          </w:tcPr>
          <w:p>
            <w:r>
              <w:t>Nitesh Bhatta (again)</w:t>
            </w:r>
          </w:p>
        </w:tc>
      </w:tr>
      <w:tr>
        <w:tc>
          <w:tcPr>
            <w:tcW w:type="dxa" w:w="3216"/>
          </w:tcPr>
          <w:p>
            <w:r>
              <w:t>21–23</w:t>
            </w:r>
          </w:p>
        </w:tc>
        <w:tc>
          <w:tcPr>
            <w:tcW w:type="dxa" w:w="3216"/>
          </w:tcPr>
          <w:p>
            <w:r>
              <w:t>UI/UX wireframes and the finished product walkthrough</w:t>
            </w:r>
          </w:p>
        </w:tc>
        <w:tc>
          <w:tcPr>
            <w:tcW w:type="dxa" w:w="3216"/>
          </w:tcPr>
          <w:p>
            <w:r>
              <w:t>Koshish Shrestha</w:t>
            </w:r>
          </w:p>
        </w:tc>
      </w:tr>
      <w:tr>
        <w:tc>
          <w:tcPr>
            <w:tcW w:type="dxa" w:w="3216"/>
          </w:tcPr>
          <w:p>
            <w:r>
              <w:t>24–27</w:t>
            </w:r>
          </w:p>
        </w:tc>
        <w:tc>
          <w:tcPr>
            <w:tcW w:type="dxa" w:w="3216"/>
          </w:tcPr>
          <w:p>
            <w:r>
              <w:t>Evaluation strategy, key defects, privacy, benefits &amp; next</w:t>
            </w:r>
          </w:p>
        </w:tc>
        <w:tc>
          <w:tcPr>
            <w:tcW w:type="dxa" w:w="3216"/>
          </w:tcPr>
          <w:p>
            <w:r>
              <w:t>Preety Khatri</w:t>
            </w:r>
          </w:p>
        </w:tc>
      </w:tr>
      <w:tr>
        <w:tc>
          <w:tcPr>
            <w:tcW w:type="dxa" w:w="3216"/>
          </w:tcPr>
          <w:p>
            <w:r>
              <w:t>28–29</w:t>
            </w:r>
          </w:p>
        </w:tc>
        <w:tc>
          <w:tcPr>
            <w:tcW w:type="dxa" w:w="3216"/>
          </w:tcPr>
          <w:p>
            <w:r>
              <w:t>Live demo, thank you</w:t>
            </w:r>
          </w:p>
        </w:tc>
        <w:tc>
          <w:tcPr>
            <w:tcW w:type="dxa" w:w="3216"/>
          </w:tcPr>
          <w:p>
            <w:r>
              <w:t>Not yet assigned — see note below</w:t>
            </w:r>
          </w:p>
        </w:tc>
      </w:tr>
    </w:tbl>
    <w:p/>
    <w:p>
      <w:r>
        <w:rPr>
          <w:i/>
          <w:color w:val="2E6E8E"/>
          <w:sz w:val="21"/>
        </w:rPr>
        <w:t>Note: slides 28 (live demo) and 29 (thank you) don't carry a “Presenter:” tag in the current file, and the title slide spells the name “Preeti Khatri” while the slide labels say “Preety Khatri” — worth agreeing on one spelling before printing this. Scripts for slides 28–29 are included at the end so they're ready whoever ends up presenting them.</w:t>
      </w:r>
    </w:p>
    <w:p>
      <w:pPr>
        <w:spacing w:after="0"/>
      </w:pPr>
      <w:r>
        <w:rPr>
          <w:i w:val="0"/>
          <w:color w:val="555F6B"/>
          <w:sz w:val="24"/>
        </w:rPr>
        <w:t>Each section below is self-contained — print just your pages and rehearse from them. The text is written to be SAID, not read word-for-word: make it yours.</w:t>
      </w:r>
    </w:p>
    <w:p>
      <w:r>
        <w:br w:type="page"/>
      </w:r>
    </w:p>
    <w:p>
      <w:pPr>
        <w:spacing w:before="0" w:after="40"/>
      </w:pPr>
      <w:r>
        <w:rPr>
          <w:b/>
          <w:color w:val="8B95A1"/>
          <w:sz w:val="20"/>
        </w:rPr>
        <w:t>PRESENTER</w:t>
      </w:r>
    </w:p>
    <w:p>
      <w:pPr>
        <w:spacing w:after="40"/>
      </w:pPr>
      <w:r>
        <w:rPr>
          <w:b/>
          <w:color w:val="182B3D"/>
          <w:sz w:val="48"/>
        </w:rPr>
        <w:t>Nitesh Bhatta</w:t>
      </w:r>
    </w:p>
    <w:p>
      <w:pPr>
        <w:spacing w:after="360"/>
      </w:pPr>
      <w:r>
        <w:rPr>
          <w:color w:val="2E6E8E"/>
          <w:sz w:val="22"/>
        </w:rPr>
        <w:t>Slides 2–4 (and 17–20 later in the deck)</w:t>
      </w:r>
    </w:p>
    <w:p>
      <w:pPr>
        <w:pBdr>
          <w:bottom w:val="single" w:sz="8" w:space="1" w:color="182B3D"/>
        </w:pBdr>
        <w:spacing w:after="320"/>
      </w:pPr>
    </w:p>
    <w:p>
      <w:pPr>
        <w:spacing w:before="280" w:after="80"/>
      </w:pPr>
      <w:r>
        <w:rPr>
          <w:b/>
          <w:color w:val="182B3D"/>
          <w:sz w:val="27"/>
        </w:rPr>
        <w:t xml:space="preserve">Slide 1 — Title </w:t>
      </w:r>
    </w:p>
    <w:p>
      <w:pPr>
        <w:spacing w:after="80"/>
      </w:pPr>
      <w:r>
        <w:rPr>
          <w:i/>
          <w:color w:val="2E6E8E"/>
          <w:sz w:val="20"/>
        </w:rPr>
        <w:t>Whoever is opening the presentation reads this — adjust the greeting to your actual time of day.</w:t>
      </w:r>
    </w:p>
    <w:p>
      <w:pPr>
        <w:spacing w:after="160" w:line="300" w:lineRule="auto"/>
      </w:pPr>
      <w:r>
        <w:rPr>
          <w:sz w:val="23"/>
        </w:rPr>
        <w:t>Good morning/afternoon, everyone. We're Team EDAPT, and this is EDAPT v2 — the Educational Data Analytics and Predictive Tool we built for King's Own Institute for Phase II of this capstone.</w:t>
      </w:r>
    </w:p>
    <w:p>
      <w:pPr>
        <w:spacing w:after="160" w:line="300" w:lineRule="auto"/>
      </w:pPr>
      <w:r>
        <w:rPr>
          <w:sz w:val="23"/>
        </w:rPr>
        <w:t>In one sentence: EDAPT v2 takes disconnected CSV extracts — assessment marks, attendance records — and turns them into early, explainable warnings about which students are at risk, long before a bad grade makes it obvious.</w:t>
      </w:r>
    </w:p>
    <w:p>
      <w:pPr>
        <w:spacing w:after="160" w:line="300" w:lineRule="auto"/>
      </w:pPr>
      <w:r>
        <w:rPr>
          <w:sz w:val="23"/>
        </w:rPr>
        <w:t>Over the next few minutes, the six of us will walk you through how we built it, how we tested it, and what we actually found — including a couple of things that didn't go perfectly, because we think that's more useful to you than a polished story.</w:t>
      </w:r>
    </w:p>
    <w:p>
      <w:pPr>
        <w:spacing w:before="280" w:after="80"/>
      </w:pPr>
      <w:r>
        <w:rPr>
          <w:b/>
          <w:color w:val="182B3D"/>
          <w:sz w:val="27"/>
        </w:rPr>
        <w:t xml:space="preserve">Slide 2 — Agenda </w:t>
      </w:r>
      <w:r>
        <w:rPr>
          <w:i/>
          <w:color w:val="8B95A1"/>
          <w:sz w:val="21"/>
        </w:rPr>
        <w:t>(Overview)</w:t>
      </w:r>
    </w:p>
    <w:p>
      <w:pPr>
        <w:spacing w:after="160" w:line="300" w:lineRule="auto"/>
      </w:pPr>
      <w:r>
        <w:rPr>
          <w:sz w:val="23"/>
        </w:rPr>
        <w:t>Here's the running order. We'll start with the foundations — the problem we set out to solve, who EDAPT is built for, and what it's actually required to do.</w:t>
      </w:r>
    </w:p>
    <w:p>
      <w:pPr>
        <w:spacing w:after="160" w:line="300" w:lineRule="auto"/>
      </w:pPr>
      <w:r>
        <w:rPr>
          <w:sz w:val="23"/>
        </w:rPr>
        <w:t>Then we move into the architecture, the two predictive models, and how the whole system talks to the outside world.</w:t>
      </w:r>
    </w:p>
    <w:p>
      <w:pPr>
        <w:spacing w:after="160" w:line="300" w:lineRule="auto"/>
      </w:pPr>
      <w:r>
        <w:rPr>
          <w:sz w:val="23"/>
        </w:rPr>
        <w:t>After that, the part we're proudest of: how we tested it, and what we actually found — including the mistakes. We'll close with the ethical and security side, the benefits to KOI, and a live walkthrough of the platform itself.</w:t>
      </w:r>
    </w:p>
    <w:p>
      <w:pPr>
        <w:spacing w:before="280" w:after="80"/>
      </w:pPr>
      <w:r>
        <w:rPr>
          <w:b/>
          <w:color w:val="182B3D"/>
          <w:sz w:val="27"/>
        </w:rPr>
        <w:t xml:space="preserve">Slide 3 — Problem Statement </w:t>
      </w:r>
      <w:r>
        <w:rPr>
          <w:i/>
          <w:color w:val="8B95A1"/>
          <w:sz w:val="21"/>
        </w:rPr>
        <w:t>(§1.3)</w:t>
      </w:r>
    </w:p>
    <w:p>
      <w:pPr>
        <w:spacing w:after="160" w:line="300" w:lineRule="auto"/>
      </w:pPr>
      <w:r>
        <w:rPr>
          <w:sz w:val="23"/>
        </w:rPr>
        <w:t>Before EDAPT, academic risk at KOI was found by accident, not by design. Assessment and attendance data sat in CSV dumps too large for anyone to comb through by hand, so a struggling student was only flagged once a staff member happened to notice — often too late to act.</w:t>
      </w:r>
    </w:p>
    <w:p>
      <w:pPr>
        <w:spacing w:after="160" w:line="300" w:lineRule="auto"/>
      </w:pPr>
      <w:r>
        <w:rPr>
          <w:sz w:val="23"/>
        </w:rPr>
        <w:t>There was no standard way to compare subjects, cohorts or terms, manual aggregation carried a real risk of human error, and critically, nothing predicted an outcome before it had already happened.</w:t>
      </w:r>
    </w:p>
    <w:p>
      <w:pPr>
        <w:spacing w:after="160" w:line="300" w:lineRule="auto"/>
      </w:pPr>
      <w:r>
        <w:rPr>
          <w:sz w:val="23"/>
        </w:rPr>
        <w:t>And even when risk WAS noticed, there was no formal channel to log that an intervention had actually taken place.</w:t>
      </w:r>
    </w:p>
    <w:p>
      <w:pPr>
        <w:spacing w:before="280" w:after="80"/>
      </w:pPr>
      <w:r>
        <w:rPr>
          <w:b/>
          <w:color w:val="182B3D"/>
          <w:sz w:val="27"/>
        </w:rPr>
        <w:t xml:space="preserve">Slide 4 — The Aim </w:t>
      </w:r>
      <w:r>
        <w:rPr>
          <w:i/>
          <w:color w:val="8B95A1"/>
          <w:sz w:val="21"/>
        </w:rPr>
        <w:t>(§1.4)</w:t>
      </w:r>
    </w:p>
    <w:p>
      <w:pPr>
        <w:spacing w:after="160" w:line="300" w:lineRule="auto"/>
      </w:pPr>
      <w:r>
        <w:rPr>
          <w:sz w:val="23"/>
        </w:rPr>
        <w:t>So our aim was simple to say and hard to do: build a system KOI can actually trust to say WHY a student is at risk — not just hand over a number.</w:t>
      </w:r>
    </w:p>
    <w:p>
      <w:pPr>
        <w:spacing w:after="160" w:line="300" w:lineRule="auto"/>
      </w:pPr>
      <w:r>
        <w:rPr>
          <w:sz w:val="23"/>
        </w:rPr>
        <w:t>That meant combining descriptive and predictive analytics, but holding ourselves to a standard that's both technically and ethically defensible. We didn't want to ship a black box, and we didn't want to hide behind one flattering accuracy figure — you'll see exactly what we mean by that later on.</w:t>
      </w:r>
    </w:p>
    <w:p>
      <w:pPr>
        <w:spacing w:after="0"/>
      </w:pPr>
      <w:r>
        <w:rPr>
          <w:i/>
          <w:color w:val="555F6B"/>
          <w:sz w:val="24"/>
        </w:rPr>
        <w:t>— hand off to Gyani Bohara —</w:t>
      </w:r>
    </w:p>
    <w:p>
      <w:r>
        <w:br w:type="page"/>
      </w:r>
    </w:p>
    <w:p>
      <w:pPr>
        <w:spacing w:before="0" w:after="40"/>
      </w:pPr>
      <w:r>
        <w:rPr>
          <w:b/>
          <w:color w:val="8B95A1"/>
          <w:sz w:val="20"/>
        </w:rPr>
        <w:t>PRESENTER</w:t>
      </w:r>
    </w:p>
    <w:p>
      <w:pPr>
        <w:spacing w:after="40"/>
      </w:pPr>
      <w:r>
        <w:rPr>
          <w:b/>
          <w:color w:val="182B3D"/>
          <w:sz w:val="48"/>
        </w:rPr>
        <w:t>Gyani Bohara</w:t>
      </w:r>
    </w:p>
    <w:p>
      <w:pPr>
        <w:spacing w:after="360"/>
      </w:pPr>
      <w:r>
        <w:rPr>
          <w:color w:val="2E6E8E"/>
          <w:sz w:val="22"/>
        </w:rPr>
        <w:t>Slides 5–7</w:t>
      </w:r>
    </w:p>
    <w:p>
      <w:pPr>
        <w:pBdr>
          <w:bottom w:val="single" w:sz="8" w:space="1" w:color="182B3D"/>
        </w:pBdr>
        <w:spacing w:after="320"/>
      </w:pPr>
    </w:p>
    <w:p>
      <w:pPr>
        <w:spacing w:before="280" w:after="80"/>
      </w:pPr>
      <w:r>
        <w:rPr>
          <w:b/>
          <w:color w:val="182B3D"/>
          <w:sz w:val="27"/>
        </w:rPr>
        <w:t xml:space="preserve">Slide 5 — Stakeholders </w:t>
      </w:r>
      <w:r>
        <w:rPr>
          <w:i/>
          <w:color w:val="8B95A1"/>
          <w:sz w:val="21"/>
        </w:rPr>
        <w:t>(§1.6)</w:t>
      </w:r>
    </w:p>
    <w:p>
      <w:pPr>
        <w:spacing w:after="160" w:line="300" w:lineRule="auto"/>
      </w:pPr>
      <w:r>
        <w:rPr>
          <w:sz w:val="23"/>
        </w:rPr>
        <w:t>EDAPT is built around three roles, each with a different scope of data. A Lecturer sees dashboards, predictions and at-risk students only for the subjects they actually teach — that's subject-scoped.</w:t>
      </w:r>
    </w:p>
    <w:p>
      <w:pPr>
        <w:spacing w:after="160" w:line="300" w:lineRule="auto"/>
      </w:pPr>
      <w:r>
        <w:rPr>
          <w:sz w:val="23"/>
        </w:rPr>
        <w:t>A Head of School gets institution-wide academic analytics, plus shared admin over things like data ingestion, model health, and AI configuration. And a Head of Technology has full admin — everything the Head of School has, plus the audit log, user management, and the API console.</w:t>
      </w:r>
    </w:p>
    <w:p>
      <w:pPr>
        <w:spacing w:after="160" w:line="300" w:lineRule="auto"/>
      </w:pPr>
      <w:r>
        <w:rPr>
          <w:sz w:val="23"/>
        </w:rPr>
        <w:t>This scoping isn't just a UI convenience — it's enforced at the access-control layer, which we'll come back to under security.</w:t>
      </w:r>
    </w:p>
    <w:p>
      <w:pPr>
        <w:spacing w:before="280" w:after="80"/>
      </w:pPr>
      <w:r>
        <w:rPr>
          <w:b/>
          <w:color w:val="182B3D"/>
          <w:sz w:val="27"/>
        </w:rPr>
        <w:t xml:space="preserve">Slide 6 — Functional Requirements </w:t>
      </w:r>
      <w:r>
        <w:rPr>
          <w:i/>
          <w:color w:val="8B95A1"/>
          <w:sz w:val="21"/>
        </w:rPr>
        <w:t>(§2.1)</w:t>
      </w:r>
    </w:p>
    <w:p>
      <w:pPr>
        <w:spacing w:after="160" w:line="300" w:lineRule="auto"/>
      </w:pPr>
      <w:r>
        <w:rPr>
          <w:sz w:val="23"/>
        </w:rPr>
        <w:t>From that, we defined nine core functional requirements. Authentication and role-based access control at every endpoint. Data ingestion that validates the structure of an institutional CSV as it comes in. Descriptive analytics, and predictive analytics that return a pass-probability for a real student and subject.</w:t>
      </w:r>
    </w:p>
    <w:p>
      <w:pPr>
        <w:spacing w:after="160" w:line="300" w:lineRule="auto"/>
      </w:pPr>
      <w:r>
        <w:rPr>
          <w:sz w:val="23"/>
        </w:rPr>
        <w:t>Model governance — every trained model is kept on record, and nothing reaches production without a human authorising the promotion. Intervention tracking, so a lecturer can log that they actually acted on a flagged student.</w:t>
      </w:r>
    </w:p>
    <w:p>
      <w:pPr>
        <w:spacing w:after="160" w:line="300" w:lineRule="auto"/>
      </w:pPr>
      <w:r>
        <w:rPr>
          <w:sz w:val="23"/>
        </w:rPr>
        <w:t>AI-assisted functionality that can switch between Gemini, Anthropic or OpenAI at runtime. Outgoing communication through SMTP with encrypted credentials. And auditability — a permanent trail of key admin activity.</w:t>
      </w:r>
    </w:p>
    <w:p>
      <w:pPr>
        <w:spacing w:before="280" w:after="80"/>
      </w:pPr>
      <w:r>
        <w:rPr>
          <w:b/>
          <w:color w:val="182B3D"/>
          <w:sz w:val="27"/>
        </w:rPr>
        <w:t xml:space="preserve">Slide 7 — Non-Functional Requirements </w:t>
      </w:r>
      <w:r>
        <w:rPr>
          <w:i/>
          <w:color w:val="8B95A1"/>
          <w:sz w:val="21"/>
        </w:rPr>
        <w:t>(§2.2)</w:t>
      </w:r>
    </w:p>
    <w:p>
      <w:pPr>
        <w:spacing w:after="160" w:line="300" w:lineRule="auto"/>
      </w:pPr>
      <w:r>
        <w:rPr>
          <w:sz w:val="23"/>
        </w:rPr>
        <w:t>And ten non-functional requirements set the bar for HOW it behaves, not just what it does. A few worth calling out.</w:t>
      </w:r>
    </w:p>
    <w:p>
      <w:pPr>
        <w:spacing w:after="160" w:line="300" w:lineRule="auto"/>
      </w:pPr>
      <w:r>
        <w:rPr>
          <w:sz w:val="23"/>
        </w:rPr>
        <w:t>For model performance, we deliberately didn't chase accuracy — fail-class precision and recall were the real criteria, accuracy was only ever a sanity check. For reliability, the system has to fail gracefully on missing data rather than confidently giving a wrong answer.</w:t>
      </w:r>
    </w:p>
    <w:p>
      <w:pPr>
        <w:spacing w:after="160" w:line="300" w:lineRule="auto"/>
      </w:pPr>
      <w:r>
        <w:rPr>
          <w:sz w:val="23"/>
        </w:rPr>
        <w:t>For privacy, masked identifiers throughout, with no claim of full anonymisation we can't actually prove. And for portability, the whole thing has to be deployable from source with Docker Compose, in both dev and production configurations.</w:t>
      </w:r>
    </w:p>
    <w:p>
      <w:pPr>
        <w:spacing w:after="0"/>
      </w:pPr>
      <w:r>
        <w:rPr>
          <w:i/>
          <w:color w:val="555F6B"/>
          <w:sz w:val="24"/>
        </w:rPr>
        <w:t>— hand off to Griffins Leshan —</w:t>
      </w:r>
    </w:p>
    <w:p>
      <w:r>
        <w:br w:type="page"/>
      </w:r>
    </w:p>
    <w:p>
      <w:pPr>
        <w:spacing w:before="0" w:after="40"/>
      </w:pPr>
      <w:r>
        <w:rPr>
          <w:b/>
          <w:color w:val="8B95A1"/>
          <w:sz w:val="20"/>
        </w:rPr>
        <w:t>PRESENTER</w:t>
      </w:r>
    </w:p>
    <w:p>
      <w:pPr>
        <w:spacing w:after="40"/>
      </w:pPr>
      <w:r>
        <w:rPr>
          <w:b/>
          <w:color w:val="182B3D"/>
          <w:sz w:val="48"/>
        </w:rPr>
        <w:t>Griffins Leshan</w:t>
      </w:r>
    </w:p>
    <w:p>
      <w:pPr>
        <w:spacing w:after="360"/>
      </w:pPr>
      <w:r>
        <w:rPr>
          <w:color w:val="2E6E8E"/>
          <w:sz w:val="22"/>
        </w:rPr>
        <w:t>Slides 8–12</w:t>
      </w:r>
    </w:p>
    <w:p>
      <w:pPr>
        <w:pBdr>
          <w:bottom w:val="single" w:sz="8" w:space="1" w:color="182B3D"/>
        </w:pBdr>
        <w:spacing w:after="320"/>
      </w:pPr>
    </w:p>
    <w:p>
      <w:pPr>
        <w:spacing w:before="280" w:after="80"/>
      </w:pPr>
      <w:r>
        <w:rPr>
          <w:b/>
          <w:color w:val="182B3D"/>
          <w:sz w:val="27"/>
        </w:rPr>
        <w:t xml:space="preserve">Slide 8 — System Architecture </w:t>
      </w:r>
      <w:r>
        <w:rPr>
          <w:i/>
          <w:color w:val="8B95A1"/>
          <w:sz w:val="21"/>
        </w:rPr>
        <w:t>(§3)</w:t>
      </w:r>
    </w:p>
    <w:p>
      <w:pPr>
        <w:spacing w:after="160" w:line="300" w:lineRule="auto"/>
      </w:pPr>
      <w:r>
        <w:rPr>
          <w:sz w:val="23"/>
        </w:rPr>
        <w:t>Architecturally, EDAPT is three layers, and each one is replaceable on its own.</w:t>
      </w:r>
    </w:p>
    <w:p>
      <w:pPr>
        <w:spacing w:after="160" w:line="300" w:lineRule="auto"/>
      </w:pPr>
      <w:r>
        <w:rPr>
          <w:sz w:val="23"/>
        </w:rPr>
        <w:t>Presentation is a role-scoped React 18 single-page app using Recharts — but its navigation guards are a UX convenience, never the actual security boundary. Application is FastAPI behind Gunicorn, and it owns everything: authentication, business logic, the ML pipeline, every external-service call. Data is PostgreSQL 16 for anything relational, with Pandas handling academic data in-memory for speed.</w:t>
      </w:r>
    </w:p>
    <w:p>
      <w:pPr>
        <w:spacing w:after="160" w:line="300" w:lineRule="auto"/>
      </w:pPr>
      <w:r>
        <w:rPr>
          <w:sz w:val="23"/>
        </w:rPr>
        <w:t>We actually proved this separation works in practice: the AI provider layer went from one hardcoded integration to a fully runtime-configurable one, with zero changes needed in the layers on either side of it.</w:t>
      </w:r>
    </w:p>
    <w:p>
      <w:pPr>
        <w:spacing w:before="280" w:after="80"/>
      </w:pPr>
      <w:r>
        <w:rPr>
          <w:b/>
          <w:color w:val="182B3D"/>
          <w:sz w:val="27"/>
        </w:rPr>
        <w:t xml:space="preserve">Slide 9 — Technology Stack </w:t>
      </w:r>
      <w:r>
        <w:rPr>
          <w:i/>
          <w:color w:val="8B95A1"/>
          <w:sz w:val="21"/>
        </w:rPr>
        <w:t>(§5.2)</w:t>
      </w:r>
    </w:p>
    <w:p>
      <w:pPr>
        <w:spacing w:after="160" w:line="300" w:lineRule="auto"/>
      </w:pPr>
      <w:r>
        <w:rPr>
          <w:sz w:val="23"/>
        </w:rPr>
        <w:t>Layer by layer, the stack is deliberately unexotic. Backend is Python 3.12 on FastAPI, Uvicorn for development, Gunicorn with multiple Uvicorn workers in production. Database is PostgreSQL 16 through SQLAlchemy 2.0, with the async driver asyncpg end to end.</w:t>
      </w:r>
    </w:p>
    <w:p>
      <w:pPr>
        <w:spacing w:after="160" w:line="300" w:lineRule="auto"/>
      </w:pPr>
      <w:r>
        <w:rPr>
          <w:sz w:val="23"/>
        </w:rPr>
        <w:t>For data and ML we use Pandas, Scikit-Learn and XGBoost models, SMOTE to handle class imbalance, SHAP for explainability, and Joblib to serialise the models. Frontend is React 18 with React Router 6, Recharts for the charts, Axios for API calls. And infrastructure is Docker Compose, with separate configurations for development and production.</w:t>
      </w:r>
    </w:p>
    <w:p>
      <w:pPr>
        <w:spacing w:before="280" w:after="80"/>
      </w:pPr>
      <w:r>
        <w:rPr>
          <w:b/>
          <w:color w:val="182B3D"/>
          <w:sz w:val="27"/>
        </w:rPr>
        <w:t xml:space="preserve">Slide 10 — Implementation Timeline </w:t>
      </w:r>
      <w:r>
        <w:rPr>
          <w:i/>
          <w:color w:val="8B95A1"/>
          <w:sz w:val="21"/>
        </w:rPr>
        <w:t>(§5)</w:t>
      </w:r>
    </w:p>
    <w:p>
      <w:pPr>
        <w:spacing w:after="160" w:line="300" w:lineRule="auto"/>
      </w:pPr>
      <w:r>
        <w:rPr>
          <w:sz w:val="23"/>
        </w:rPr>
        <w:t>We tracked the build with a work-breakdown structure across six phases — definition, requirements, design, development, iteration, and deployment.</w:t>
      </w:r>
    </w:p>
    <w:p>
      <w:pPr>
        <w:spacing w:after="160" w:line="300" w:lineRule="auto"/>
      </w:pPr>
      <w:r>
        <w:rPr>
          <w:sz w:val="23"/>
        </w:rPr>
        <w:t>This wasn't a plan made once at the start and forgotten: we took weekly snapshots against these phases and cross-referenced them with our own progress log throughout the trimester.</w:t>
      </w:r>
    </w:p>
    <w:p>
      <w:pPr>
        <w:spacing w:before="280" w:after="80"/>
      </w:pPr>
      <w:r>
        <w:rPr>
          <w:b/>
          <w:color w:val="182B3D"/>
          <w:sz w:val="27"/>
        </w:rPr>
        <w:t xml:space="preserve">Slide 11 — System Design </w:t>
      </w:r>
      <w:r>
        <w:rPr>
          <w:i/>
          <w:color w:val="8B95A1"/>
          <w:sz w:val="21"/>
        </w:rPr>
        <w:t>(§4.1–4.2)</w:t>
      </w:r>
    </w:p>
    <w:p>
      <w:pPr>
        <w:spacing w:after="160" w:line="300" w:lineRule="auto"/>
      </w:pPr>
      <w:r>
        <w:rPr>
          <w:sz w:val="23"/>
        </w:rPr>
        <w:t>Before writing a line of implementation code, we modelled it. This use case diagram maps every interaction between our three authenticated actors — Lecturer, Head of School, Head of Technology — and the system's core functions, from exploring academic analytics to using the API console.</w:t>
      </w:r>
    </w:p>
    <w:p>
      <w:pPr>
        <w:spacing w:after="160" w:line="300" w:lineRule="auto"/>
      </w:pPr>
      <w:r>
        <w:rPr>
          <w:sz w:val="23"/>
        </w:rPr>
        <w:t>And the class diagram groups everything we actually implemented into five functional areas — access and identity, prediction, explainability, and so on — so the eventual codebase followed a structure we'd already agreed on, not one that emerged by accident.</w:t>
      </w:r>
    </w:p>
    <w:p>
      <w:pPr>
        <w:spacing w:before="280" w:after="80"/>
      </w:pPr>
      <w:r>
        <w:rPr>
          <w:b/>
          <w:color w:val="182B3D"/>
          <w:sz w:val="27"/>
        </w:rPr>
        <w:t xml:space="preserve">Slide 12 — Database Design / ERD </w:t>
      </w:r>
      <w:r>
        <w:rPr>
          <w:i/>
          <w:color w:val="8B95A1"/>
          <w:sz w:val="21"/>
        </w:rPr>
        <w:t>(§4.4)</w:t>
      </w:r>
    </w:p>
    <w:p>
      <w:pPr>
        <w:spacing w:after="160" w:line="300" w:lineRule="auto"/>
      </w:pPr>
      <w:r>
        <w:rPr>
          <w:sz w:val="23"/>
        </w:rPr>
        <w:t>Here's what's actually sitting in Postgres. Operations and governance are relational — users, predictions, interventions, audit logs, mail server configs, AI provider configs.</w:t>
      </w:r>
    </w:p>
    <w:p>
      <w:pPr>
        <w:spacing w:after="160" w:line="300" w:lineRule="auto"/>
      </w:pPr>
      <w:r>
        <w:rPr>
          <w:sz w:val="23"/>
        </w:rPr>
        <w:t>What's notably NOT in here is the academic data itself. Student records, marks, attendance — those are processed through Pandas DataFrames, not maintained as empty relational tables, because that's simply the faster path for the volume we're working with.</w:t>
      </w:r>
    </w:p>
    <w:p>
      <w:pPr>
        <w:spacing w:after="0"/>
      </w:pPr>
      <w:r>
        <w:rPr>
          <w:i/>
          <w:color w:val="555F6B"/>
          <w:sz w:val="24"/>
        </w:rPr>
        <w:t>— hand off to Sangam Ghale Gurung —</w:t>
      </w:r>
    </w:p>
    <w:p>
      <w:r>
        <w:br w:type="page"/>
      </w:r>
    </w:p>
    <w:p>
      <w:pPr>
        <w:spacing w:before="0" w:after="40"/>
      </w:pPr>
      <w:r>
        <w:rPr>
          <w:b/>
          <w:color w:val="8B95A1"/>
          <w:sz w:val="20"/>
        </w:rPr>
        <w:t>PRESENTER</w:t>
      </w:r>
    </w:p>
    <w:p>
      <w:pPr>
        <w:spacing w:after="40"/>
      </w:pPr>
      <w:r>
        <w:rPr>
          <w:b/>
          <w:color w:val="182B3D"/>
          <w:sz w:val="48"/>
        </w:rPr>
        <w:t>Sangam Ghale Gurung</w:t>
      </w:r>
    </w:p>
    <w:p>
      <w:pPr>
        <w:spacing w:after="360"/>
      </w:pPr>
      <w:r>
        <w:rPr>
          <w:color w:val="2E6E8E"/>
          <w:sz w:val="22"/>
        </w:rPr>
        <w:t>Slides 13–16</w:t>
      </w:r>
    </w:p>
    <w:p>
      <w:pPr>
        <w:pBdr>
          <w:bottom w:val="single" w:sz="8" w:space="1" w:color="182B3D"/>
        </w:pBdr>
        <w:spacing w:after="320"/>
      </w:pPr>
    </w:p>
    <w:p>
      <w:pPr>
        <w:spacing w:before="280" w:after="80"/>
      </w:pPr>
      <w:r>
        <w:rPr>
          <w:b/>
          <w:color w:val="182B3D"/>
          <w:sz w:val="27"/>
        </w:rPr>
        <w:t xml:space="preserve">Slide 13 — Two Predictive Models </w:t>
      </w:r>
      <w:r>
        <w:rPr>
          <w:i/>
          <w:color w:val="8B95A1"/>
          <w:sz w:val="21"/>
        </w:rPr>
        <w:t>(§5.5.1)</w:t>
      </w:r>
    </w:p>
    <w:p>
      <w:pPr>
        <w:spacing w:after="160" w:line="300" w:lineRule="auto"/>
      </w:pPr>
      <w:r>
        <w:rPr>
          <w:sz w:val="23"/>
        </w:rPr>
        <w:t>A term in progress isn't a finished record, so we built two models, not one. The complete-record model is trained on 65,903 finished enrolments across 124 subjects, and it's used once a full academic record is available.</w:t>
      </w:r>
    </w:p>
    <w:p>
      <w:pPr>
        <w:spacing w:after="160" w:line="300" w:lineRule="auto"/>
      </w:pPr>
      <w:r>
        <w:rPr>
          <w:sz w:val="23"/>
        </w:rPr>
        <w:t>The mid-term model is trained on truncated snapshots — real enrolments cut down to realistic coverage points partway through a term. We needed a second model because feeding partial-term data into the complete-record model first hit 100% training accuracy — a textbook sign of leakage, not skill. So the mid-term model is trained only on what a mid-term snapshot actually contains.</w:t>
      </w:r>
    </w:p>
    <w:p>
      <w:pPr>
        <w:spacing w:before="280" w:after="80"/>
      </w:pPr>
      <w:r>
        <w:rPr>
          <w:b/>
          <w:color w:val="182B3D"/>
          <w:sz w:val="27"/>
        </w:rPr>
        <w:t xml:space="preserve">Slide 14 — Machine Learning Pipeline </w:t>
      </w:r>
      <w:r>
        <w:rPr>
          <w:i/>
          <w:color w:val="8B95A1"/>
          <w:sz w:val="21"/>
        </w:rPr>
        <w:t>(§5.4 — diagram)</w:t>
      </w:r>
    </w:p>
    <w:p>
      <w:pPr>
        <w:spacing w:after="160" w:line="300" w:lineRule="auto"/>
      </w:pPr>
      <w:r>
        <w:rPr>
          <w:sz w:val="23"/>
        </w:rPr>
        <w:t>This is the actual pipeline, end to end. Academic assessment and attendance data comes in, gets cleaned and transformed by Pandas, and we generate model features including things like attendance rate.</w:t>
      </w:r>
    </w:p>
    <w:p>
      <w:pPr>
        <w:spacing w:after="160" w:line="300" w:lineRule="auto"/>
      </w:pPr>
      <w:r>
        <w:rPr>
          <w:sz w:val="23"/>
        </w:rPr>
        <w:t>From there it splits on purpose. Training and retraining resolves study periods dynamically, trains the XGBoost plus Random Forest soft-voting ensemble, validates the decision threshold, runs fairness and bias checks, and registers the candidate model behind a human promotion gate.</w:t>
      </w:r>
    </w:p>
    <w:p>
      <w:pPr>
        <w:spacing w:after="160" w:line="300" w:lineRule="auto"/>
      </w:pPr>
      <w:r>
        <w:rPr>
          <w:sz w:val="23"/>
        </w:rPr>
        <w:t>Prediction takes the other path: we retrieve the student's record, compute their assessment coverage, and route them to either the complete-record model or the mid-term model depending on that coverage — or return an honest insufficient-data result if there simply isn't enough to go on yet. Either way, we apply the model-specific threshold, calculate a risk band, generate the SHAP explanation, and identify the top actionable factors before storing and displaying the prediction.</w:t>
      </w:r>
    </w:p>
    <w:p>
      <w:pPr>
        <w:spacing w:before="280" w:after="80"/>
      </w:pPr>
      <w:r>
        <w:rPr>
          <w:b/>
          <w:color w:val="182B3D"/>
          <w:sz w:val="27"/>
        </w:rPr>
        <w:t xml:space="preserve">Slide 15 — Prediction Sequence Diagram </w:t>
      </w:r>
      <w:r>
        <w:rPr>
          <w:i/>
          <w:color w:val="8B95A1"/>
          <w:sz w:val="21"/>
        </w:rPr>
        <w:t>(§5.4 — diagram)</w:t>
      </w:r>
    </w:p>
    <w:p>
      <w:pPr>
        <w:spacing w:after="160" w:line="300" w:lineRule="auto"/>
      </w:pPr>
      <w:r>
        <w:rPr>
          <w:sz w:val="23"/>
        </w:rPr>
        <w:t>This is the same prediction path, but as a sequence diagram — showing exactly what talks to what, in order.</w:t>
      </w:r>
    </w:p>
    <w:p>
      <w:pPr>
        <w:spacing w:after="160" w:line="300" w:lineRule="auto"/>
      </w:pPr>
      <w:r>
        <w:rPr>
          <w:sz w:val="23"/>
        </w:rPr>
        <w:t>A user selects a student, subject and period in the Predictor Interface, which posts to our Prediction API. FastAPI authenticates the user and enforces their scope, the Feature Assembler builds the prediction features from the academic DataFrame, and depending on the coverage we calculated, it loads either the live complete model or the live mid-term model from the Model Registry — or returns an honest insufficient-data response if coverage is below 50%.</w:t>
      </w:r>
    </w:p>
    <w:p>
      <w:pPr>
        <w:spacing w:before="280" w:after="80"/>
      </w:pPr>
      <w:r>
        <w:rPr>
          <w:b/>
          <w:color w:val="182B3D"/>
          <w:sz w:val="27"/>
        </w:rPr>
        <w:t xml:space="preserve">Slide 16 — Model Performance </w:t>
      </w:r>
      <w:r>
        <w:rPr>
          <w:i/>
          <w:color w:val="8B95A1"/>
          <w:sz w:val="21"/>
        </w:rPr>
        <w:t>(§7.4.1)</w:t>
      </w:r>
    </w:p>
    <w:p>
      <w:pPr>
        <w:spacing w:after="160" w:line="300" w:lineRule="auto"/>
      </w:pPr>
      <w:r>
        <w:rPr>
          <w:sz w:val="23"/>
        </w:rPr>
        <w:t>95.40% accuracy sounds great, but it isn't the number that actually matters here. Passing students massively outnumber failing ones, so a model could hit high accuracy while still missing the exact students it exists to find.</w:t>
      </w:r>
    </w:p>
    <w:p>
      <w:pPr>
        <w:spacing w:after="160" w:line="300" w:lineRule="auto"/>
      </w:pPr>
      <w:r>
        <w:rPr>
          <w:sz w:val="23"/>
        </w:rPr>
        <w:t>That's why we report the fail-class metrics instead: precision of point-7931, recall of point-7809, F1 of point-7869, and a PR-AUC of point-8808.</w:t>
      </w:r>
    </w:p>
    <w:p>
      <w:pPr>
        <w:spacing w:after="0"/>
      </w:pPr>
      <w:r>
        <w:rPr>
          <w:i/>
          <w:color w:val="555F6B"/>
          <w:sz w:val="24"/>
        </w:rPr>
        <w:t>— back to Nitesh Bhatta —</w:t>
      </w:r>
    </w:p>
    <w:p>
      <w:r>
        <w:br w:type="page"/>
      </w:r>
    </w:p>
    <w:p>
      <w:pPr>
        <w:spacing w:before="0" w:after="40"/>
      </w:pPr>
      <w:r>
        <w:rPr>
          <w:b/>
          <w:color w:val="8B95A1"/>
          <w:sz w:val="20"/>
        </w:rPr>
        <w:t>PRESENTER</w:t>
      </w:r>
    </w:p>
    <w:p>
      <w:pPr>
        <w:spacing w:after="40"/>
      </w:pPr>
      <w:r>
        <w:rPr>
          <w:b/>
          <w:color w:val="182B3D"/>
          <w:sz w:val="48"/>
        </w:rPr>
        <w:t>Nitesh Bhatta — part 2</w:t>
      </w:r>
    </w:p>
    <w:p>
      <w:pPr>
        <w:spacing w:after="360"/>
      </w:pPr>
      <w:r>
        <w:rPr>
          <w:color w:val="2E6E8E"/>
          <w:sz w:val="22"/>
        </w:rPr>
        <w:t>Slides 17–20</w:t>
      </w:r>
    </w:p>
    <w:p>
      <w:pPr>
        <w:pBdr>
          <w:bottom w:val="single" w:sz="8" w:space="1" w:color="182B3D"/>
        </w:pBdr>
        <w:spacing w:after="320"/>
      </w:pPr>
    </w:p>
    <w:p>
      <w:pPr>
        <w:spacing w:before="280" w:after="80"/>
      </w:pPr>
      <w:r>
        <w:rPr>
          <w:b/>
          <w:color w:val="182B3D"/>
          <w:sz w:val="27"/>
        </w:rPr>
        <w:t xml:space="preserve">Slide 17 — Integrations &amp; API Surface </w:t>
      </w:r>
      <w:r>
        <w:rPr>
          <w:i/>
          <w:color w:val="8B95A1"/>
          <w:sz w:val="21"/>
        </w:rPr>
        <w:t>(§5.8–5.9)</w:t>
      </w:r>
    </w:p>
    <w:p>
      <w:pPr>
        <w:spacing w:after="160" w:line="300" w:lineRule="auto"/>
      </w:pPr>
      <w:r>
        <w:rPr>
          <w:sz w:val="23"/>
        </w:rPr>
        <w:t>Coming back to how EDAPT talks to the outside world. AI providers — Gemini, Anthropic or OpenAI — are configured at runtime through a single dispatch function, so switching provider, model or key needs no redeploy at all.</w:t>
      </w:r>
    </w:p>
    <w:p>
      <w:pPr>
        <w:spacing w:after="160" w:line="300" w:lineRule="auto"/>
      </w:pPr>
      <w:r>
        <w:rPr>
          <w:sz w:val="23"/>
        </w:rPr>
        <w:t>Outgoing mail runs through one or more SMTP servers with credentials encrypted at rest, and every send is logged as either sent or failed — we never claim something was delivered when all we actually know is that it left our server.</w:t>
      </w:r>
    </w:p>
    <w:p>
      <w:pPr>
        <w:spacing w:after="160" w:line="300" w:lineRule="auto"/>
      </w:pPr>
      <w:r>
        <w:rPr>
          <w:sz w:val="23"/>
        </w:rPr>
        <w:t>And the whole system is exposed as a REST API — every capability is a versioned FastAPI endpoint with auto-generated OpenAPI docs.</w:t>
      </w:r>
    </w:p>
    <w:p>
      <w:pPr>
        <w:spacing w:before="280" w:after="80"/>
      </w:pPr>
      <w:r>
        <w:rPr>
          <w:b/>
          <w:color w:val="182B3D"/>
          <w:sz w:val="27"/>
        </w:rPr>
        <w:t xml:space="preserve">Slide 18 — AI Assistant Sequence Diagram </w:t>
      </w:r>
    </w:p>
    <w:p>
      <w:pPr>
        <w:spacing w:after="160" w:line="300" w:lineRule="auto"/>
      </w:pPr>
      <w:r>
        <w:rPr>
          <w:sz w:val="23"/>
        </w:rPr>
        <w:t>Here's how the AI assistant actually works under the hood. A user asks a question, FastAPI authenticates them, and the Context Builder retrieves ONLY the academic and risk data that user's role and subject scope actually permits.</w:t>
      </w:r>
    </w:p>
    <w:p>
      <w:pPr>
        <w:spacing w:after="160" w:line="300" w:lineRule="auto"/>
      </w:pPr>
      <w:r>
        <w:rPr>
          <w:sz w:val="23"/>
        </w:rPr>
        <w:t>That grounded, scoped context goes to the AI Provider Service along with the question. It reads whichever provider is currently configured — Gemini, Anthropic or OpenAI — and if that provider's available, it returns a generated response; if not, the user gets an honest ‘AI unavailable’ message instead of a broken experience.</w:t>
      </w:r>
    </w:p>
    <w:p>
      <w:pPr>
        <w:spacing w:before="280" w:after="80"/>
      </w:pPr>
      <w:r>
        <w:rPr>
          <w:b/>
          <w:color w:val="182B3D"/>
          <w:sz w:val="27"/>
        </w:rPr>
        <w:t xml:space="preserve">Slide 19 — Outgoing Email Workflow </w:t>
      </w:r>
    </w:p>
    <w:p>
      <w:pPr>
        <w:spacing w:after="160" w:line="300" w:lineRule="auto"/>
      </w:pPr>
      <w:r>
        <w:rPr>
          <w:sz w:val="23"/>
        </w:rPr>
        <w:t>And this is the outgoing mail workflow specifically. An authorised admin configures an SMTP server, and the password is stored encrypted using Fernet.</w:t>
      </w:r>
    </w:p>
    <w:p>
      <w:pPr>
        <w:spacing w:after="160" w:line="300" w:lineRule="auto"/>
      </w:pPr>
      <w:r>
        <w:rPr>
          <w:sz w:val="23"/>
        </w:rPr>
        <w:t>From there, whether it's a connection test, an OTP, or a password-reset email, we select the server, send via SMTP, and log the outcome — accepted mail is logged as sent, and anything the server rejects is logged as failed, with the actual failure reason stored alongside it.</w:t>
      </w:r>
    </w:p>
    <w:p>
      <w:pPr>
        <w:spacing w:after="160" w:line="300" w:lineRule="auto"/>
      </w:pPr>
      <w:r>
        <w:rPr>
          <w:sz w:val="23"/>
        </w:rPr>
        <w:t>Every attempt gets recorded in the email logs, and again — we do not claim mailbox delivery, only what SMTP itself told us.</w:t>
      </w:r>
    </w:p>
    <w:p>
      <w:pPr>
        <w:spacing w:before="280" w:after="80"/>
      </w:pPr>
      <w:r>
        <w:rPr>
          <w:b/>
          <w:color w:val="182B3D"/>
          <w:sz w:val="27"/>
        </w:rPr>
        <w:t xml:space="preserve">Slide 20 — Deployment Diagram </w:t>
      </w:r>
    </w:p>
    <w:p>
      <w:pPr>
        <w:spacing w:after="160" w:line="300" w:lineRule="auto"/>
      </w:pPr>
      <w:r>
        <w:rPr>
          <w:sz w:val="23"/>
        </w:rPr>
        <w:t>And finally, how this all actually gets deployed. On the production host, Docker Compose runs an nginx reverse proxy in front of the React frontend, Gunicorn and Uvicorn serving the FastAPI application and its ML prediction services, PostgreSQL 16 plus the model registry for data and models, and a retraining scheduler that checks for new study periods and registers candidate models — again, with no automatic promotion.</w:t>
      </w:r>
    </w:p>
    <w:p>
      <w:pPr>
        <w:spacing w:after="160" w:line="300" w:lineRule="auto"/>
      </w:pPr>
      <w:r>
        <w:rPr>
          <w:sz w:val="23"/>
        </w:rPr>
        <w:t>External services — the AI providers, OAuth for Google and Microsoft sign-in, and the SMTP server — sit outside that boundary, called over their own secured connections.</w:t>
      </w:r>
    </w:p>
    <w:p>
      <w:pPr>
        <w:spacing w:after="0"/>
      </w:pPr>
      <w:r>
        <w:rPr>
          <w:i/>
          <w:color w:val="555F6B"/>
          <w:sz w:val="24"/>
        </w:rPr>
        <w:t>— hand off to Koshish Shrestha —</w:t>
      </w:r>
    </w:p>
    <w:p>
      <w:r>
        <w:br w:type="page"/>
      </w:r>
    </w:p>
    <w:p>
      <w:pPr>
        <w:spacing w:before="0" w:after="40"/>
      </w:pPr>
      <w:r>
        <w:rPr>
          <w:b/>
          <w:color w:val="8B95A1"/>
          <w:sz w:val="20"/>
        </w:rPr>
        <w:t>PRESENTER</w:t>
      </w:r>
    </w:p>
    <w:p>
      <w:pPr>
        <w:spacing w:after="40"/>
      </w:pPr>
      <w:r>
        <w:rPr>
          <w:b/>
          <w:color w:val="182B3D"/>
          <w:sz w:val="48"/>
        </w:rPr>
        <w:t>Koshish Shrestha</w:t>
      </w:r>
    </w:p>
    <w:p>
      <w:pPr>
        <w:spacing w:after="360"/>
      </w:pPr>
      <w:r>
        <w:rPr>
          <w:color w:val="2E6E8E"/>
          <w:sz w:val="22"/>
        </w:rPr>
        <w:t>Slides 21–23</w:t>
      </w:r>
    </w:p>
    <w:p>
      <w:pPr>
        <w:pBdr>
          <w:bottom w:val="single" w:sz="8" w:space="1" w:color="182B3D"/>
        </w:pBdr>
        <w:spacing w:after="320"/>
      </w:pPr>
    </w:p>
    <w:p>
      <w:pPr>
        <w:spacing w:before="280" w:after="80"/>
      </w:pPr>
      <w:r>
        <w:rPr>
          <w:b/>
          <w:color w:val="182B3D"/>
          <w:sz w:val="27"/>
        </w:rPr>
        <w:t xml:space="preserve">Slide 21 — UI/UX Wireframe </w:t>
      </w:r>
      <w:r>
        <w:rPr>
          <w:i/>
          <w:color w:val="8B95A1"/>
          <w:sz w:val="21"/>
        </w:rPr>
        <w:t>(§4.5.3)</w:t>
      </w:r>
    </w:p>
    <w:p>
      <w:pPr>
        <w:spacing w:after="160" w:line="300" w:lineRule="auto"/>
      </w:pPr>
      <w:r>
        <w:rPr>
          <w:sz w:val="23"/>
        </w:rPr>
        <w:t>Before we built any of the real interface, we wireframed it. This is the Admin, Dashboard, Subject Analytics and Student Analytics screens at the lowest fidelity — just layout and hierarchy, no real styling yet.</w:t>
      </w:r>
    </w:p>
    <w:p>
      <w:pPr>
        <w:spacing w:after="160" w:line="300" w:lineRule="auto"/>
      </w:pPr>
      <w:r>
        <w:rPr>
          <w:sz w:val="23"/>
        </w:rPr>
        <w:t>The point at this stage was purely to agree on where information lives — which stat tiles matter first, where a chart belongs relative to a table — before we spent any time on visual design.</w:t>
      </w:r>
    </w:p>
    <w:p>
      <w:pPr>
        <w:spacing w:before="280" w:after="80"/>
      </w:pPr>
      <w:r>
        <w:rPr>
          <w:b/>
          <w:color w:val="182B3D"/>
          <w:sz w:val="27"/>
        </w:rPr>
        <w:t xml:space="preserve">Slide 22 — UI/UX Wireframe, continued </w:t>
      </w:r>
      <w:r>
        <w:rPr>
          <w:i/>
          <w:color w:val="8B95A1"/>
          <w:sz w:val="21"/>
        </w:rPr>
        <w:t>(§4.5.3)</w:t>
      </w:r>
    </w:p>
    <w:p>
      <w:pPr>
        <w:spacing w:after="160" w:line="300" w:lineRule="auto"/>
      </w:pPr>
      <w:r>
        <w:rPr>
          <w:sz w:val="23"/>
        </w:rPr>
        <w:t>Same approach for Student Analytics, the Predictive Report screens, and Students at Risk — wireframing the layout for a single student's prediction result, right down to where that pass/fail gauge and the assessment breakdown table would sit, before a single pixel of the final design was drawn.</w:t>
      </w:r>
    </w:p>
    <w:p>
      <w:pPr>
        <w:spacing w:before="280" w:after="80"/>
      </w:pPr>
      <w:r>
        <w:rPr>
          <w:b/>
          <w:color w:val="182B3D"/>
          <w:sz w:val="27"/>
        </w:rPr>
        <w:t xml:space="preserve">Slide 23 — Product Walkthrough </w:t>
      </w:r>
      <w:r>
        <w:rPr>
          <w:i/>
          <w:color w:val="8B95A1"/>
          <w:sz w:val="21"/>
        </w:rPr>
        <w:t>(§4.5.3)</w:t>
      </w:r>
    </w:p>
    <w:p>
      <w:pPr>
        <w:spacing w:after="160" w:line="300" w:lineRule="auto"/>
      </w:pPr>
      <w:r>
        <w:rPr>
          <w:sz w:val="23"/>
        </w:rPr>
        <w:t>And here's where those wireframes actually landed — refined against real client feedback, not redesigned from scratch. The institution-wide dashboard, the students-at-risk analytics, a student's individual predictive report and AI insights, the login screen, and the API console we mentioned earlier.</w:t>
      </w:r>
    </w:p>
    <w:p>
      <w:pPr>
        <w:spacing w:after="160" w:line="300" w:lineRule="auto"/>
      </w:pPr>
      <w:r>
        <w:rPr>
          <w:sz w:val="23"/>
        </w:rPr>
        <w:t>Every one of these went through at least one round of revision directly from a client conversation.</w:t>
      </w:r>
    </w:p>
    <w:p>
      <w:pPr>
        <w:spacing w:after="0"/>
      </w:pPr>
      <w:r>
        <w:rPr>
          <w:i/>
          <w:color w:val="555F6B"/>
          <w:sz w:val="24"/>
        </w:rPr>
        <w:t>— hand off to Preety Khatri —</w:t>
      </w:r>
    </w:p>
    <w:p>
      <w:r>
        <w:br w:type="page"/>
      </w:r>
    </w:p>
    <w:p>
      <w:pPr>
        <w:spacing w:before="0" w:after="40"/>
      </w:pPr>
      <w:r>
        <w:rPr>
          <w:b/>
          <w:color w:val="8B95A1"/>
          <w:sz w:val="20"/>
        </w:rPr>
        <w:t>PRESENTER</w:t>
      </w:r>
    </w:p>
    <w:p>
      <w:pPr>
        <w:spacing w:after="40"/>
      </w:pPr>
      <w:r>
        <w:rPr>
          <w:b/>
          <w:color w:val="182B3D"/>
          <w:sz w:val="48"/>
        </w:rPr>
        <w:t>Preety Khatri</w:t>
      </w:r>
    </w:p>
    <w:p>
      <w:pPr>
        <w:spacing w:after="360"/>
      </w:pPr>
      <w:r>
        <w:rPr>
          <w:color w:val="2E6E8E"/>
          <w:sz w:val="22"/>
        </w:rPr>
        <w:t>Slides 24–27</w:t>
      </w:r>
    </w:p>
    <w:p>
      <w:pPr>
        <w:pBdr>
          <w:bottom w:val="single" w:sz="8" w:space="1" w:color="182B3D"/>
        </w:pBdr>
        <w:spacing w:after="320"/>
      </w:pPr>
    </w:p>
    <w:p>
      <w:pPr>
        <w:spacing w:before="280" w:after="80"/>
      </w:pPr>
      <w:r>
        <w:rPr>
          <w:b/>
          <w:color w:val="182B3D"/>
          <w:sz w:val="27"/>
        </w:rPr>
        <w:t xml:space="preserve">Slide 24 — Evaluation Strategy </w:t>
      </w:r>
      <w:r>
        <w:rPr>
          <w:i/>
          <w:color w:val="8B95A1"/>
          <w:sz w:val="21"/>
        </w:rPr>
        <w:t>(§6)</w:t>
      </w:r>
    </w:p>
    <w:p>
      <w:pPr>
        <w:spacing w:after="160" w:line="300" w:lineRule="auto"/>
      </w:pPr>
      <w:r>
        <w:rPr>
          <w:sz w:val="23"/>
        </w:rPr>
        <w:t>Our whole evaluation strategy was built to find faults, not to confirm we were right.</w:t>
      </w:r>
    </w:p>
    <w:p>
      <w:pPr>
        <w:spacing w:after="160" w:line="300" w:lineRule="auto"/>
      </w:pPr>
      <w:r>
        <w:rPr>
          <w:sz w:val="23"/>
        </w:rPr>
        <w:t>Unit testing covered validation rules, boundary conditions, and reconstructing the SHAP explanation itself. Integration testing ran the full path — frontend to API to database to background jobs. Data verification meant checking every dashboard number against a real institutional extract, not trusting our own pipeline blindly. And user acceptance testing meant walking the client through it, role by role.</w:t>
      </w:r>
    </w:p>
    <w:p>
      <w:pPr>
        <w:spacing w:before="280" w:after="80"/>
      </w:pPr>
      <w:r>
        <w:rPr>
          <w:b/>
          <w:color w:val="182B3D"/>
          <w:sz w:val="27"/>
        </w:rPr>
        <w:t xml:space="preserve">Slide 25 — Key Defects </w:t>
      </w:r>
      <w:r>
        <w:rPr>
          <w:i/>
          <w:color w:val="8B95A1"/>
          <w:sz w:val="21"/>
        </w:rPr>
        <w:t>(§7.3)</w:t>
      </w:r>
    </w:p>
    <w:p>
      <w:pPr>
        <w:spacing w:after="160" w:line="300" w:lineRule="auto"/>
      </w:pPr>
      <w:r>
        <w:rPr>
          <w:sz w:val="23"/>
        </w:rPr>
        <w:t>That evaluation earned its keep. Test case TC-07 caught an ‘at-risk’ count that was actually tallying assessment ROWS, not students — 57,710 rows down to 7,926 real unique students once we fixed it, to scale, exactly like that bar shows.</w:t>
      </w:r>
    </w:p>
    <w:p>
      <w:pPr>
        <w:spacing w:after="160" w:line="300" w:lineRule="auto"/>
      </w:pPr>
      <w:r>
        <w:rPr>
          <w:sz w:val="23"/>
        </w:rPr>
        <w:t>We also found that our test suite was passing while a live prediction outage ran completely undetected, because the suite only ever exercised half the serving path.</w:t>
      </w:r>
    </w:p>
    <w:p>
      <w:pPr>
        <w:spacing w:after="160" w:line="300" w:lineRule="auto"/>
      </w:pPr>
      <w:r>
        <w:rPr>
          <w:sz w:val="23"/>
        </w:rPr>
        <w:t>And TC-03 caught a genuinely serious one: a valid JWT that outlived the account it belonged to — a deleted user could still act as if they were signed in. That's now checked against the database on every single request.</w:t>
      </w:r>
    </w:p>
    <w:p>
      <w:pPr>
        <w:spacing w:before="280" w:after="80"/>
      </w:pPr>
      <w:r>
        <w:rPr>
          <w:b/>
          <w:color w:val="182B3D"/>
          <w:sz w:val="27"/>
        </w:rPr>
        <w:t xml:space="preserve">Slide 26 — Data Privacy </w:t>
      </w:r>
      <w:r>
        <w:rPr>
          <w:i/>
          <w:color w:val="8B95A1"/>
          <w:sz w:val="21"/>
        </w:rPr>
        <w:t>(§8.1)</w:t>
      </w:r>
    </w:p>
    <w:p>
      <w:pPr>
        <w:spacing w:after="160" w:line="300" w:lineRule="auto"/>
      </w:pPr>
      <w:r>
        <w:rPr>
          <w:sz w:val="23"/>
        </w:rPr>
        <w:t>On privacy: we're pseudonymised, and we say so plainly, not as a checkbox. That's 7,926 students, 327,501 assessment records, and 2.5 million attendance sessions — shown here on a log scale because those are three different units, not one comparable total.</w:t>
      </w:r>
    </w:p>
    <w:p>
      <w:pPr>
        <w:spacing w:after="160" w:line="300" w:lineRule="auto"/>
      </w:pPr>
      <w:r>
        <w:rPr>
          <w:sz w:val="23"/>
        </w:rPr>
        <w:t>And to be direct about it: pseudonymised is NOT anonymised. We don't claim otherwise, and re-identification risk from combined attributes hasn't been ruled out.</w:t>
      </w:r>
    </w:p>
    <w:p>
      <w:pPr>
        <w:spacing w:before="280" w:after="80"/>
      </w:pPr>
      <w:r>
        <w:rPr>
          <w:b/>
          <w:color w:val="182B3D"/>
          <w:sz w:val="27"/>
        </w:rPr>
        <w:t xml:space="preserve">Slide 27 — Benefits &amp; What's Next </w:t>
      </w:r>
      <w:r>
        <w:rPr>
          <w:i/>
          <w:color w:val="8B95A1"/>
          <w:sz w:val="21"/>
        </w:rPr>
        <w:t>(§11–12)</w:t>
      </w:r>
    </w:p>
    <w:p>
      <w:pPr>
        <w:spacing w:after="160" w:line="300" w:lineRule="auto"/>
      </w:pPr>
      <w:r>
        <w:rPr>
          <w:sz w:val="23"/>
        </w:rPr>
        <w:t>Bringing it back to the problems we started with. Delivered: risk is now flagged from the start of term, not after a bad grade; every intervention is logged and reviewable over time; and reports are drawn live from one dataset instead of five spreadsheets.</w:t>
      </w:r>
    </w:p>
    <w:p>
      <w:pPr>
        <w:spacing w:after="160" w:line="300" w:lineRule="auto"/>
      </w:pPr>
      <w:r>
        <w:rPr>
          <w:sz w:val="23"/>
        </w:rPr>
        <w:t>Next: direct LMS integration to replace manual ingestion, counterfactual recommendations that model actual impact rather than just suggesting something, and rolling explainability up to cohort and institution level.</w:t>
      </w:r>
    </w:p>
    <w:p>
      <w:r>
        <w:br w:type="page"/>
      </w:r>
    </w:p>
    <w:p>
      <w:pPr>
        <w:spacing w:before="0" w:after="40"/>
      </w:pPr>
      <w:r>
        <w:rPr>
          <w:b/>
          <w:color w:val="8B95A1"/>
          <w:sz w:val="20"/>
        </w:rPr>
        <w:t>PRESENTER</w:t>
      </w:r>
    </w:p>
    <w:p>
      <w:pPr>
        <w:spacing w:after="40"/>
      </w:pPr>
      <w:r>
        <w:rPr>
          <w:b/>
          <w:color w:val="182B3D"/>
          <w:sz w:val="48"/>
        </w:rPr>
        <w:t>Closing — presenter not yet assigned</w:t>
      </w:r>
    </w:p>
    <w:p>
      <w:pPr>
        <w:spacing w:after="360"/>
      </w:pPr>
      <w:r>
        <w:rPr>
          <w:color w:val="2E6E8E"/>
          <w:sz w:val="22"/>
        </w:rPr>
        <w:t>Slides 28–29</w:t>
      </w:r>
    </w:p>
    <w:p>
      <w:pPr>
        <w:pBdr>
          <w:bottom w:val="single" w:sz="8" w:space="1" w:color="182B3D"/>
        </w:pBdr>
        <w:spacing w:after="320"/>
      </w:pPr>
    </w:p>
    <w:p>
      <w:pPr>
        <w:spacing w:before="280" w:after="80"/>
      </w:pPr>
      <w:r>
        <w:rPr>
          <w:b/>
          <w:color w:val="182B3D"/>
          <w:sz w:val="27"/>
        </w:rPr>
        <w:t xml:space="preserve">Slide 28 — Live Demo </w:t>
      </w:r>
      <w:r>
        <w:rPr>
          <w:i/>
          <w:color w:val="8B95A1"/>
          <w:sz w:val="21"/>
        </w:rPr>
        <w:t>(Live)</w:t>
      </w:r>
    </w:p>
    <w:p>
      <w:pPr>
        <w:spacing w:after="160" w:line="300" w:lineRule="auto"/>
      </w:pPr>
      <w:r>
        <w:rPr>
          <w:sz w:val="23"/>
        </w:rPr>
        <w:t>Now, let's look at EDAPT v2 itself. We'll walk through an institution-wide dashboard filtered down to one subject, a single student's prediction with its SHAP explanation, logging an intervention against that prediction, and switching the AI provider live from the admin settings.</w:t>
      </w:r>
    </w:p>
    <w:p>
      <w:pPr>
        <w:spacing w:before="280" w:after="80"/>
      </w:pPr>
      <w:r>
        <w:rPr>
          <w:b/>
          <w:color w:val="182B3D"/>
          <w:sz w:val="27"/>
        </w:rPr>
        <w:t xml:space="preserve">Slide 29 — Thank You </w:t>
      </w:r>
    </w:p>
    <w:p>
      <w:pPr>
        <w:spacing w:after="160" w:line="300" w:lineRule="auto"/>
      </w:pPr>
      <w:r>
        <w:rPr>
          <w:sz w:val="23"/>
        </w:rPr>
        <w:t>Thank you. We're happy to take questions — about the model, the incident we talked about, or anything in between.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