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1DC48A" w14:textId="4FFB72A1" w:rsidR="004A57F3" w:rsidRDefault="00170405">
      <w:pPr>
        <w:pStyle w:val="Titel"/>
      </w:pPr>
      <w:hyperlink r:id="rId7">
        <w:r>
          <w:rPr>
            <w:rStyle w:val="Internetverknpfung"/>
          </w:rPr>
          <w:t>https://maechtekongresse.acdh.oeaw.ac.at/</w:t>
        </w:r>
      </w:hyperlink>
      <w:r>
        <w:br/>
      </w:r>
      <w:r w:rsidR="005D2D71">
        <w:t>Digital Edition of the Documents of the Congresses of Aix-la-Chapelle, Troppau/Opava, Laibach/Ljubljana and Verona 1818–1822</w:t>
      </w:r>
    </w:p>
    <w:p w14:paraId="0409A054" w14:textId="77777777" w:rsidR="004A57F3" w:rsidRDefault="005D2D71">
      <w:pPr>
        <w:pStyle w:val="FirstParagraph"/>
      </w:pPr>
      <w:r>
        <w:rPr>
          <w:i/>
        </w:rPr>
        <w:t>Karin Schneider, Stephan Kurz (Institute for Modern and Contemporary Historical Research at the Austrian Academy of Sciences)</w:t>
      </w:r>
      <w:bookmarkStart w:id="0" w:name="the-documents"/>
      <w:bookmarkStart w:id="1" w:name="_GoBack"/>
      <w:bookmarkEnd w:id="1"/>
    </w:p>
    <w:p w14:paraId="005860DB" w14:textId="77777777" w:rsidR="004A57F3" w:rsidRDefault="005D2D71">
      <w:pPr>
        <w:pStyle w:val="berschrift11"/>
      </w:pPr>
      <w:r>
        <w:t>Introduction</w:t>
      </w:r>
    </w:p>
    <w:p w14:paraId="598856B9" w14:textId="548811C8" w:rsidR="004A57F3" w:rsidRDefault="005D2D71">
      <w:r>
        <w:t xml:space="preserve">The </w:t>
      </w:r>
      <w:r w:rsidR="00A23AB4">
        <w:t xml:space="preserve">Congresses </w:t>
      </w:r>
      <w:r>
        <w:t xml:space="preserve">of Aix-la-Chapelle (1818), Troppau/Opava (1820), Laibach/Ljubljana (1821) and Verona (1822) were crucial for the formation and functioning of the European </w:t>
      </w:r>
      <w:r w:rsidR="00BA4D39">
        <w:t>system of powers</w:t>
      </w:r>
      <w:r w:rsidR="000C22EA">
        <w:t xml:space="preserve"> </w:t>
      </w:r>
      <w:r>
        <w:t>in the nineteenth century. Nevertheless, these gatherings are largely marginalized in historiographic perception</w:t>
      </w:r>
      <w:r w:rsidR="00F017C2">
        <w:t>s</w:t>
      </w:r>
      <w:r>
        <w:t>. Although the representatives of the European powers</w:t>
      </w:r>
      <w:r w:rsidR="000C22EA">
        <w:t>—</w:t>
      </w:r>
      <w:r>
        <w:t>namely Austria, France, Great Britain, Prussia and Russia</w:t>
      </w:r>
      <w:r w:rsidR="000C22EA">
        <w:t>—</w:t>
      </w:r>
      <w:r>
        <w:t>deliberated</w:t>
      </w:r>
      <w:r w:rsidR="00F017C2">
        <w:t xml:space="preserve"> on</w:t>
      </w:r>
      <w:r>
        <w:t xml:space="preserve"> security issues as well as slave trade, the fate of the Ottoman Empire and the constitution of the German Confederation, historic</w:t>
      </w:r>
      <w:r w:rsidR="00F017C2">
        <w:t>al</w:t>
      </w:r>
      <w:r>
        <w:t xml:space="preserve"> accounts o</w:t>
      </w:r>
      <w:r w:rsidR="00F017C2">
        <w:t>f</w:t>
      </w:r>
      <w:r>
        <w:t xml:space="preserve"> this period tend to simplify and under</w:t>
      </w:r>
      <w:r w:rsidR="000C22EA">
        <w:t>value</w:t>
      </w:r>
      <w:r>
        <w:t xml:space="preserve"> the results of these negotiations.</w:t>
      </w:r>
      <w:r>
        <w:rPr>
          <w:rStyle w:val="Funotenanker"/>
        </w:rPr>
        <w:footnoteReference w:id="1"/>
      </w:r>
    </w:p>
    <w:p w14:paraId="5E73D4A4" w14:textId="45A02AFE" w:rsidR="004A57F3" w:rsidRDefault="000C22EA">
      <w:pPr>
        <w:pStyle w:val="Textkrper"/>
      </w:pPr>
      <w:r>
        <w:t xml:space="preserve">Various </w:t>
      </w:r>
      <w:r w:rsidR="005D2D71">
        <w:t>factor</w:t>
      </w:r>
      <w:r w:rsidR="00572419">
        <w:t>s</w:t>
      </w:r>
      <w:r w:rsidR="005D2D71">
        <w:t xml:space="preserve"> </w:t>
      </w:r>
      <w:r>
        <w:t xml:space="preserve">have </w:t>
      </w:r>
      <w:r w:rsidR="005D2D71">
        <w:t>impeded research on and analysis of these congresses. In German historiography</w:t>
      </w:r>
      <w:r>
        <w:t>,</w:t>
      </w:r>
      <w:r w:rsidR="005D2D71">
        <w:t xml:space="preserve"> they are perceived as manifestations of reactionary political tendencies after the Congress of Vienna, which are </w:t>
      </w:r>
      <w:r>
        <w:t>subsumed under</w:t>
      </w:r>
      <w:r w:rsidR="00C00A88">
        <w:t xml:space="preserve"> </w:t>
      </w:r>
      <w:r w:rsidR="005D2D71">
        <w:t xml:space="preserve">the pejorative label “Holy Alliance”. Sometimes they are </w:t>
      </w:r>
      <w:r>
        <w:t xml:space="preserve">perceived </w:t>
      </w:r>
      <w:r w:rsidR="005D2D71">
        <w:t>as sequels of the Congress of Vienna</w:t>
      </w:r>
      <w:r>
        <w:t xml:space="preserve"> that</w:t>
      </w:r>
      <w:r w:rsidR="005D2D71">
        <w:t xml:space="preserve"> brought no political innovation for the European community of states. And last but not least</w:t>
      </w:r>
      <w:r>
        <w:t>,</w:t>
      </w:r>
      <w:r w:rsidR="005D2D71">
        <w:t xml:space="preserve"> almost no written historical sources </w:t>
      </w:r>
      <w:r>
        <w:t xml:space="preserve">from </w:t>
      </w:r>
      <w:r w:rsidR="005D2D71">
        <w:t xml:space="preserve">these congresses were available in printed form. Over the years, some of the </w:t>
      </w:r>
      <w:r>
        <w:t xml:space="preserve">minutes </w:t>
      </w:r>
      <w:r w:rsidR="005D2D71">
        <w:t xml:space="preserve">and memoirs have been published, but </w:t>
      </w:r>
      <w:r>
        <w:t xml:space="preserve">they </w:t>
      </w:r>
      <w:r w:rsidR="005D2D71">
        <w:t xml:space="preserve">are not easy to access </w:t>
      </w:r>
      <w:r w:rsidR="00C00A88">
        <w:t xml:space="preserve">due to </w:t>
      </w:r>
      <w:r w:rsidR="00F017C2">
        <w:t>the</w:t>
      </w:r>
      <w:r>
        <w:t>ir</w:t>
      </w:r>
      <w:r w:rsidR="00F017C2">
        <w:t xml:space="preserve"> </w:t>
      </w:r>
      <w:r>
        <w:t xml:space="preserve">different </w:t>
      </w:r>
      <w:r w:rsidR="005D2D71">
        <w:t xml:space="preserve">places of publication. </w:t>
      </w:r>
      <w:r>
        <w:t>S</w:t>
      </w:r>
      <w:r w:rsidR="005D2D71">
        <w:t>cholars interested in th</w:t>
      </w:r>
      <w:r>
        <w:t>e</w:t>
      </w:r>
      <w:r w:rsidR="005D2D71">
        <w:t xml:space="preserve"> topic </w:t>
      </w:r>
      <w:r>
        <w:t xml:space="preserve">therefore </w:t>
      </w:r>
      <w:r w:rsidR="005D2D71">
        <w:t xml:space="preserve">had to </w:t>
      </w:r>
      <w:r>
        <w:t xml:space="preserve">engage in </w:t>
      </w:r>
      <w:r w:rsidR="005D2D71">
        <w:t>extensive archival research and could not rely on printed editions.</w:t>
      </w:r>
    </w:p>
    <w:p w14:paraId="1CB19336" w14:textId="15A329FE" w:rsidR="004A57F3" w:rsidRDefault="005D2D71">
      <w:pPr>
        <w:pStyle w:val="Textkrper"/>
      </w:pPr>
      <w:r>
        <w:t xml:space="preserve">This short paper presents the authors’ joint efforts to create a state-of-the-art digital edition of these important historical papers. The first </w:t>
      </w:r>
      <w:r w:rsidR="000C22EA">
        <w:t xml:space="preserve">section </w:t>
      </w:r>
      <w:r>
        <w:t xml:space="preserve">outlines the historical context and the thematic contents of the documents. In the second </w:t>
      </w:r>
      <w:r w:rsidR="000C22EA">
        <w:t xml:space="preserve">section, </w:t>
      </w:r>
      <w:r>
        <w:t xml:space="preserve">we </w:t>
      </w:r>
      <w:r w:rsidR="000C22EA">
        <w:t xml:space="preserve">discuss </w:t>
      </w:r>
      <w:r>
        <w:t xml:space="preserve">how we </w:t>
      </w:r>
      <w:r w:rsidR="000C22EA">
        <w:t>processed</w:t>
      </w:r>
      <w:r w:rsidR="00C00A88">
        <w:t xml:space="preserve"> the resources</w:t>
      </w:r>
      <w:r>
        <w:t xml:space="preserve"> (technicalities of the transcriptions in TEI-flavoured XML, the development of multiple access paths as discovery tools,</w:t>
      </w:r>
      <w:r w:rsidR="000C22EA">
        <w:t xml:space="preserve"> and</w:t>
      </w:r>
      <w:r>
        <w:t xml:space="preserve"> the technical platform we are using). The paper thus </w:t>
      </w:r>
      <w:r w:rsidR="000C22EA">
        <w:t xml:space="preserve">pursues a two-part </w:t>
      </w:r>
      <w:r>
        <w:t xml:space="preserve">objective: </w:t>
      </w:r>
      <w:r w:rsidR="000C22EA">
        <w:t xml:space="preserve">to </w:t>
      </w:r>
      <w:r>
        <w:t xml:space="preserve">further the use of our </w:t>
      </w:r>
      <w:r w:rsidR="000C22EA">
        <w:t xml:space="preserve">“Mächtekongresse” </w:t>
      </w:r>
      <w:r>
        <w:t xml:space="preserve">application, </w:t>
      </w:r>
      <w:r w:rsidR="000C22EA">
        <w:t xml:space="preserve">thereby facilitating </w:t>
      </w:r>
      <w:r>
        <w:t xml:space="preserve">both an </w:t>
      </w:r>
      <w:r w:rsidR="000C22EA">
        <w:t>improved</w:t>
      </w:r>
      <w:r>
        <w:t xml:space="preserve"> understanding of the historical source material and</w:t>
      </w:r>
      <w:r w:rsidR="000C22EA">
        <w:t>—</w:t>
      </w:r>
      <w:r>
        <w:t>no less importantly</w:t>
      </w:r>
      <w:r w:rsidR="000C22EA">
        <w:t>—</w:t>
      </w:r>
      <w:r>
        <w:t>fostering new discourse on methodologies that make use of the digital paradigm.</w:t>
      </w:r>
    </w:p>
    <w:p w14:paraId="63694D37" w14:textId="77777777" w:rsidR="004A57F3" w:rsidRDefault="005D2D71">
      <w:pPr>
        <w:pStyle w:val="berschrift11"/>
      </w:pPr>
      <w:r>
        <w:lastRenderedPageBreak/>
        <w:t xml:space="preserve">The </w:t>
      </w:r>
      <w:bookmarkEnd w:id="0"/>
      <w:r>
        <w:t>Congresses</w:t>
      </w:r>
    </w:p>
    <w:p w14:paraId="59C42593" w14:textId="013C0B2D" w:rsidR="004A57F3" w:rsidRDefault="005D2D71">
      <w:pPr>
        <w:pStyle w:val="FirstParagraph"/>
      </w:pPr>
      <w:r>
        <w:t xml:space="preserve">The </w:t>
      </w:r>
      <w:r w:rsidR="00F017C2">
        <w:t>record</w:t>
      </w:r>
      <w:r>
        <w:t xml:space="preserve">s of the </w:t>
      </w:r>
      <w:r w:rsidR="00A23AB4">
        <w:t>C</w:t>
      </w:r>
      <w:r w:rsidR="000C22EA">
        <w:t xml:space="preserve">ongresses </w:t>
      </w:r>
      <w:r w:rsidR="00A23AB4">
        <w:t xml:space="preserve">of </w:t>
      </w:r>
      <w:r>
        <w:t xml:space="preserve">Aix-la-Chapelle, Troppau/Opava, Laibach/Ljubljana and Verona are kept in the Austrian </w:t>
      </w:r>
      <w:r w:rsidR="000C22EA">
        <w:t xml:space="preserve">State Archives </w:t>
      </w:r>
      <w:r>
        <w:t xml:space="preserve">(Haus-, Hof- und Staatsarchiv department) and have been transcribed </w:t>
      </w:r>
      <w:r w:rsidR="000C22EA">
        <w:t xml:space="preserve">by Karin Schneider </w:t>
      </w:r>
      <w:r>
        <w:t>in a series of FWF</w:t>
      </w:r>
      <w:r w:rsidR="000C22EA">
        <w:t>-</w:t>
      </w:r>
      <w:r>
        <w:t>funded projects. This spar</w:t>
      </w:r>
      <w:r w:rsidR="00A23AB4">
        <w:t>es</w:t>
      </w:r>
      <w:r>
        <w:t xml:space="preserve"> </w:t>
      </w:r>
      <w:r w:rsidR="00A23AB4">
        <w:t xml:space="preserve">handling of </w:t>
      </w:r>
      <w:r>
        <w:t>the original papers</w:t>
      </w:r>
      <w:r w:rsidR="00A23AB4">
        <w:t xml:space="preserve"> </w:t>
      </w:r>
      <w:r w:rsidR="007C54B0">
        <w:t>and provides easier access to the proceedings of the congresses—and thus</w:t>
      </w:r>
      <w:r>
        <w:t xml:space="preserve"> </w:t>
      </w:r>
      <w:r w:rsidR="00F017C2">
        <w:t xml:space="preserve">to </w:t>
      </w:r>
      <w:r>
        <w:t>resources on early nineteenth</w:t>
      </w:r>
      <w:r w:rsidR="007C54B0">
        <w:t>-</w:t>
      </w:r>
      <w:r>
        <w:t>century European history in the context of what has been dubbed the ‘Concert of Europe’.</w:t>
      </w:r>
    </w:p>
    <w:p w14:paraId="54E25623" w14:textId="6E82CEDF" w:rsidR="004A57F3" w:rsidRDefault="005D2D71">
      <w:r>
        <w:t xml:space="preserve">The Concert of Europe developed during the Napoleonic </w:t>
      </w:r>
      <w:r w:rsidR="00BA4D39">
        <w:t>Wars</w:t>
      </w:r>
      <w:r>
        <w:t xml:space="preserve">. In 1813, the </w:t>
      </w:r>
      <w:r w:rsidR="007C54B0">
        <w:t xml:space="preserve">great </w:t>
      </w:r>
      <w:r>
        <w:t xml:space="preserve">powers contracted in the </w:t>
      </w:r>
      <w:r w:rsidR="007C54B0">
        <w:t xml:space="preserve">Treaty </w:t>
      </w:r>
      <w:r>
        <w:t>of Chaumont to</w:t>
      </w:r>
      <w:r w:rsidR="007C54B0">
        <w:t xml:space="preserve"> not</w:t>
      </w:r>
      <w:r>
        <w:t xml:space="preserve"> </w:t>
      </w:r>
      <w:r w:rsidR="007C54B0">
        <w:t xml:space="preserve">conclude </w:t>
      </w:r>
      <w:r w:rsidR="00F017C2">
        <w:t>separate</w:t>
      </w:r>
      <w:r>
        <w:t xml:space="preserve"> peace treaties with France</w:t>
      </w:r>
      <w:r w:rsidR="007C54B0">
        <w:t>,</w:t>
      </w:r>
      <w:r>
        <w:t xml:space="preserve"> but </w:t>
      </w:r>
      <w:r w:rsidR="007C54B0">
        <w:t xml:space="preserve">instead </w:t>
      </w:r>
      <w:r>
        <w:t>to fight Napoleon until his final defeat. Austria, Great Britain, Prussia and Russia renewe</w:t>
      </w:r>
      <w:r w:rsidR="00572419">
        <w:t>d their alliance after Napoleon</w:t>
      </w:r>
      <w:r>
        <w:t xml:space="preserve"> returned from Elba in March 1815, transform</w:t>
      </w:r>
      <w:r w:rsidR="007C54B0">
        <w:t>ing</w:t>
      </w:r>
      <w:r>
        <w:t xml:space="preserve"> it </w:t>
      </w:r>
      <w:r w:rsidR="007C54B0">
        <w:t xml:space="preserve">in November of the same year </w:t>
      </w:r>
      <w:r>
        <w:t>into the so-called Quadruple alliance</w:t>
      </w:r>
      <w:r w:rsidR="007C54B0">
        <w:t>,</w:t>
      </w:r>
      <w:r>
        <w:t xml:space="preserve"> the nucleus of the European Concert of Powers. Article 6 of this treaty </w:t>
      </w:r>
      <w:r w:rsidR="007C54B0">
        <w:t xml:space="preserve">stipulated </w:t>
      </w:r>
      <w:r>
        <w:t>the periodical convocation of congresses to deal with issues of common European interest. In 1818, France was accepted in</w:t>
      </w:r>
      <w:r w:rsidR="007C54B0">
        <w:t>to</w:t>
      </w:r>
      <w:r>
        <w:t xml:space="preserve"> the alliance </w:t>
      </w:r>
      <w:r w:rsidR="007C54B0">
        <w:t xml:space="preserve">as a partner </w:t>
      </w:r>
      <w:r>
        <w:t>during the Congress of Aix-la-Chapelle</w:t>
      </w:r>
      <w:r w:rsidR="007C54B0">
        <w:t>, thus</w:t>
      </w:r>
      <w:r>
        <w:t xml:space="preserve"> complet</w:t>
      </w:r>
      <w:r w:rsidR="007C54B0">
        <w:t>ing</w:t>
      </w:r>
      <w:r>
        <w:t xml:space="preserve"> the quintet of the five European great powers.</w:t>
      </w:r>
    </w:p>
    <w:p w14:paraId="0A0F5F79" w14:textId="0A0E25D6" w:rsidR="004A57F3" w:rsidRDefault="005D2D71">
      <w:r>
        <w:t xml:space="preserve">But the agenda of the Congress of Aix-la-Chapelle </w:t>
      </w:r>
      <w:r w:rsidR="00F017C2">
        <w:t xml:space="preserve">included </w:t>
      </w:r>
      <w:r>
        <w:t xml:space="preserve">not </w:t>
      </w:r>
      <w:r w:rsidR="007C54B0">
        <w:t xml:space="preserve">just </w:t>
      </w:r>
      <w:r>
        <w:t xml:space="preserve">the reintegration of France into the European state system. It also provided a forum for problems already relevant at the Congress of Vienna </w:t>
      </w:r>
      <w:r w:rsidR="007C54B0">
        <w:t xml:space="preserve">that </w:t>
      </w:r>
      <w:r>
        <w:t xml:space="preserve">had not been solved in 1815. In other cases, the powers assumed the role of an arbitrator or an appeal body that mediated controversial issues. </w:t>
      </w:r>
    </w:p>
    <w:p w14:paraId="0ACE67DF" w14:textId="26F47B6E" w:rsidR="004A57F3" w:rsidRDefault="005D2D71">
      <w:r>
        <w:t xml:space="preserve">On the one hand, the diplomats and statesmen present in Aix-la-Chapelle dealt with issues connected to the political upheavals </w:t>
      </w:r>
      <w:r w:rsidR="007C54B0">
        <w:t>that had occurred</w:t>
      </w:r>
      <w:r>
        <w:t xml:space="preserve"> during the Napoleonic </w:t>
      </w:r>
      <w:r w:rsidR="00BA4D39">
        <w:t>Wars</w:t>
      </w:r>
      <w:r>
        <w:t xml:space="preserve">. </w:t>
      </w:r>
      <w:r w:rsidR="007C54B0">
        <w:t xml:space="preserve">This </w:t>
      </w:r>
      <w:r>
        <w:t>include</w:t>
      </w:r>
      <w:r w:rsidR="007C54B0">
        <w:t>d</w:t>
      </w:r>
      <w:r>
        <w:t xml:space="preserve"> negotiations </w:t>
      </w:r>
      <w:r w:rsidR="007C54B0">
        <w:t xml:space="preserve">on </w:t>
      </w:r>
      <w:r>
        <w:t xml:space="preserve">border and custom disputes within the German Confederation, the fate of the Bonaparte family, the question of ceremonial rank in the diplomatic corps (which had already been discussed in Vienna in 1814/15), and the legal status of the Jews in the German Confederation. </w:t>
      </w:r>
      <w:r w:rsidR="007C54B0">
        <w:t>In addition</w:t>
      </w:r>
      <w:r>
        <w:t>, the plenipotentiaries addressed the conflict between Denmark and Sweden regarding Swedish indemnity payments as part of the obligations contracted in the Treaty of Kiel in January 1814, as well as the complaints of the inhabitants of Monaco against the governmental system initiated by their new prince.</w:t>
      </w:r>
    </w:p>
    <w:p w14:paraId="2B73915B" w14:textId="6FEEE154" w:rsidR="004A57F3" w:rsidRDefault="005D2D71">
      <w:r>
        <w:t xml:space="preserve">On the other hand, </w:t>
      </w:r>
      <w:r w:rsidR="001A6E2D">
        <w:t xml:space="preserve">certain </w:t>
      </w:r>
      <w:r>
        <w:t>topics negotiated in Aix-la-Chapelle</w:t>
      </w:r>
      <w:r w:rsidR="00C00A88">
        <w:t xml:space="preserve"> also</w:t>
      </w:r>
      <w:r>
        <w:t xml:space="preserve"> had a global or humanitarian character. Following up on the </w:t>
      </w:r>
      <w:r w:rsidR="001A6E2D">
        <w:t>proceedings of</w:t>
      </w:r>
      <w:r>
        <w:t xml:space="preserve"> the Congress</w:t>
      </w:r>
      <w:r w:rsidR="001A6E2D">
        <w:t xml:space="preserve"> of Vienna</w:t>
      </w:r>
      <w:r>
        <w:t xml:space="preserve">, the plenipotentiaries discussed the </w:t>
      </w:r>
      <w:r w:rsidR="001A6E2D">
        <w:t xml:space="preserve">abolishment </w:t>
      </w:r>
      <w:r>
        <w:t xml:space="preserve">of </w:t>
      </w:r>
      <w:r w:rsidR="00E15E96">
        <w:t xml:space="preserve">the </w:t>
      </w:r>
      <w:r>
        <w:t>Atlantic slave trade, the fight against the Barbary pirates and the liberation of their Christian prisoners. A new issue related to the global order was South America. The revolutions there</w:t>
      </w:r>
      <w:r w:rsidR="001A6E2D">
        <w:t>,</w:t>
      </w:r>
      <w:r>
        <w:t xml:space="preserve"> as well as the conflict over Montevideo</w:t>
      </w:r>
      <w:r w:rsidR="001A6E2D">
        <w:t>,</w:t>
      </w:r>
      <w:r>
        <w:t xml:space="preserve"> were important points on the agenda of the statesmen and diplomats assembled in Aix-la-Chapelle. Moreover, the </w:t>
      </w:r>
      <w:r w:rsidR="001A6E2D">
        <w:t xml:space="preserve">negotiators </w:t>
      </w:r>
      <w:r>
        <w:t xml:space="preserve">dealt with the fate of the </w:t>
      </w:r>
      <w:r w:rsidR="001A6E2D">
        <w:t xml:space="preserve">former </w:t>
      </w:r>
      <w:r>
        <w:t>Swedish queen and her family.</w:t>
      </w:r>
    </w:p>
    <w:p w14:paraId="0B9C2482" w14:textId="4A834B27" w:rsidR="004A57F3" w:rsidRDefault="005D2D71">
      <w:r>
        <w:t>The congresses of Troppau/Opava and Laibach/Ljubljana (1820/21) differed from the negotiations in Aix-la-Chapelle</w:t>
      </w:r>
      <w:r w:rsidR="001A6E2D">
        <w:t xml:space="preserve"> in that</w:t>
      </w:r>
      <w:r>
        <w:t xml:space="preserve"> there was only </w:t>
      </w:r>
      <w:r w:rsidR="001A6E2D">
        <w:t xml:space="preserve">a single </w:t>
      </w:r>
      <w:r>
        <w:t xml:space="preserve">issue on the agenda: the fear of new revolutions in </w:t>
      </w:r>
      <w:r w:rsidR="001A6E2D">
        <w:t>Europe</w:t>
      </w:r>
      <w:r>
        <w:t>. In 1820, revolution</w:t>
      </w:r>
      <w:r w:rsidR="00C00A88">
        <w:t>s</w:t>
      </w:r>
      <w:r>
        <w:t xml:space="preserve"> </w:t>
      </w:r>
      <w:r w:rsidR="001A6E2D">
        <w:t xml:space="preserve">had broken </w:t>
      </w:r>
      <w:r>
        <w:t xml:space="preserve">out in Spain, Portugal and the Kingdom of the Two Sicilies. The new governments proclaimed the liberal </w:t>
      </w:r>
      <w:r w:rsidR="001A6E2D">
        <w:t xml:space="preserve">Constitution </w:t>
      </w:r>
      <w:r>
        <w:t>of Cádiz of 1812, which limited the rights of the monarchic sovereign and</w:t>
      </w:r>
      <w:r w:rsidR="001A6E2D">
        <w:t>—</w:t>
      </w:r>
      <w:r>
        <w:t>in the view of conservative statesmen and traditional monarchs</w:t>
      </w:r>
      <w:r w:rsidR="001A6E2D">
        <w:t>—</w:t>
      </w:r>
      <w:r>
        <w:t xml:space="preserve">posed a threat </w:t>
      </w:r>
      <w:r>
        <w:lastRenderedPageBreak/>
        <w:t xml:space="preserve">to peace and tranquillity in Europe. The discussions and negotiations in these years not only </w:t>
      </w:r>
      <w:r w:rsidR="001A6E2D">
        <w:t xml:space="preserve">evidence </w:t>
      </w:r>
      <w:r>
        <w:t xml:space="preserve">the fear of revolution but </w:t>
      </w:r>
      <w:r w:rsidR="00CB4A2A">
        <w:t xml:space="preserve">also </w:t>
      </w:r>
      <w:r>
        <w:t xml:space="preserve">reflect the complex relations between the European powers </w:t>
      </w:r>
      <w:r w:rsidR="00CB4A2A">
        <w:t xml:space="preserve">during </w:t>
      </w:r>
      <w:r>
        <w:t xml:space="preserve">this </w:t>
      </w:r>
      <w:r w:rsidR="00CB4A2A">
        <w:t xml:space="preserve">period </w:t>
      </w:r>
      <w:r w:rsidR="00F017C2">
        <w:t>and the connection between f</w:t>
      </w:r>
      <w:r>
        <w:t xml:space="preserve">oreign policy and internal political considerations. The governments of France and Great Britain </w:t>
      </w:r>
      <w:r w:rsidR="00CB4A2A">
        <w:t xml:space="preserve">were </w:t>
      </w:r>
      <w:r>
        <w:t>both struggl</w:t>
      </w:r>
      <w:r w:rsidR="00CB4A2A">
        <w:t>ing</w:t>
      </w:r>
      <w:r>
        <w:t xml:space="preserve"> with domestic problems and a strong opposition. </w:t>
      </w:r>
      <w:r w:rsidR="00CB4A2A">
        <w:t>Neither state</w:t>
      </w:r>
      <w:r>
        <w:t xml:space="preserve"> </w:t>
      </w:r>
      <w:r w:rsidR="00CB4A2A">
        <w:t xml:space="preserve">sent </w:t>
      </w:r>
      <w:r>
        <w:t>official plenipotentiaries to Troppau/Opava in order not to stir up liberal headwinds at home</w:t>
      </w:r>
      <w:r w:rsidR="00CB4A2A">
        <w:t>; instead they opted to dispatch only observers</w:t>
      </w:r>
      <w:r>
        <w:t xml:space="preserve">. Nevertheless, the diplomats and statesmen </w:t>
      </w:r>
      <w:r w:rsidR="00CB4A2A">
        <w:t xml:space="preserve">signed off </w:t>
      </w:r>
      <w:r>
        <w:t>the proposal of Austria’s foreign minister Metternich and</w:t>
      </w:r>
      <w:r w:rsidR="00C00A88">
        <w:t>, in 1821,</w:t>
      </w:r>
      <w:r>
        <w:t xml:space="preserve"> decided to suppress the revolution in the Kingdom of the Two Sicilies. Furthermore, the plenipotentiaries decided to </w:t>
      </w:r>
      <w:r w:rsidR="00CB4A2A">
        <w:t xml:space="preserve">convene </w:t>
      </w:r>
      <w:r>
        <w:t xml:space="preserve">a new congress </w:t>
      </w:r>
      <w:r w:rsidR="00CB4A2A">
        <w:t xml:space="preserve">in </w:t>
      </w:r>
      <w:r>
        <w:t>the following year to discuss the end of the military occupation of Naples.</w:t>
      </w:r>
    </w:p>
    <w:p w14:paraId="0031378B" w14:textId="534FBA53" w:rsidR="004A57F3" w:rsidRDefault="005D2D71">
      <w:r>
        <w:t xml:space="preserve">In 1822, the representatives of the European powers gathered in Verona. </w:t>
      </w:r>
      <w:r w:rsidR="00E15E96">
        <w:t>I</w:t>
      </w:r>
      <w:r>
        <w:t>n the meantime</w:t>
      </w:r>
      <w:r w:rsidR="00C00A88">
        <w:t>,</w:t>
      </w:r>
      <w:r>
        <w:t xml:space="preserve"> </w:t>
      </w:r>
      <w:r w:rsidR="00E15E96">
        <w:t xml:space="preserve">however, </w:t>
      </w:r>
      <w:r>
        <w:t xml:space="preserve">the results of the </w:t>
      </w:r>
      <w:r w:rsidR="00E15E96">
        <w:t xml:space="preserve">meetings at </w:t>
      </w:r>
      <w:r>
        <w:t xml:space="preserve">Troppau/Opava and Laibach/Ljubljana had been </w:t>
      </w:r>
      <w:r w:rsidR="00E15E96">
        <w:t xml:space="preserve">voided </w:t>
      </w:r>
      <w:r>
        <w:t xml:space="preserve">by the course of events: </w:t>
      </w:r>
      <w:r w:rsidR="00E15E96">
        <w:t xml:space="preserve">Following </w:t>
      </w:r>
      <w:r>
        <w:t>the revolution of 1820</w:t>
      </w:r>
      <w:r w:rsidR="00E15E96">
        <w:t>,</w:t>
      </w:r>
      <w:r>
        <w:t xml:space="preserve"> Spain was in fact in a state </w:t>
      </w:r>
      <w:r w:rsidR="00E15E96">
        <w:t>on the brink of</w:t>
      </w:r>
      <w:r>
        <w:t xml:space="preserve"> civil war</w:t>
      </w:r>
      <w:r w:rsidR="00E15E96">
        <w:t>, and from</w:t>
      </w:r>
      <w:r w:rsidR="00C00A88">
        <w:t xml:space="preserve"> </w:t>
      </w:r>
      <w:r>
        <w:t xml:space="preserve">the perspective of the French government, </w:t>
      </w:r>
      <w:r w:rsidR="00E15E96">
        <w:t>this circumstance</w:t>
      </w:r>
      <w:r>
        <w:t xml:space="preserve"> threatened peace and security in France. </w:t>
      </w:r>
      <w:r w:rsidR="00E15E96">
        <w:t>T</w:t>
      </w:r>
      <w:r>
        <w:t xml:space="preserve">he most important topic on the agenda was </w:t>
      </w:r>
      <w:r w:rsidR="00E15E96">
        <w:t xml:space="preserve">thus </w:t>
      </w:r>
      <w:r>
        <w:t xml:space="preserve">the envisaged French military intervention on the Iberian Peninsula. But the plenipotentiaries deliberated not only </w:t>
      </w:r>
      <w:r w:rsidR="00F017C2">
        <w:t xml:space="preserve">on </w:t>
      </w:r>
      <w:r>
        <w:t xml:space="preserve">the difficult situation in Spain, </w:t>
      </w:r>
      <w:r w:rsidR="00E15E96">
        <w:t>they also dealt with</w:t>
      </w:r>
      <w:r w:rsidR="00F017C2">
        <w:t xml:space="preserve"> </w:t>
      </w:r>
      <w:r>
        <w:t xml:space="preserve">political questions regarding Italy. In particular, they discussed the withdrawal of the occupation forces from the Kingdom of the Two Sicilies and the Kingdom of Sardinia-Piedmont after the </w:t>
      </w:r>
      <w:r w:rsidR="00E15E96">
        <w:t xml:space="preserve">revolutions of </w:t>
      </w:r>
      <w:r>
        <w:t>182</w:t>
      </w:r>
      <w:ins w:id="2" w:author="Karin" w:date="2019-02-11T14:09:00Z">
        <w:r w:rsidR="0089678A">
          <w:t>0 and 182</w:t>
        </w:r>
      </w:ins>
      <w:r>
        <w:t xml:space="preserve">1. Similar to the proceedings </w:t>
      </w:r>
      <w:r w:rsidR="00E15E96">
        <w:t xml:space="preserve">at </w:t>
      </w:r>
      <w:r>
        <w:t xml:space="preserve">Aix-la-Chapelle, the diplomats and statesmen assembled in Verona </w:t>
      </w:r>
      <w:r w:rsidR="00E15E96">
        <w:t>also spoke about</w:t>
      </w:r>
      <w:r>
        <w:t xml:space="preserve"> </w:t>
      </w:r>
      <w:r w:rsidR="00E15E96">
        <w:t xml:space="preserve">various </w:t>
      </w:r>
      <w:r>
        <w:t xml:space="preserve">political, humanitarian and economic issues of European interest, e.g. the </w:t>
      </w:r>
      <w:r w:rsidR="00E15E96">
        <w:t xml:space="preserve">strained </w:t>
      </w:r>
      <w:r>
        <w:t xml:space="preserve">relations </w:t>
      </w:r>
      <w:r w:rsidR="00E15E96">
        <w:t xml:space="preserve">with </w:t>
      </w:r>
      <w:r>
        <w:t xml:space="preserve">the Ottoman Empire and </w:t>
      </w:r>
      <w:r w:rsidR="00E15E96">
        <w:t>—</w:t>
      </w:r>
      <w:r>
        <w:t xml:space="preserve">closely </w:t>
      </w:r>
      <w:r w:rsidR="00E15E96">
        <w:t>related—</w:t>
      </w:r>
      <w:r>
        <w:t xml:space="preserve">the Greek </w:t>
      </w:r>
      <w:r w:rsidR="00E15E96">
        <w:t xml:space="preserve">War </w:t>
      </w:r>
      <w:r>
        <w:t xml:space="preserve">of </w:t>
      </w:r>
      <w:r w:rsidR="00E15E96">
        <w:t>Independence</w:t>
      </w:r>
      <w:r>
        <w:t>, the Atlantic slave trade, the relation</w:t>
      </w:r>
      <w:r w:rsidR="00E15E96">
        <w:t>ship</w:t>
      </w:r>
      <w:r>
        <w:t xml:space="preserve"> between the European </w:t>
      </w:r>
      <w:r w:rsidR="00E15E96">
        <w:t xml:space="preserve">powers </w:t>
      </w:r>
      <w:r>
        <w:t>and the former colonies in South America, custom</w:t>
      </w:r>
      <w:r w:rsidR="00E15E96">
        <w:t>s</w:t>
      </w:r>
      <w:r>
        <w:t xml:space="preserve">-free transport </w:t>
      </w:r>
      <w:r w:rsidR="00E15E96">
        <w:t>along rivers, and</w:t>
      </w:r>
      <w:r>
        <w:t xml:space="preserve"> the fate and </w:t>
      </w:r>
      <w:r w:rsidR="00E15E96">
        <w:t>domiciles</w:t>
      </w:r>
      <w:r>
        <w:t xml:space="preserve"> of members of the Bonaparte and Murat family</w:t>
      </w:r>
      <w:r w:rsidR="00E15E96">
        <w:t xml:space="preserve"> along with</w:t>
      </w:r>
      <w:r>
        <w:t xml:space="preserve"> legal claims deriving from the Napoleonic era.</w:t>
      </w:r>
    </w:p>
    <w:p w14:paraId="7B2C7854" w14:textId="0BB7C623" w:rsidR="004A57F3" w:rsidRDefault="005D2D71">
      <w:r>
        <w:t xml:space="preserve">The Congress of Verona was the last gathering on the basis of </w:t>
      </w:r>
      <w:r w:rsidR="00E15E96">
        <w:t xml:space="preserve">Article </w:t>
      </w:r>
      <w:r>
        <w:t xml:space="preserve">6 of the </w:t>
      </w:r>
      <w:r w:rsidR="00E15E96">
        <w:t xml:space="preserve">1815 </w:t>
      </w:r>
      <w:r>
        <w:t xml:space="preserve">treaty </w:t>
      </w:r>
      <w:r w:rsidR="00E15E96">
        <w:t xml:space="preserve">among </w:t>
      </w:r>
      <w:r>
        <w:t xml:space="preserve">the quadruple alliance. Seven years after the Congress of Vienna, this form of consultation practice </w:t>
      </w:r>
      <w:r w:rsidR="00E15E96">
        <w:t xml:space="preserve">had come </w:t>
      </w:r>
      <w:r>
        <w:t>to an end. The reasons for this development are complex a</w:t>
      </w:r>
      <w:r w:rsidR="00572419">
        <w:t xml:space="preserve">nd may be </w:t>
      </w:r>
      <w:r w:rsidR="00E15E96">
        <w:t xml:space="preserve">sought </w:t>
      </w:r>
      <w:r w:rsidR="00572419">
        <w:t xml:space="preserve">in the personalities </w:t>
      </w:r>
      <w:r>
        <w:t>of the actors</w:t>
      </w:r>
      <w:r w:rsidR="00BA4D39">
        <w:t xml:space="preserve"> and</w:t>
      </w:r>
      <w:r>
        <w:t xml:space="preserve"> the shift of the political </w:t>
      </w:r>
      <w:r w:rsidR="00572419">
        <w:t>focus</w:t>
      </w:r>
      <w:r>
        <w:t xml:space="preserve"> from Western and Southern Eur</w:t>
      </w:r>
      <w:r w:rsidR="00572419">
        <w:t xml:space="preserve">ope towards </w:t>
      </w:r>
      <w:r w:rsidR="00BA4D39">
        <w:t>South-eastern</w:t>
      </w:r>
      <w:r w:rsidR="00572419">
        <w:t xml:space="preserve"> Europe. The Greek insurrection and the reaction of the powers </w:t>
      </w:r>
      <w:r w:rsidR="00C00A88">
        <w:t xml:space="preserve">clearly </w:t>
      </w:r>
      <w:r w:rsidR="00572419">
        <w:t xml:space="preserve">showed their </w:t>
      </w:r>
      <w:r>
        <w:t>divergent interests</w:t>
      </w:r>
      <w:r w:rsidR="00572419">
        <w:t xml:space="preserve"> in this part of the world</w:t>
      </w:r>
      <w:r>
        <w:t>.</w:t>
      </w:r>
      <w:r w:rsidR="00572419" w:rsidRPr="00F017C2">
        <w:rPr>
          <w:rStyle w:val="Funotenzeichen"/>
          <w:vertAlign w:val="superscript"/>
        </w:rPr>
        <w:footnoteReference w:id="2"/>
      </w:r>
      <w:r>
        <w:t xml:space="preserve"> </w:t>
      </w:r>
      <w:r w:rsidR="00BA4D39">
        <w:t>They</w:t>
      </w:r>
      <w:r>
        <w:t xml:space="preserve"> </w:t>
      </w:r>
      <w:r w:rsidR="00BA4D39">
        <w:t xml:space="preserve">nevertheless </w:t>
      </w:r>
      <w:r>
        <w:t>continued their close cooperation and consultation</w:t>
      </w:r>
      <w:r w:rsidR="00BA4D39">
        <w:t>, however:</w:t>
      </w:r>
      <w:r>
        <w:t xml:space="preserve"> During the nineteenth century, several multilateral conferences </w:t>
      </w:r>
      <w:r w:rsidR="00BA4D39">
        <w:t xml:space="preserve">at </w:t>
      </w:r>
      <w:r>
        <w:t xml:space="preserve">different diplomatic levels took place to deliberate </w:t>
      </w:r>
      <w:r w:rsidR="00F017C2">
        <w:t xml:space="preserve">on </w:t>
      </w:r>
      <w:r>
        <w:t xml:space="preserve">and regulate international conflicts. On more than 15 occasions, the representatives of the </w:t>
      </w:r>
      <w:r w:rsidR="00BA4D39">
        <w:t xml:space="preserve">European </w:t>
      </w:r>
      <w:r>
        <w:t xml:space="preserve">powers discussed mediation strategies, </w:t>
      </w:r>
      <w:r w:rsidR="00BA4D39">
        <w:t xml:space="preserve">engaged in </w:t>
      </w:r>
      <w:r>
        <w:t xml:space="preserve">conflict management and took concerted measures to increase diplomatic pressure </w:t>
      </w:r>
      <w:r w:rsidR="00BA4D39">
        <w:t xml:space="preserve">with the goal of </w:t>
      </w:r>
      <w:r>
        <w:t>forestall</w:t>
      </w:r>
      <w:r w:rsidR="00BA4D39">
        <w:t>ing</w:t>
      </w:r>
      <w:r>
        <w:t xml:space="preserve"> military confrontation</w:t>
      </w:r>
      <w:r w:rsidR="00BA4D39">
        <w:t>s</w:t>
      </w:r>
      <w:r>
        <w:t xml:space="preserve"> and secur</w:t>
      </w:r>
      <w:r w:rsidR="00BA4D39">
        <w:t>ing the</w:t>
      </w:r>
      <w:r>
        <w:t xml:space="preserve"> peace.</w:t>
      </w:r>
      <w:r>
        <w:rPr>
          <w:rStyle w:val="Funotenanker"/>
        </w:rPr>
        <w:footnoteReference w:id="3"/>
      </w:r>
      <w:r>
        <w:t xml:space="preserve"> Even though the Concert of Europe </w:t>
      </w:r>
      <w:r w:rsidR="00C00A88">
        <w:t>was not based</w:t>
      </w:r>
      <w:r>
        <w:t xml:space="preserve"> on firm, institutionalised structures but mainly on the commitment of leading </w:t>
      </w:r>
      <w:r>
        <w:lastRenderedPageBreak/>
        <w:t xml:space="preserve">statesmen and monarchs, it continued to exist and function at least until the Crimean War </w:t>
      </w:r>
      <w:r w:rsidR="00F017C2">
        <w:t xml:space="preserve">that </w:t>
      </w:r>
      <w:r w:rsidR="00BA4D39">
        <w:t xml:space="preserve">began </w:t>
      </w:r>
      <w:r>
        <w:t xml:space="preserve">in 1853. </w:t>
      </w:r>
      <w:r w:rsidR="00BA4D39">
        <w:t>S</w:t>
      </w:r>
      <w:r>
        <w:t>everal conferences and consultation meetings to regulate European affairs</w:t>
      </w:r>
      <w:r w:rsidR="00BA4D39">
        <w:t xml:space="preserve"> still took place in the second half of the nineteenth century, however—the practice </w:t>
      </w:r>
      <w:r>
        <w:t>only came to</w:t>
      </w:r>
      <w:r w:rsidR="00C00A88">
        <w:t xml:space="preserve"> an</w:t>
      </w:r>
      <w:r>
        <w:t xml:space="preserve"> end when World War I </w:t>
      </w:r>
      <w:ins w:id="3" w:author="Karin" w:date="2019-02-11T14:21:00Z">
        <w:r w:rsidR="002F7763">
          <w:t xml:space="preserve">and the founding of the League of Nations in 1920 </w:t>
        </w:r>
      </w:ins>
      <w:r>
        <w:t>brought a decisive break.</w:t>
      </w:r>
    </w:p>
    <w:p w14:paraId="74112E7E" w14:textId="3719736A" w:rsidR="004A57F3" w:rsidRDefault="005D2D71">
      <w:r>
        <w:t xml:space="preserve">The congresses can be </w:t>
      </w:r>
      <w:r w:rsidR="00C00A88">
        <w:t xml:space="preserve">interpreted </w:t>
      </w:r>
      <w:r>
        <w:t>as diplomatic manifestations of a new approach to international relations in the first decades of the nineteenth century. As Paul W. Schroeder has pointed out, the European system of powers moved towards cooperation and consensus in the wake of the Napoleonic Wars.</w:t>
      </w:r>
      <w:r>
        <w:rPr>
          <w:rStyle w:val="Funotenanker"/>
        </w:rPr>
        <w:footnoteReference w:id="4"/>
      </w:r>
      <w:r>
        <w:t xml:space="preserve"> The </w:t>
      </w:r>
      <w:r w:rsidR="00BA4D39">
        <w:t>Concert of Europe</w:t>
      </w:r>
      <w:r>
        <w:t xml:space="preserve"> institutionalized international conferences to discuss problems concerning Europe and mediate between conflicting parties </w:t>
      </w:r>
      <w:r w:rsidR="00BA4D39">
        <w:t xml:space="preserve">so as </w:t>
      </w:r>
      <w:r>
        <w:t xml:space="preserve">to secure peace and tranquillity on the continent. </w:t>
      </w:r>
      <w:r w:rsidR="00BA4D39">
        <w:t>Besides several ambassadorial conferences, t</w:t>
      </w:r>
      <w:r>
        <w:t xml:space="preserve">he four congresses </w:t>
      </w:r>
      <w:r w:rsidR="00BA4D39">
        <w:t xml:space="preserve">convened </w:t>
      </w:r>
      <w:r>
        <w:t xml:space="preserve">after the Congress of Vienna </w:t>
      </w:r>
      <w:r w:rsidR="00C00A88">
        <w:t xml:space="preserve">were </w:t>
      </w:r>
      <w:r>
        <w:t>means to achieve these ends.</w:t>
      </w:r>
    </w:p>
    <w:p w14:paraId="5231894A" w14:textId="086763C4" w:rsidR="004A57F3" w:rsidRDefault="005D2D71">
      <w:pPr>
        <w:pStyle w:val="berschrift11"/>
      </w:pPr>
      <w:r>
        <w:t xml:space="preserve">Preliminary </w:t>
      </w:r>
      <w:r w:rsidR="00AB14CE">
        <w:t xml:space="preserve">Work </w:t>
      </w:r>
      <w:r>
        <w:t xml:space="preserve">and Cooperation </w:t>
      </w:r>
      <w:r w:rsidR="00AB14CE">
        <w:t>Partners</w:t>
      </w:r>
    </w:p>
    <w:p w14:paraId="516CBCEA" w14:textId="7F4644F3" w:rsidR="004A57F3" w:rsidRDefault="00AB14CE">
      <w:pPr>
        <w:pStyle w:val="FirstParagraph"/>
      </w:pPr>
      <w:r>
        <w:t>T</w:t>
      </w:r>
      <w:r w:rsidR="005D2D71">
        <w:t xml:space="preserve">ranscription of the documents related to the congresses </w:t>
      </w:r>
      <w:r>
        <w:t xml:space="preserve">began </w:t>
      </w:r>
      <w:r w:rsidR="005D2D71">
        <w:t xml:space="preserve">in 2009 as part of the FWF-funded project “Der Wiener Kongress und sein europäisches Friedenssystem”, headed by Reinhard Stauber (University of Klagenfurt). Karin Schneider finished this </w:t>
      </w:r>
      <w:r>
        <w:t xml:space="preserve">task </w:t>
      </w:r>
      <w:r w:rsidR="005D2D71">
        <w:t xml:space="preserve">in the scope of her project “Die Kongresse von Troppau und Laibach 1820/21”, </w:t>
      </w:r>
      <w:r>
        <w:t xml:space="preserve">likewise </w:t>
      </w:r>
      <w:r w:rsidR="005D2D71">
        <w:t xml:space="preserve">funded by the FWF. </w:t>
      </w:r>
      <w:r>
        <w:t>I</w:t>
      </w:r>
      <w:r w:rsidR="005D2D71">
        <w:t xml:space="preserve">t was </w:t>
      </w:r>
      <w:r>
        <w:t xml:space="preserve">initially </w:t>
      </w:r>
      <w:r w:rsidR="005D2D71">
        <w:t>intended to publish the documents in a printed edition in the series of the “Kommission für die neuere Geschichte Österreichs”</w:t>
      </w:r>
      <w:r>
        <w:t>,</w:t>
      </w:r>
      <w:r w:rsidR="005D2D71">
        <w:t xml:space="preserve"> </w:t>
      </w:r>
      <w:r>
        <w:t xml:space="preserve">but </w:t>
      </w:r>
      <w:r w:rsidR="0049548A">
        <w:t>given</w:t>
      </w:r>
      <w:r w:rsidR="005D2D71">
        <w:t xml:space="preserve"> the advantages of digital editions</w:t>
      </w:r>
      <w:r>
        <w:t>,</w:t>
      </w:r>
      <w:r w:rsidR="005D2D71">
        <w:t xml:space="preserve"> this plan was </w:t>
      </w:r>
      <w:r w:rsidR="0049548A">
        <w:t>discarded</w:t>
      </w:r>
      <w:r w:rsidR="005D2D71">
        <w:t>. Two arguments justify the edition</w:t>
      </w:r>
      <w:r>
        <w:t>:</w:t>
      </w:r>
      <w:r w:rsidR="005D2D71">
        <w:t xml:space="preserve"> </w:t>
      </w:r>
      <w:r>
        <w:t>the goal of</w:t>
      </w:r>
      <w:r w:rsidR="005D2D71">
        <w:t xml:space="preserve"> general accessibility of </w:t>
      </w:r>
      <w:r w:rsidR="0049548A">
        <w:t>reliable</w:t>
      </w:r>
      <w:r w:rsidR="005D2D71">
        <w:t xml:space="preserve"> transcripts of the Congresses’ respective </w:t>
      </w:r>
      <w:r w:rsidR="0049548A">
        <w:t>record</w:t>
      </w:r>
      <w:r w:rsidR="005D2D71">
        <w:t xml:space="preserve">s (which could have been tackled </w:t>
      </w:r>
      <w:r w:rsidR="00CE732E">
        <w:t xml:space="preserve">in </w:t>
      </w:r>
      <w:r w:rsidR="005D2D71">
        <w:t xml:space="preserve">a ‘traditional’ paper-based edition as well), </w:t>
      </w:r>
      <w:r w:rsidR="00CE732E">
        <w:t>and the expansion</w:t>
      </w:r>
      <w:r w:rsidR="005D2D71">
        <w:t xml:space="preserve"> to online accessibility without the need to physically </w:t>
      </w:r>
      <w:r w:rsidR="00CE732E">
        <w:t xml:space="preserve">travel </w:t>
      </w:r>
      <w:r w:rsidR="005D2D71">
        <w:t xml:space="preserve">to either the archives or a library </w:t>
      </w:r>
      <w:commentRangeStart w:id="4"/>
      <w:del w:id="5" w:author="Stephan Stockinger" w:date="2019-01-18T15:19:00Z">
        <w:r w:rsidR="005D2D71" w:rsidDel="00CE732E">
          <w:delText xml:space="preserve">holding </w:delText>
        </w:r>
      </w:del>
      <w:ins w:id="6" w:author="Stephan Stockinger" w:date="2019-01-18T15:19:00Z">
        <w:r w:rsidR="00CE732E">
          <w:t xml:space="preserve">owning </w:t>
        </w:r>
      </w:ins>
      <w:commentRangeEnd w:id="4"/>
      <w:r w:rsidR="00F05F7C">
        <w:rPr>
          <w:rStyle w:val="Kommentarzeichen"/>
        </w:rPr>
        <w:commentReference w:id="4"/>
      </w:r>
      <w:r w:rsidR="005D2D71">
        <w:t>a paper edition.</w:t>
      </w:r>
    </w:p>
    <w:p w14:paraId="53983F76" w14:textId="49962A94" w:rsidR="004A57F3" w:rsidRDefault="00CE732E">
      <w:pPr>
        <w:pStyle w:val="Textkrper"/>
      </w:pPr>
      <w:ins w:id="7" w:author="Stephan Stockinger" w:date="2019-01-18T15:19:00Z">
        <w:del w:id="8" w:author="Kurz, Stephan" w:date="2019-02-11T15:03:00Z">
          <w:r w:rsidDel="00F05F7C">
            <w:delText>Several</w:delText>
          </w:r>
        </w:del>
      </w:ins>
      <w:ins w:id="9" w:author="Kurz, Stephan" w:date="2019-02-11T15:03:00Z">
        <w:r w:rsidR="00F05F7C">
          <w:t>Two</w:t>
        </w:r>
      </w:ins>
      <w:r>
        <w:t xml:space="preserve"> workshops on </w:t>
      </w:r>
      <w:r w:rsidR="005D2D71">
        <w:t>digital editing at the ÖAW provided important input and facilitated this decision, namely the ACDH Tool Gallery 3.1 “XML, TEI, OXYGEN: Einführung und Praxis” (Daniel Schopper and Ulrike Czeitschner) and the Summer School at the Institute for Modern and Contemporary Historical Research (INZ) in October 2017.</w:t>
      </w:r>
      <w:r w:rsidR="005D2D71">
        <w:rPr>
          <w:rStyle w:val="Funotenanker"/>
          <w:lang w:val="de-AT"/>
        </w:rPr>
        <w:footnoteReference w:id="5"/>
      </w:r>
    </w:p>
    <w:p w14:paraId="12C785A2" w14:textId="75E0F06C" w:rsidR="004A57F3" w:rsidRDefault="005D2D71">
      <w:pPr>
        <w:pStyle w:val="Textkrper"/>
      </w:pPr>
      <w:r>
        <w:t>Moreover, the ÖAW-ACDH, which serves as a service institution within the Austrian Academy of Sciences, provided technical support and</w:t>
      </w:r>
      <w:r w:rsidR="00C00A88">
        <w:t xml:space="preserve"> a suitable</w:t>
      </w:r>
      <w:r>
        <w:t xml:space="preserve"> infrastructure.</w:t>
      </w:r>
    </w:p>
    <w:p w14:paraId="0B5E63AF" w14:textId="58F9A87F" w:rsidR="004A57F3" w:rsidRDefault="005D2D71">
      <w:pPr>
        <w:pStyle w:val="berschrift11"/>
      </w:pPr>
      <w:bookmarkStart w:id="10" w:name="transcriptions-in-xml"/>
      <w:r>
        <w:lastRenderedPageBreak/>
        <w:t>Transcription in</w:t>
      </w:r>
      <w:r w:rsidR="00CE732E">
        <w:t>to</w:t>
      </w:r>
      <w:r>
        <w:t xml:space="preserve"> XML</w:t>
      </w:r>
      <w:bookmarkEnd w:id="10"/>
    </w:p>
    <w:p w14:paraId="3F22DD28" w14:textId="612FDEF9" w:rsidR="004A57F3" w:rsidRDefault="005D2D71">
      <w:pPr>
        <w:pStyle w:val="FirstParagraph"/>
      </w:pPr>
      <w:r>
        <w:t xml:space="preserve">Following widespread good practice of digital scholarly editing, the transcriptions were </w:t>
      </w:r>
      <w:r w:rsidR="00CE732E">
        <w:t xml:space="preserve">created </w:t>
      </w:r>
      <w:r>
        <w:t>using the XML schema proposed by the Text Encoding Initiative (TEI P5).</w:t>
      </w:r>
      <w:r>
        <w:rPr>
          <w:rStyle w:val="Funotenanker"/>
        </w:rPr>
        <w:footnoteReference w:id="6"/>
      </w:r>
      <w:r>
        <w:t xml:space="preserve"> Given that there are only </w:t>
      </w:r>
      <w:r w:rsidR="00CE732E">
        <w:t xml:space="preserve">individual </w:t>
      </w:r>
      <w:r>
        <w:t>archival records available as source materials</w:t>
      </w:r>
      <w:r w:rsidR="00CE732E" w:rsidRPr="00CE732E">
        <w:t xml:space="preserve"> </w:t>
      </w:r>
      <w:r w:rsidR="00CE732E">
        <w:t>in almost all cases</w:t>
      </w:r>
      <w:r>
        <w:t xml:space="preserve">, this </w:t>
      </w:r>
      <w:r w:rsidR="00CE732E">
        <w:t xml:space="preserve">represented </w:t>
      </w:r>
      <w:r>
        <w:t xml:space="preserve">an adequate solution that did not require much additional manual markup </w:t>
      </w:r>
      <w:commentRangeStart w:id="12"/>
      <w:r>
        <w:t>effort</w:t>
      </w:r>
      <w:commentRangeEnd w:id="12"/>
      <w:r w:rsidR="00F05F7C">
        <w:rPr>
          <w:rStyle w:val="Kommentarzeichen"/>
        </w:rPr>
        <w:commentReference w:id="12"/>
      </w:r>
      <w:r>
        <w:t>.</w:t>
      </w:r>
      <w:r>
        <w:rPr>
          <w:rStyle w:val="Funotenanker"/>
        </w:rPr>
        <w:footnoteReference w:id="7"/>
      </w:r>
    </w:p>
    <w:p w14:paraId="378B244B" w14:textId="1D6BB66B" w:rsidR="004A57F3" w:rsidRDefault="005D2D71">
      <w:pPr>
        <w:pStyle w:val="Textkrper"/>
      </w:pPr>
      <w:r>
        <w:t xml:space="preserve">From the perspective of editorial scholarship, the </w:t>
      </w:r>
      <w:r w:rsidR="0011535C">
        <w:t xml:space="preserve">“Mächtekongresse” </w:t>
      </w:r>
      <w:r>
        <w:t xml:space="preserve">edition </w:t>
      </w:r>
      <w:r w:rsidR="0011535C">
        <w:t>adheres to</w:t>
      </w:r>
      <w:r>
        <w:t xml:space="preserve"> the guidelines and good practice</w:t>
      </w:r>
      <w:r w:rsidR="0011535C">
        <w:t xml:space="preserve"> </w:t>
      </w:r>
      <w:r>
        <w:t>s</w:t>
      </w:r>
      <w:r w:rsidR="0011535C">
        <w:t>tandards</w:t>
      </w:r>
      <w:r>
        <w:t xml:space="preserve"> necessary to produce accurate textual representation</w:t>
      </w:r>
      <w:r w:rsidR="0011535C">
        <w:t>s</w:t>
      </w:r>
      <w:r>
        <w:t xml:space="preserve"> of the documents.</w:t>
      </w:r>
    </w:p>
    <w:p w14:paraId="6FFC2623" w14:textId="77777777" w:rsidR="004A57F3" w:rsidRDefault="005D2D71">
      <w:pPr>
        <w:pStyle w:val="Textkrper"/>
      </w:pPr>
      <w:r>
        <w:t>In order to achieve this, a subset of the TEI namespace had to be used.</w:t>
      </w:r>
      <w:r>
        <w:rPr>
          <w:rStyle w:val="Funotenanker"/>
        </w:rPr>
        <w:footnoteReference w:id="8"/>
      </w:r>
    </w:p>
    <w:p w14:paraId="37500533" w14:textId="2696A4E3" w:rsidR="004A57F3" w:rsidRDefault="005D2D71">
      <w:pPr>
        <w:pStyle w:val="Textkrper"/>
      </w:pPr>
      <w:r>
        <w:t xml:space="preserve">In this short overview we cannot go into detail on the elements used, but we </w:t>
      </w:r>
      <w:r w:rsidR="0011535C">
        <w:t xml:space="preserve">wish to </w:t>
      </w:r>
      <w:r>
        <w:t>point out that the TEI files are readily available for download both from the individual documents</w:t>
      </w:r>
      <w:r w:rsidR="0011535C">
        <w:t>’</w:t>
      </w:r>
      <w:r>
        <w:t xml:space="preserve"> metadata header block</w:t>
      </w:r>
      <w:r w:rsidR="0011535C">
        <w:t>s</w:t>
      </w:r>
      <w:r>
        <w:t xml:space="preserve"> and through RestXQ.</w:t>
      </w:r>
    </w:p>
    <w:p w14:paraId="13E4525E" w14:textId="51B148F1" w:rsidR="004A57F3" w:rsidRDefault="005D2D71">
      <w:pPr>
        <w:pStyle w:val="Textkrper"/>
      </w:pPr>
      <w:r>
        <w:t>The most frequent textual phenomena encountered in the edition files include contemporary additions and deletions, changes of scribes, recordings of paper damage</w:t>
      </w:r>
      <w:r w:rsidR="0011535C">
        <w:t>,</w:t>
      </w:r>
      <w:r>
        <w:t xml:space="preserve"> and additions and supplements by the editor. To add to the functionality of the resulting web application and link data deep</w:t>
      </w:r>
      <w:r w:rsidR="0011535C">
        <w:t>ly</w:t>
      </w:r>
      <w:r>
        <w:t xml:space="preserve"> </w:t>
      </w:r>
      <w:r w:rsidR="0011535C">
        <w:t xml:space="preserve">within </w:t>
      </w:r>
      <w:r w:rsidR="00C873F4">
        <w:t>the edition’s fabric</w:t>
      </w:r>
      <w:r>
        <w:t xml:space="preserve">, references to named entities such as persons, places and institutions have been added as well. The edition currently distinguishes between directly mentioned </w:t>
      </w:r>
      <w:commentRangeStart w:id="17"/>
      <w:r>
        <w:rPr>
          <w:rStyle w:val="VerbatimChar"/>
        </w:rPr>
        <w:t>[pers|org|place]</w:t>
      </w:r>
      <w:r w:rsidRPr="0089678A">
        <w:rPr>
          <w:rStyle w:val="VerbatimChar"/>
          <w:rFonts w:asciiTheme="minorHAnsi" w:hAnsiTheme="minorHAnsi"/>
        </w:rPr>
        <w:t>Name</w:t>
      </w:r>
      <w:r w:rsidRPr="0011535C">
        <w:t>s</w:t>
      </w:r>
      <w:r>
        <w:t xml:space="preserve"> </w:t>
      </w:r>
      <w:commentRangeEnd w:id="17"/>
      <w:r w:rsidR="001E0D26">
        <w:rPr>
          <w:rStyle w:val="Kommentarzeichen"/>
        </w:rPr>
        <w:commentReference w:id="17"/>
      </w:r>
      <w:r>
        <w:t xml:space="preserve">and </w:t>
      </w:r>
      <w:r w:rsidR="0011535C">
        <w:t xml:space="preserve">indirect </w:t>
      </w:r>
      <w:r>
        <w:t xml:space="preserve">references </w:t>
      </w:r>
      <w:r w:rsidR="0011535C">
        <w:t xml:space="preserve">to them </w:t>
      </w:r>
      <w:r>
        <w:t xml:space="preserve">(e.g. </w:t>
      </w:r>
      <w:r>
        <w:rPr>
          <w:rStyle w:val="VerbatimChar"/>
        </w:rPr>
        <w:t>persName</w:t>
      </w:r>
      <w:r>
        <w:t xml:space="preserve"> is used if a part of a person’s proper name is </w:t>
      </w:r>
      <w:r w:rsidR="0011535C">
        <w:t>given</w:t>
      </w:r>
      <w:r>
        <w:t xml:space="preserve">, whereas a reference to the same person without explicit </w:t>
      </w:r>
      <w:r w:rsidR="0011535C">
        <w:t xml:space="preserve">mention of their name </w:t>
      </w:r>
      <w:r>
        <w:t xml:space="preserve">is encoded as </w:t>
      </w:r>
      <w:r>
        <w:rPr>
          <w:rStyle w:val="VerbatimChar"/>
        </w:rPr>
        <w:t>rs type="person"</w:t>
      </w:r>
      <w:r>
        <w:t>).</w:t>
      </w:r>
      <w:r>
        <w:rPr>
          <w:rStyle w:val="Funotenanker"/>
        </w:rPr>
        <w:footnoteReference w:id="9"/>
      </w:r>
    </w:p>
    <w:p w14:paraId="393895A6" w14:textId="7F814E0F" w:rsidR="004A57F3" w:rsidRDefault="005D2D71">
      <w:pPr>
        <w:pStyle w:val="Textkrper"/>
      </w:pPr>
      <w:r>
        <w:t>Up to three scientific apparatus</w:t>
      </w:r>
      <w:r w:rsidR="00C00A88">
        <w:t>es</w:t>
      </w:r>
      <w:r>
        <w:t xml:space="preserve"> are displayed throughout the edition documents: </w:t>
      </w:r>
      <w:r w:rsidR="0011535C">
        <w:t>T</w:t>
      </w:r>
      <w:r>
        <w:t>he editorial apparatus including commentary and notes on context is counted numerically (1, 2, 3, …). As soon as notes are present in the source documents, th</w:t>
      </w:r>
      <w:r w:rsidR="0011535C">
        <w:t>ey</w:t>
      </w:r>
      <w:r>
        <w:t xml:space="preserve"> are distinguished </w:t>
      </w:r>
      <w:r w:rsidR="0011535C">
        <w:t xml:space="preserve">using </w:t>
      </w:r>
      <w:r>
        <w:t xml:space="preserve">alphabetical </w:t>
      </w:r>
      <w:r w:rsidR="0011535C">
        <w:t xml:space="preserve">indices </w:t>
      </w:r>
      <w:r>
        <w:t xml:space="preserve">(a, b, c, …). A third apparatus, indicated by lowercase </w:t>
      </w:r>
      <w:r w:rsidR="0011535C">
        <w:t xml:space="preserve">Roman </w:t>
      </w:r>
      <w:r w:rsidR="0011535C">
        <w:lastRenderedPageBreak/>
        <w:t>numerals</w:t>
      </w:r>
      <w:r>
        <w:t xml:space="preserve">, is </w:t>
      </w:r>
      <w:r w:rsidR="0011535C">
        <w:t xml:space="preserve">used </w:t>
      </w:r>
      <w:r>
        <w:t>in cases where longer phrases have been transcribed as textual variants.</w:t>
      </w:r>
    </w:p>
    <w:p w14:paraId="4AD1CF4E" w14:textId="1DB798C1" w:rsidR="004A57F3" w:rsidRDefault="005D2D71">
      <w:pPr>
        <w:pStyle w:val="Textkrper"/>
      </w:pPr>
      <w:r>
        <w:t xml:space="preserve">When we </w:t>
      </w:r>
      <w:r w:rsidR="00880D42">
        <w:t xml:space="preserve">began </w:t>
      </w:r>
      <w:r>
        <w:t xml:space="preserve">to develop and </w:t>
      </w:r>
      <w:r w:rsidR="00880D42">
        <w:t xml:space="preserve">adapt </w:t>
      </w:r>
      <w:r>
        <w:t xml:space="preserve">the viewer application, the transcripts were already in an almost publishable form, but </w:t>
      </w:r>
      <w:r w:rsidR="00880D42">
        <w:t xml:space="preserve">still needed </w:t>
      </w:r>
      <w:r>
        <w:t>to be corrected (</w:t>
      </w:r>
      <w:r w:rsidR="00880D42">
        <w:t xml:space="preserve">in regard to </w:t>
      </w:r>
      <w:r>
        <w:t xml:space="preserve">markup and language) and harmonised with respect to </w:t>
      </w:r>
      <w:r w:rsidR="00D248E8">
        <w:t xml:space="preserve">certain </w:t>
      </w:r>
      <w:r>
        <w:t>XML elements.</w:t>
      </w:r>
    </w:p>
    <w:p w14:paraId="6E0AC08B" w14:textId="56BBDBC0" w:rsidR="004A57F3" w:rsidRDefault="005D2D71">
      <w:pPr>
        <w:pStyle w:val="berschrift11"/>
      </w:pPr>
      <w:bookmarkStart w:id="18" w:name="interfaces-as-access-paths-to-historical"/>
      <w:r>
        <w:t xml:space="preserve">Interfaces as </w:t>
      </w:r>
      <w:r w:rsidR="00F511A3">
        <w:t xml:space="preserve">Access Paths </w:t>
      </w:r>
      <w:r>
        <w:t xml:space="preserve">to </w:t>
      </w:r>
      <w:r w:rsidR="00F511A3">
        <w:t xml:space="preserve">Historical </w:t>
      </w:r>
      <w:bookmarkEnd w:id="18"/>
      <w:r w:rsidR="00F511A3">
        <w:t>Documents</w:t>
      </w:r>
    </w:p>
    <w:p w14:paraId="2D899334" w14:textId="3EC9CD2A" w:rsidR="004A57F3" w:rsidRDefault="005D2D71">
      <w:pPr>
        <w:pStyle w:val="FirstParagraph"/>
      </w:pPr>
      <w:r>
        <w:t>Beside</w:t>
      </w:r>
      <w:r w:rsidR="00C873F4">
        <w:t>s</w:t>
      </w:r>
      <w:r>
        <w:t xml:space="preserve"> the </w:t>
      </w:r>
      <w:r w:rsidR="003201FC">
        <w:t>abovementioned</w:t>
      </w:r>
      <w:r w:rsidR="00C00A88">
        <w:t xml:space="preserve"> </w:t>
      </w:r>
      <w:r>
        <w:t>arguments for a digital edition</w:t>
      </w:r>
      <w:r w:rsidR="00F511A3">
        <w:t>,</w:t>
      </w:r>
      <w:r>
        <w:t xml:space="preserve"> there is an even more </w:t>
      </w:r>
      <w:r w:rsidR="00F511A3">
        <w:t xml:space="preserve">significant </w:t>
      </w:r>
      <w:r w:rsidR="00C873F4">
        <w:t>advantage</w:t>
      </w:r>
      <w:r>
        <w:t xml:space="preserve"> </w:t>
      </w:r>
      <w:r w:rsidR="00F511A3">
        <w:t>provided by the</w:t>
      </w:r>
      <w:r>
        <w:t xml:space="preserve"> digital form</w:t>
      </w:r>
      <w:r w:rsidR="00F511A3">
        <w:t>at</w:t>
      </w:r>
      <w:r>
        <w:t xml:space="preserve">: The edition’s web application </w:t>
      </w:r>
      <w:r w:rsidR="00F511A3">
        <w:t xml:space="preserve">allows </w:t>
      </w:r>
      <w:r>
        <w:t xml:space="preserve">users to access the edition data in new ways </w:t>
      </w:r>
      <w:r w:rsidR="00F511A3">
        <w:t>that exceed the</w:t>
      </w:r>
      <w:r>
        <w:t xml:space="preserve"> </w:t>
      </w:r>
      <w:del w:id="19" w:author="Kurz, Stephan" w:date="2019-02-11T15:12:00Z">
        <w:r w:rsidDel="00565769">
          <w:delText xml:space="preserve">the </w:delText>
        </w:r>
      </w:del>
      <w:r>
        <w:t xml:space="preserve">scientific value of the standardised markup </w:t>
      </w:r>
      <w:r w:rsidR="00F511A3">
        <w:t>constituting</w:t>
      </w:r>
      <w:r>
        <w:t xml:space="preserve"> the edition.</w:t>
      </w:r>
    </w:p>
    <w:p w14:paraId="11E0EB5D" w14:textId="464D52C3" w:rsidR="004A57F3" w:rsidRDefault="005D2D71">
      <w:pPr>
        <w:pStyle w:val="Textkrper"/>
      </w:pPr>
      <w:r>
        <w:t>Tables of contents are con</w:t>
      </w:r>
      <w:r w:rsidR="00B129F2">
        <w:t>s</w:t>
      </w:r>
      <w:r>
        <w:t xml:space="preserve">tructed from the file listings. The underlying files are labelled and sorted </w:t>
      </w:r>
      <w:r w:rsidR="00F511A3">
        <w:t>according to the locations</w:t>
      </w:r>
      <w:r>
        <w:t xml:space="preserve"> of the congresses and a consecutive numbering </w:t>
      </w:r>
      <w:r w:rsidR="00F511A3">
        <w:t xml:space="preserve">that </w:t>
      </w:r>
      <w:r>
        <w:t xml:space="preserve">depicts the chronological order of the </w:t>
      </w:r>
      <w:del w:id="20" w:author="Kurz, Stephan" w:date="2019-02-11T15:16:00Z">
        <w:r w:rsidR="00F511A3" w:rsidDel="00907419">
          <w:delText xml:space="preserve">their </w:delText>
        </w:r>
      </w:del>
      <w:r>
        <w:t xml:space="preserve">proceedings. This structure is used </w:t>
      </w:r>
      <w:r w:rsidR="00F511A3">
        <w:t>to arrange</w:t>
      </w:r>
      <w:r>
        <w:t xml:space="preserve"> the documents themselves (“Dokumente”), the descriptions of the archival holdings (“Bestandsbeschreibungen”) and the abstracts (“Regesten”).</w:t>
      </w:r>
    </w:p>
    <w:p w14:paraId="7CB20E79" w14:textId="1C32D41C" w:rsidR="004A57F3" w:rsidRDefault="005D2D71">
      <w:pPr>
        <w:pStyle w:val="Textkrper"/>
      </w:pPr>
      <w:r>
        <w:t xml:space="preserve">A spatial rendering of the origins of the edited documents is available directly </w:t>
      </w:r>
      <w:r w:rsidR="00F511A3">
        <w:t xml:space="preserve">on </w:t>
      </w:r>
      <w:r>
        <w:t xml:space="preserve">the landing page of the web application in </w:t>
      </w:r>
      <w:r w:rsidR="00C873F4">
        <w:t xml:space="preserve">the </w:t>
      </w:r>
      <w:r w:rsidR="00F511A3">
        <w:t xml:space="preserve">shape </w:t>
      </w:r>
      <w:r>
        <w:t xml:space="preserve">of a map </w:t>
      </w:r>
      <w:r w:rsidR="00F511A3">
        <w:t>showing</w:t>
      </w:r>
      <w:r>
        <w:t xml:space="preserve"> the broader context of post-</w:t>
      </w:r>
      <w:r w:rsidR="003201FC">
        <w:t>N</w:t>
      </w:r>
      <w:r>
        <w:t>apoleonic Europe.</w:t>
      </w:r>
      <w:r>
        <w:rPr>
          <w:rStyle w:val="Funotenanker"/>
        </w:rPr>
        <w:footnoteReference w:id="10"/>
      </w:r>
    </w:p>
    <w:p w14:paraId="55E220EE" w14:textId="2F6BDB08" w:rsidR="004A57F3" w:rsidRDefault="005D2D71">
      <w:pPr>
        <w:pStyle w:val="Textkrper"/>
      </w:pPr>
      <w:r>
        <w:t xml:space="preserve">Two additional chronological access paths make use of the </w:t>
      </w:r>
      <w:r>
        <w:rPr>
          <w:rStyle w:val="VerbatimChar"/>
        </w:rPr>
        <w:t>@when</w:t>
      </w:r>
      <w:r>
        <w:t xml:space="preserve"> attributes in the </w:t>
      </w:r>
      <w:r>
        <w:rPr>
          <w:rStyle w:val="VerbatimChar"/>
        </w:rPr>
        <w:t>teiHeader</w:t>
      </w:r>
      <w:r>
        <w:t xml:space="preserve"> metadata </w:t>
      </w:r>
      <w:r w:rsidR="00F511A3">
        <w:t xml:space="preserve">representing </w:t>
      </w:r>
      <w:r w:rsidR="00C873F4">
        <w:t>the dating of the documents: a</w:t>
      </w:r>
      <w:r>
        <w:t xml:space="preserve"> calendar view and a timeline view. While the calendar allows the documents (and the events that led to them) </w:t>
      </w:r>
      <w:r w:rsidR="00F511A3">
        <w:t xml:space="preserve">to be linked </w:t>
      </w:r>
      <w:r>
        <w:t>to a structured understanding of time (from year</w:t>
      </w:r>
      <w:r w:rsidR="00F511A3">
        <w:t>s</w:t>
      </w:r>
      <w:r>
        <w:t xml:space="preserve"> to months and days of the week), the timeline view </w:t>
      </w:r>
      <w:r w:rsidR="00F511A3">
        <w:t xml:space="preserve">offers </w:t>
      </w:r>
      <w:r>
        <w:t xml:space="preserve">an overview of the temporal continuum </w:t>
      </w:r>
      <w:r w:rsidR="00F511A3">
        <w:t xml:space="preserve">to which </w:t>
      </w:r>
      <w:r>
        <w:t xml:space="preserve">the documents relate from </w:t>
      </w:r>
      <w:r w:rsidR="00F511A3">
        <w:t xml:space="preserve">more of </w:t>
      </w:r>
      <w:r>
        <w:t>a bird’s</w:t>
      </w:r>
      <w:r w:rsidR="00F511A3">
        <w:t>-</w:t>
      </w:r>
      <w:r>
        <w:t>eye</w:t>
      </w:r>
      <w:r w:rsidR="00F511A3">
        <w:t xml:space="preserve"> view</w:t>
      </w:r>
      <w:r>
        <w:t>.</w:t>
      </w:r>
    </w:p>
    <w:p w14:paraId="5F1636BB" w14:textId="48625076" w:rsidR="004A57F3" w:rsidRDefault="005D2D71">
      <w:pPr>
        <w:pStyle w:val="Textkrper"/>
      </w:pPr>
      <w:r>
        <w:t>The relatively deep tagging of named entities in the TEI files</w:t>
      </w:r>
      <w:r w:rsidR="00F511A3">
        <w:t>—</w:t>
      </w:r>
      <w:r>
        <w:t xml:space="preserve">mostly person and place data, </w:t>
      </w:r>
      <w:r w:rsidR="00F511A3">
        <w:t xml:space="preserve">with </w:t>
      </w:r>
      <w:r>
        <w:t>only two instit</w:t>
      </w:r>
      <w:r w:rsidR="00B129F2">
        <w:t>ut</w:t>
      </w:r>
      <w:r>
        <w:t xml:space="preserve">ions </w:t>
      </w:r>
      <w:r w:rsidR="00F511A3">
        <w:t>being</w:t>
      </w:r>
      <w:r>
        <w:t xml:space="preserve"> listed separately</w:t>
      </w:r>
      <w:r w:rsidR="00F511A3">
        <w:t>—</w:t>
      </w:r>
      <w:r w:rsidR="00E90714">
        <w:t>enables</w:t>
      </w:r>
      <w:r w:rsidR="00F511A3">
        <w:t xml:space="preserve"> </w:t>
      </w:r>
      <w:r>
        <w:t xml:space="preserve">access to the edition data by means of indices created </w:t>
      </w:r>
      <w:r w:rsidR="00F511A3">
        <w:t xml:space="preserve">automatically </w:t>
      </w:r>
      <w:r>
        <w:t xml:space="preserve">from the encoded files. The </w:t>
      </w:r>
      <w:r>
        <w:rPr>
          <w:rStyle w:val="VerbatimChar"/>
        </w:rPr>
        <w:t>listPlace</w:t>
      </w:r>
      <w:r>
        <w:t xml:space="preserve"> index of places includes geodata that allows for a spatial pinning not only of the places </w:t>
      </w:r>
      <w:r w:rsidR="00E90714">
        <w:t xml:space="preserve">where </w:t>
      </w:r>
      <w:r>
        <w:t>document</w:t>
      </w:r>
      <w:r w:rsidR="00E90714">
        <w:t>s were generated</w:t>
      </w:r>
      <w:r>
        <w:t>, but also of all places that are mentioned within the edition text. Furthermore, all places mentioned include GeoNames identifiers to ensure interoperability with other resources in a linked open data approach</w:t>
      </w:r>
      <w:r w:rsidR="00E90714">
        <w:t xml:space="preserve"> as well as</w:t>
      </w:r>
      <w:r>
        <w:t xml:space="preserve"> representation on any given map (in the current version, our web application </w:t>
      </w:r>
      <w:r w:rsidR="00E90714">
        <w:t xml:space="preserve">makes use of </w:t>
      </w:r>
      <w:r>
        <w:t xml:space="preserve">the shortcut of contemporary GIS data via </w:t>
      </w:r>
      <w:r w:rsidR="00E90714">
        <w:t>Leaflet</w:t>
      </w:r>
      <w:r>
        <w:t>/OpenStreetMap).</w:t>
      </w:r>
      <w:r>
        <w:rPr>
          <w:rStyle w:val="Funotenanker"/>
        </w:rPr>
        <w:footnoteReference w:id="11"/>
      </w:r>
      <w:r>
        <w:t xml:space="preserve"> The same </w:t>
      </w:r>
      <w:r w:rsidR="00E90714">
        <w:t>applies to</w:t>
      </w:r>
      <w:r>
        <w:t xml:space="preserve"> the reference data identifying persons, where we chose to use the </w:t>
      </w:r>
      <w:del w:id="21" w:author="Kurz, Stephan" w:date="2019-02-11T15:19:00Z">
        <w:r w:rsidDel="00A24E35">
          <w:lastRenderedPageBreak/>
          <w:delText>norm</w:delText>
        </w:r>
      </w:del>
      <w:ins w:id="22" w:author="Kurz, Stephan" w:date="2019-02-11T15:19:00Z">
        <w:r w:rsidR="00A24E35">
          <w:t>authority file</w:t>
        </w:r>
      </w:ins>
      <w:del w:id="23" w:author="Stephan Stockinger" w:date="2019-01-18T15:51:00Z">
        <w:r w:rsidDel="00E90714">
          <w:delText xml:space="preserve"> </w:delText>
        </w:r>
      </w:del>
      <w:r>
        <w:t xml:space="preserve">data from the Virtual International Authority File (VIAF) to disambiguate persons and link them to the documents in a machine-readable </w:t>
      </w:r>
      <w:r w:rsidR="00E90714">
        <w:t>fashion</w:t>
      </w:r>
      <w:r>
        <w:t>. The web application also provides access through an API, through a simple Beacon file and through JSON-based autocomplete data.</w:t>
      </w:r>
    </w:p>
    <w:p w14:paraId="723E8FD4" w14:textId="3492D430" w:rsidR="004A57F3" w:rsidRDefault="005D2D71">
      <w:pPr>
        <w:pStyle w:val="Textkrper"/>
      </w:pPr>
      <w:r>
        <w:t xml:space="preserve">Abstracts are provided to describe the actual contents of the documents. These are provided </w:t>
      </w:r>
      <w:r w:rsidR="00C00A88">
        <w:t xml:space="preserve">in </w:t>
      </w:r>
      <w:r>
        <w:t>a separate list through the table of contents submenu</w:t>
      </w:r>
      <w:r w:rsidR="00E90714">
        <w:t xml:space="preserve"> as well as</w:t>
      </w:r>
      <w:r>
        <w:t xml:space="preserve"> in the head</w:t>
      </w:r>
      <w:r w:rsidR="00E90714">
        <w:t>er</w:t>
      </w:r>
      <w:r>
        <w:t xml:space="preserve"> section of the individual documents’ views.</w:t>
      </w:r>
    </w:p>
    <w:p w14:paraId="6520A76F" w14:textId="1AA55F22" w:rsidR="004A57F3" w:rsidRDefault="005D2D71">
      <w:pPr>
        <w:pStyle w:val="Textkrper"/>
      </w:pPr>
      <w:r>
        <w:t>Concept</w:t>
      </w:r>
      <w:r w:rsidR="0022152F">
        <w:t>u</w:t>
      </w:r>
      <w:r>
        <w:t xml:space="preserve">ally </w:t>
      </w:r>
      <w:r w:rsidR="0022152F">
        <w:t>complementary</w:t>
      </w:r>
      <w:r>
        <w:t xml:space="preserve"> to </w:t>
      </w:r>
      <w:r w:rsidR="0022152F">
        <w:t xml:space="preserve">the </w:t>
      </w:r>
      <w:r>
        <w:t>structured semantic approach</w:t>
      </w:r>
      <w:r w:rsidR="0022152F">
        <w:t>,</w:t>
      </w:r>
      <w:r>
        <w:t xml:space="preserve"> the web interface also offers a full text search (implemented in Apache Lucene)</w:t>
      </w:r>
      <w:r w:rsidR="00C873F4">
        <w:t>;</w:t>
      </w:r>
      <w:r>
        <w:t xml:space="preserve"> its results (displayed in a </w:t>
      </w:r>
      <w:r>
        <w:rPr>
          <w:rStyle w:val="VerbatimChar"/>
        </w:rPr>
        <w:t>datatables</w:t>
      </w:r>
      <w:r>
        <w:t xml:space="preserve"> view) can be narrowed down on the fly </w:t>
      </w:r>
      <w:r w:rsidR="0022152F">
        <w:t xml:space="preserve">simply </w:t>
      </w:r>
      <w:r>
        <w:t>by using a text input field.</w:t>
      </w:r>
    </w:p>
    <w:p w14:paraId="30C42B10" w14:textId="77777777" w:rsidR="004A57F3" w:rsidRDefault="005D2D71">
      <w:pPr>
        <w:pStyle w:val="berschrift11"/>
      </w:pPr>
      <w:bookmarkStart w:id="24" w:name="technicalities-and-platform-choice"/>
      <w:r>
        <w:t>Technicalities and Platform Choice</w:t>
      </w:r>
      <w:bookmarkEnd w:id="24"/>
    </w:p>
    <w:p w14:paraId="70B4C134" w14:textId="23BD8CF0" w:rsidR="004A57F3" w:rsidRDefault="0022152F">
      <w:pPr>
        <w:pStyle w:val="FirstParagraph"/>
      </w:pPr>
      <w:r>
        <w:t xml:space="preserve">Since </w:t>
      </w:r>
      <w:r w:rsidR="005D2D71">
        <w:t xml:space="preserve">the ÖAW-ACDH was </w:t>
      </w:r>
      <w:r w:rsidR="00C873F4">
        <w:t xml:space="preserve">already </w:t>
      </w:r>
      <w:r w:rsidR="005D2D71">
        <w:t xml:space="preserve">taking part in the HRSM-funded project </w:t>
      </w:r>
      <w:r w:rsidR="005D2D71">
        <w:rPr>
          <w:i/>
        </w:rPr>
        <w:t>Kompetenznetzwerk Digitale Edition (KONDE)</w:t>
      </w:r>
      <w:r w:rsidR="005D2D71">
        <w:t xml:space="preserve"> and our academic home institute, the Institute for Modern and Contemporary Historical Research (INZ)</w:t>
      </w:r>
      <w:r>
        <w:t>,</w:t>
      </w:r>
      <w:r w:rsidR="005D2D71">
        <w:t xml:space="preserve"> </w:t>
      </w:r>
      <w:r>
        <w:t xml:space="preserve">became </w:t>
      </w:r>
      <w:r w:rsidR="005D2D71">
        <w:t xml:space="preserve">involved in this network effort as well, our attention focused on choosing a technical solution </w:t>
      </w:r>
      <w:r>
        <w:t xml:space="preserve">from this environment </w:t>
      </w:r>
      <w:r w:rsidR="005D2D71">
        <w:t xml:space="preserve">for the web application. This predetermined our </w:t>
      </w:r>
      <w:r w:rsidR="00C00A88">
        <w:t xml:space="preserve">decision </w:t>
      </w:r>
      <w:r w:rsidR="005D2D71">
        <w:t xml:space="preserve">to use </w:t>
      </w:r>
      <w:r w:rsidR="005D2D71">
        <w:rPr>
          <w:rStyle w:val="VerbatimChar"/>
        </w:rPr>
        <w:t>dsebaseapp</w:t>
      </w:r>
      <w:r w:rsidR="005D2D71">
        <w:t xml:space="preserve"> as a blueprint for </w:t>
      </w:r>
      <w:r>
        <w:t xml:space="preserve">the development of </w:t>
      </w:r>
      <w:r w:rsidR="005D2D71">
        <w:t xml:space="preserve">an application for accessing the TEI edition data. </w:t>
      </w:r>
      <w:r w:rsidR="005D2D71">
        <w:rPr>
          <w:rStyle w:val="VerbatimChar"/>
        </w:rPr>
        <w:t>dsebaseapp</w:t>
      </w:r>
      <w:r w:rsidR="005D2D71">
        <w:t xml:space="preserve"> (dse stands for ‘digital scholarly edition’) was developed by Peter Andorfer at the ÖAW-ACDH as a starting point for edition interfaces</w:t>
      </w:r>
      <w:r>
        <w:t>;</w:t>
      </w:r>
      <w:r w:rsidR="005D2D71">
        <w:t xml:space="preserve"> it is especially suitable for epistolary material since it </w:t>
      </w:r>
      <w:r w:rsidR="00165EEC">
        <w:t xml:space="preserve">is itself derived </w:t>
      </w:r>
      <w:r w:rsidR="005D2D71">
        <w:t xml:space="preserve">from the application </w:t>
      </w:r>
      <w:r w:rsidR="00165EEC">
        <w:t xml:space="preserve">designed </w:t>
      </w:r>
      <w:r w:rsidR="005D2D71">
        <w:t>for the letters of Leo Thun-Hohenstein.</w:t>
      </w:r>
      <w:r w:rsidR="005D2D71">
        <w:rPr>
          <w:rStyle w:val="Funotenanker"/>
        </w:rPr>
        <w:footnoteReference w:id="12"/>
      </w:r>
      <w:r w:rsidR="005D2D71">
        <w:t xml:space="preserve"> With the </w:t>
      </w:r>
      <w:r w:rsidR="00165EEC">
        <w:t xml:space="preserve">help </w:t>
      </w:r>
      <w:r w:rsidR="005D2D71">
        <w:t>of a series of accompanying blog posts,</w:t>
      </w:r>
      <w:r w:rsidR="005D2D71">
        <w:rPr>
          <w:rStyle w:val="Funotenanker"/>
        </w:rPr>
        <w:footnoteReference w:id="13"/>
      </w:r>
      <w:r w:rsidR="005D2D71">
        <w:t xml:space="preserve"> we proceeded to implement </w:t>
      </w:r>
      <w:r w:rsidR="005D2D71">
        <w:rPr>
          <w:rStyle w:val="VerbatimChar"/>
        </w:rPr>
        <w:t>maechtekongresse</w:t>
      </w:r>
      <w:r w:rsidR="005D2D71">
        <w:t xml:space="preserve"> as an application for the </w:t>
      </w:r>
      <w:r w:rsidR="005D2D71">
        <w:rPr>
          <w:rStyle w:val="VerbatimChar"/>
        </w:rPr>
        <w:t>eXist-db</w:t>
      </w:r>
      <w:r w:rsidR="005D2D71">
        <w:t xml:space="preserve"> platform</w:t>
      </w:r>
      <w:r w:rsidR="003201FC">
        <w:t>.</w:t>
      </w:r>
      <w:r w:rsidR="005D2D71">
        <w:rPr>
          <w:rStyle w:val="Funotenanker"/>
        </w:rPr>
        <w:footnoteReference w:id="14"/>
      </w:r>
    </w:p>
    <w:p w14:paraId="6164D12A" w14:textId="7D18EEFA" w:rsidR="004A57F3" w:rsidRDefault="005D2D71">
      <w:pPr>
        <w:pStyle w:val="Textkrper"/>
      </w:pPr>
      <w:r>
        <w:t xml:space="preserve">This choice </w:t>
      </w:r>
      <w:r w:rsidR="00165EEC">
        <w:t>was also</w:t>
      </w:r>
      <w:r>
        <w:t xml:space="preserve"> influenced by the fact that the amount of data in the edition is relatively small, </w:t>
      </w:r>
      <w:r w:rsidR="00165EEC">
        <w:t xml:space="preserve">since </w:t>
      </w:r>
      <w:r>
        <w:t xml:space="preserve">it does not include image data and spans a total of 115 XML documents only. Moreover, due to the fact that there was no additional funding available, the </w:t>
      </w:r>
      <w:r w:rsidR="00165EEC">
        <w:t xml:space="preserve">software </w:t>
      </w:r>
      <w:r>
        <w:t xml:space="preserve">solution to be selected </w:t>
      </w:r>
      <w:r w:rsidR="00165EEC">
        <w:t>had to be</w:t>
      </w:r>
      <w:r>
        <w:t xml:space="preserve"> </w:t>
      </w:r>
      <w:commentRangeStart w:id="25"/>
      <w:r>
        <w:t xml:space="preserve">“free” (as in software), </w:t>
      </w:r>
      <w:commentRangeEnd w:id="25"/>
      <w:r w:rsidR="00132782">
        <w:rPr>
          <w:rStyle w:val="Kommentarzeichen"/>
        </w:rPr>
        <w:commentReference w:id="25"/>
      </w:r>
      <w:r>
        <w:t xml:space="preserve">and the ÖAW-ACDH already had server and network infrastructure in place </w:t>
      </w:r>
      <w:r w:rsidR="00165EEC">
        <w:t>to allow the use of</w:t>
      </w:r>
      <w:r>
        <w:t xml:space="preserve"> an eXist-db approach. </w:t>
      </w:r>
      <w:r w:rsidR="00165EEC">
        <w:t>T</w:t>
      </w:r>
      <w:r>
        <w:t xml:space="preserve">his infrastructure </w:t>
      </w:r>
      <w:r w:rsidR="00165EEC">
        <w:t xml:space="preserve">also </w:t>
      </w:r>
      <w:r>
        <w:t>includes the possibility to archive the edition data in ARCHE (A Resource Centre for the HumanitiEs).</w:t>
      </w:r>
      <w:r>
        <w:rPr>
          <w:rStyle w:val="Funotenanker"/>
        </w:rPr>
        <w:footnoteReference w:id="15"/>
      </w:r>
      <w:r>
        <w:t xml:space="preserve"> Consequently, there were no viable alternatives available </w:t>
      </w:r>
      <w:r w:rsidR="00165EEC">
        <w:t>for our implementation</w:t>
      </w:r>
      <w:r>
        <w:t>.</w:t>
      </w:r>
    </w:p>
    <w:p w14:paraId="73B91A09" w14:textId="6451845F" w:rsidR="004A57F3" w:rsidRDefault="005D2D71">
      <w:pPr>
        <w:pStyle w:val="Textkrper"/>
      </w:pPr>
      <w:r>
        <w:t xml:space="preserve">The access paths outlined above are mostly based on preparatory work </w:t>
      </w:r>
      <w:r w:rsidR="00165EEC">
        <w:t xml:space="preserve">by </w:t>
      </w:r>
      <w:r>
        <w:t xml:space="preserve">the KONDE consortium, drawing </w:t>
      </w:r>
      <w:r w:rsidR="00165EEC">
        <w:t xml:space="preserve">in particular on </w:t>
      </w:r>
      <w:r>
        <w:t xml:space="preserve">the aforementioned </w:t>
      </w:r>
      <w:r>
        <w:rPr>
          <w:rStyle w:val="VerbatimChar"/>
        </w:rPr>
        <w:t>dsebaseapp</w:t>
      </w:r>
      <w:r>
        <w:t xml:space="preserve"> package that </w:t>
      </w:r>
      <w:r w:rsidR="00165EEC">
        <w:t xml:space="preserve">reuses </w:t>
      </w:r>
      <w:r>
        <w:t>XSLT transformation scripts written by Dario Kampkaspar (</w:t>
      </w:r>
      <w:commentRangeStart w:id="26"/>
      <w:r>
        <w:t xml:space="preserve">both </w:t>
      </w:r>
      <w:ins w:id="27" w:author="Kurz, Stephan" w:date="2019-02-11T15:41:00Z">
        <w:r w:rsidR="00132782">
          <w:t xml:space="preserve">he and Peter </w:t>
        </w:r>
        <w:r w:rsidR="00132782">
          <w:lastRenderedPageBreak/>
          <w:t xml:space="preserve">Andorfer </w:t>
        </w:r>
      </w:ins>
      <w:r>
        <w:t xml:space="preserve">are </w:t>
      </w:r>
      <w:commentRangeEnd w:id="26"/>
      <w:r w:rsidR="00165EEC">
        <w:rPr>
          <w:rStyle w:val="Kommentarzeichen"/>
        </w:rPr>
        <w:commentReference w:id="26"/>
      </w:r>
      <w:r>
        <w:t xml:space="preserve">currently working at the ÖAW-ACDH). Since early 2018, the application </w:t>
      </w:r>
      <w:r w:rsidR="00165EEC">
        <w:t xml:space="preserve">has been </w:t>
      </w:r>
      <w:r>
        <w:t>refined in close collaboration between ÖAW-ACDH and INZ.</w:t>
      </w:r>
    </w:p>
    <w:p w14:paraId="1F28CD0C" w14:textId="7EF6CF2C" w:rsidR="004A57F3" w:rsidRDefault="00170405">
      <w:pPr>
        <w:pStyle w:val="Textkrper"/>
      </w:pPr>
      <w:r>
        <w:t>T</w:t>
      </w:r>
      <w:r w:rsidR="005D2D71">
        <w:t xml:space="preserve">he </w:t>
      </w:r>
      <w:r w:rsidR="00165EEC">
        <w:t xml:space="preserve">“Mächtekongresse” </w:t>
      </w:r>
      <w:r w:rsidR="005D2D71">
        <w:t xml:space="preserve">edition </w:t>
      </w:r>
      <w:r w:rsidR="00165EEC">
        <w:t xml:space="preserve">has been </w:t>
      </w:r>
      <w:r w:rsidR="005D2D71">
        <w:t xml:space="preserve">available online </w:t>
      </w:r>
      <w:r w:rsidR="00165EEC">
        <w:t xml:space="preserve">at </w:t>
      </w:r>
      <w:hyperlink r:id="rId10">
        <w:r w:rsidR="005D2D71">
          <w:rPr>
            <w:rStyle w:val="Internetverknpfung"/>
          </w:rPr>
          <w:t>https://maechtekongresse.acdh.oeaw.ac.at/</w:t>
        </w:r>
      </w:hyperlink>
      <w:r w:rsidR="00165EEC" w:rsidRPr="00165EEC">
        <w:t xml:space="preserve"> </w:t>
      </w:r>
      <w:r w:rsidR="00165EEC">
        <w:t>since September 2018</w:t>
      </w:r>
      <w:r w:rsidR="005D2D71">
        <w:t xml:space="preserve">. The digital edition licences all edition data under </w:t>
      </w:r>
      <w:r w:rsidR="00165EEC">
        <w:t xml:space="preserve">the </w:t>
      </w:r>
      <w:r w:rsidR="005D2D71">
        <w:t>Creative</w:t>
      </w:r>
      <w:r>
        <w:t xml:space="preserve"> </w:t>
      </w:r>
      <w:r w:rsidR="005D2D71">
        <w:t>Commons (CC-BY 4.0) licence, contributing to the digitally available research output of the Austrian Academy of Sciences</w:t>
      </w:r>
      <w:r>
        <w:t xml:space="preserve"> and its Institute for Modern and Contemporary Historical Research</w:t>
      </w:r>
      <w:r w:rsidR="005D2D71">
        <w:t xml:space="preserve">. </w:t>
      </w:r>
    </w:p>
    <w:p w14:paraId="7B4F0FE9" w14:textId="41591627" w:rsidR="004A57F3" w:rsidRDefault="005D2D71">
      <w:pPr>
        <w:pStyle w:val="Textkrper"/>
      </w:pPr>
      <w:r>
        <w:t xml:space="preserve">With the publication of the </w:t>
      </w:r>
      <w:r w:rsidR="00165EEC">
        <w:t xml:space="preserve">“Mächtekongresse” </w:t>
      </w:r>
      <w:r>
        <w:t>edition, we hope to have contributed to further historiographical investigation</w:t>
      </w:r>
      <w:r w:rsidR="00165EEC">
        <w:t>s</w:t>
      </w:r>
      <w:r>
        <w:t xml:space="preserve"> </w:t>
      </w:r>
      <w:r w:rsidR="00165EEC">
        <w:t xml:space="preserve">into </w:t>
      </w:r>
      <w:r>
        <w:t xml:space="preserve">a crucial period in European history following the Napoleonic </w:t>
      </w:r>
      <w:r w:rsidR="00BA4D39">
        <w:t xml:space="preserve">Wars </w:t>
      </w:r>
      <w:r>
        <w:t xml:space="preserve">and the Congress of Vienna, </w:t>
      </w:r>
      <w:r w:rsidR="00165EEC">
        <w:t xml:space="preserve">based on actual archival </w:t>
      </w:r>
      <w:r>
        <w:t>sources. On the technical and methodological flip side of our effort, we intend to continue the development of suitable tools that open up historical documents to new questions (and APIs).</w:t>
      </w:r>
    </w:p>
    <w:p w14:paraId="23225395" w14:textId="11B3AD3D" w:rsidR="004A57F3" w:rsidRDefault="005D2D71">
      <w:pPr>
        <w:pStyle w:val="berschrift11"/>
      </w:pPr>
      <w:bookmarkStart w:id="28" w:name="postscriptum-known-desiderata"/>
      <w:r>
        <w:t>Post</w:t>
      </w:r>
      <w:r w:rsidR="00BA4D39">
        <w:t xml:space="preserve"> S</w:t>
      </w:r>
      <w:r>
        <w:t>criptum: Known Desiderata</w:t>
      </w:r>
      <w:bookmarkEnd w:id="28"/>
    </w:p>
    <w:p w14:paraId="76ED515E" w14:textId="77777777" w:rsidR="004A57F3" w:rsidRDefault="005D2D71">
      <w:pPr>
        <w:pStyle w:val="Compact"/>
        <w:numPr>
          <w:ilvl w:val="0"/>
          <w:numId w:val="1"/>
        </w:numPr>
      </w:pPr>
      <w:r>
        <w:t>Sources in the bibliography (</w:t>
      </w:r>
      <w:r>
        <w:rPr>
          <w:rStyle w:val="VerbatimChar"/>
        </w:rPr>
        <w:t>listBibl</w:t>
      </w:r>
      <w:r>
        <w:t xml:space="preserve"> in </w:t>
      </w:r>
      <w:r>
        <w:rPr>
          <w:rStyle w:val="VerbatimChar"/>
        </w:rPr>
        <w:t>listtreaties.xml</w:t>
      </w:r>
      <w:r>
        <w:t xml:space="preserve"> and </w:t>
      </w:r>
      <w:r>
        <w:rPr>
          <w:rStyle w:val="VerbatimChar"/>
        </w:rPr>
        <w:t>listWit</w:t>
      </w:r>
      <w:r>
        <w:t xml:space="preserve"> in </w:t>
      </w:r>
      <w:r>
        <w:rPr>
          <w:rStyle w:val="VerbatimChar"/>
        </w:rPr>
        <w:t>listwit.xml</w:t>
      </w:r>
      <w:r>
        <w:t>) are currently flat text, precluding programmatic access.</w:t>
      </w:r>
    </w:p>
    <w:p w14:paraId="095785FA" w14:textId="08CB011A" w:rsidR="004A57F3" w:rsidRDefault="005D2D71">
      <w:pPr>
        <w:pStyle w:val="Compact"/>
        <w:numPr>
          <w:ilvl w:val="0"/>
          <w:numId w:val="1"/>
        </w:numPr>
      </w:pPr>
      <w:r>
        <w:t>Whitespace handling, especially in mixed</w:t>
      </w:r>
      <w:r w:rsidR="00165EEC">
        <w:t>-</w:t>
      </w:r>
      <w:r>
        <w:t xml:space="preserve">content XML nodes that contain both text and child elements, </w:t>
      </w:r>
      <w:r w:rsidR="00165EEC">
        <w:t xml:space="preserve">has </w:t>
      </w:r>
      <w:r>
        <w:t xml:space="preserve">still not </w:t>
      </w:r>
      <w:r w:rsidR="00165EEC">
        <w:t xml:space="preserve">been </w:t>
      </w:r>
      <w:r>
        <w:t xml:space="preserve">properly addressed. As a result, some links include trailing spaces preceding punctuation marks. In general, the authoritative version of the </w:t>
      </w:r>
      <w:r w:rsidR="00165EEC">
        <w:t xml:space="preserve">“Mächtekongresse” </w:t>
      </w:r>
      <w:r>
        <w:t>edition is the one transcribed in the TEI XML files; th</w:t>
      </w:r>
      <w:r w:rsidR="00165EEC">
        <w:t>ese</w:t>
      </w:r>
      <w:r>
        <w:t xml:space="preserve"> should </w:t>
      </w:r>
      <w:r w:rsidR="00165EEC">
        <w:t xml:space="preserve">therefore </w:t>
      </w:r>
      <w:r>
        <w:t>be consulted in case</w:t>
      </w:r>
      <w:r w:rsidR="00165EEC">
        <w:t>s where</w:t>
      </w:r>
      <w:r>
        <w:t xml:space="preserve"> the HTML representation raises doubts.</w:t>
      </w:r>
    </w:p>
    <w:p w14:paraId="7DBB80FD" w14:textId="30CC6857" w:rsidR="004A57F3" w:rsidRDefault="005D2D71">
      <w:pPr>
        <w:pStyle w:val="Compact"/>
        <w:numPr>
          <w:ilvl w:val="0"/>
          <w:numId w:val="1"/>
        </w:numPr>
      </w:pPr>
      <w:r>
        <w:t xml:space="preserve">A network representation in GEFX format is </w:t>
      </w:r>
      <w:r w:rsidR="009F50D0">
        <w:t>in preparation</w:t>
      </w:r>
      <w:r>
        <w:t xml:space="preserve">; it is intended to depict the interrelations between </w:t>
      </w:r>
      <w:r w:rsidR="00D536DE">
        <w:t xml:space="preserve">congress </w:t>
      </w:r>
      <w:r>
        <w:t xml:space="preserve">sessions (and the resulting documents that form the edition) and the individuals taking part </w:t>
      </w:r>
      <w:r w:rsidR="009F50D0">
        <w:t>in them</w:t>
      </w:r>
      <w:r>
        <w:t xml:space="preserve">. Such a network view will allow </w:t>
      </w:r>
      <w:r w:rsidR="009F50D0">
        <w:t>the display of these relations</w:t>
      </w:r>
      <w:r>
        <w:t xml:space="preserve"> in a chronotopical context.</w:t>
      </w:r>
    </w:p>
    <w:p w14:paraId="1D505A74" w14:textId="64F55C68" w:rsidR="004A57F3" w:rsidRDefault="005D2D71">
      <w:pPr>
        <w:pStyle w:val="Compact"/>
        <w:numPr>
          <w:ilvl w:val="0"/>
          <w:numId w:val="1"/>
        </w:numPr>
      </w:pPr>
      <w:r>
        <w:t xml:space="preserve">All of the edition’s documentary data </w:t>
      </w:r>
      <w:r w:rsidR="009F50D0">
        <w:t xml:space="preserve">has </w:t>
      </w:r>
      <w:r>
        <w:t xml:space="preserve">yet to be archived </w:t>
      </w:r>
      <w:r w:rsidR="009F50D0">
        <w:t xml:space="preserve">in </w:t>
      </w:r>
      <w:r>
        <w:t xml:space="preserve">the ARCHE service. Furthermore, the application’s code will soon be </w:t>
      </w:r>
      <w:r w:rsidR="009F50D0">
        <w:t xml:space="preserve">made </w:t>
      </w:r>
      <w:r>
        <w:t>public under</w:t>
      </w:r>
      <w:r w:rsidR="009F50D0">
        <w:t xml:space="preserve"> the</w:t>
      </w:r>
      <w:r>
        <w:t xml:space="preserve"> MIT licence </w:t>
      </w:r>
      <w:r w:rsidR="009F50D0">
        <w:t xml:space="preserve">at </w:t>
      </w:r>
      <w:r>
        <w:t>the KONDE GitHub.</w:t>
      </w:r>
      <w:r>
        <w:rPr>
          <w:rStyle w:val="Funotenanker"/>
        </w:rPr>
        <w:footnoteReference w:id="16"/>
      </w:r>
    </w:p>
    <w:p w14:paraId="2EAAE763" w14:textId="34CDB1A5" w:rsidR="004A57F3" w:rsidRDefault="005D2D71">
      <w:pPr>
        <w:pStyle w:val="FirstParagraph"/>
      </w:pPr>
      <w:r>
        <w:t xml:space="preserve">The team </w:t>
      </w:r>
      <w:r w:rsidR="009F50D0">
        <w:t xml:space="preserve">is </w:t>
      </w:r>
      <w:r>
        <w:t xml:space="preserve">grateful for any feedback regarding the </w:t>
      </w:r>
      <w:r w:rsidR="009F50D0">
        <w:t xml:space="preserve">“Mächtekongresse” </w:t>
      </w:r>
      <w:r>
        <w:t>digital edition.</w:t>
      </w:r>
    </w:p>
    <w:sectPr w:rsidR="004A57F3" w:rsidSect="009D1E57">
      <w:footerReference w:type="even" r:id="rId11"/>
      <w:footerReference w:type="default" r:id="rId12"/>
      <w:pgSz w:w="11906" w:h="16838" w:code="9"/>
      <w:pgMar w:top="1417" w:right="1417" w:bottom="1134" w:left="1417" w:header="0" w:footer="0" w:gutter="0"/>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Kurz, Stephan" w:date="2019-02-11T15:01:00Z" w:initials="KS">
    <w:p w14:paraId="1646C0A2" w14:textId="23E4A30F" w:rsidR="00F05F7C" w:rsidRPr="00F05F7C" w:rsidRDefault="00F05F7C">
      <w:pPr>
        <w:pStyle w:val="Kommentartext"/>
        <w:rPr>
          <w:lang w:val="de-DE"/>
        </w:rPr>
      </w:pPr>
      <w:r>
        <w:rPr>
          <w:rStyle w:val="Kommentarzeichen"/>
        </w:rPr>
        <w:annotationRef/>
      </w:r>
      <w:r w:rsidRPr="00F05F7C">
        <w:rPr>
          <w:lang w:val="de-DE"/>
        </w:rPr>
        <w:t>Wenn das nicht eine gröblich</w:t>
      </w:r>
      <w:r>
        <w:rPr>
          <w:lang w:val="de-DE"/>
        </w:rPr>
        <w:t xml:space="preserve"> unsauber ist sprachlicherweise, dann würde ich auf dem Unterschied zwischen Besitz und Eigentum schon gern bestehen. Library holdings, not library ownings. </w:t>
      </w:r>
    </w:p>
  </w:comment>
  <w:comment w:id="12" w:author="Kurz, Stephan" w:date="2019-02-11T15:08:00Z" w:initials="KS">
    <w:p w14:paraId="4F5AAC5B" w14:textId="2DFF5EC1" w:rsidR="00F05F7C" w:rsidRPr="00F05F7C" w:rsidRDefault="00F05F7C">
      <w:pPr>
        <w:pStyle w:val="Kommentartext"/>
        <w:rPr>
          <w:lang w:val="de-DE"/>
        </w:rPr>
      </w:pPr>
      <w:r>
        <w:rPr>
          <w:rStyle w:val="Kommentarzeichen"/>
        </w:rPr>
        <w:annotationRef/>
      </w:r>
      <w:r w:rsidRPr="00F05F7C">
        <w:rPr>
          <w:lang w:val="de-DE"/>
        </w:rPr>
        <w:t>Zur Fußnote: Quill behandelt wirklich die Bundesverfassung, die einzelnen Sta</w:t>
      </w:r>
      <w:r>
        <w:rPr>
          <w:lang w:val="de-DE"/>
        </w:rPr>
        <w:t xml:space="preserve">aten haben auch noch ihre Verfassungen. </w:t>
      </w:r>
    </w:p>
  </w:comment>
  <w:comment w:id="17" w:author="Kurz, Stephan" w:date="2019-02-11T15:10:00Z" w:initials="KS">
    <w:p w14:paraId="277CAE81" w14:textId="74D2BC60" w:rsidR="001E0D26" w:rsidRPr="001E0D26" w:rsidRDefault="001E0D26">
      <w:pPr>
        <w:pStyle w:val="Kommentartext"/>
        <w:rPr>
          <w:lang w:val="de-DE"/>
        </w:rPr>
      </w:pPr>
      <w:r>
        <w:rPr>
          <w:rStyle w:val="Kommentarzeichen"/>
        </w:rPr>
        <w:annotationRef/>
      </w:r>
      <w:r w:rsidRPr="001E0D26">
        <w:rPr>
          <w:lang w:val="de-DE"/>
        </w:rPr>
        <w:t xml:space="preserve">Die Korrektur war hier falsch, es geht eben nicht nur um Personennamen. </w:t>
      </w:r>
    </w:p>
  </w:comment>
  <w:comment w:id="25" w:author="Kurz, Stephan" w:date="2019-02-11T15:39:00Z" w:initials="KS">
    <w:p w14:paraId="650F2E3F" w14:textId="64D2C4D0" w:rsidR="00132782" w:rsidRPr="00132782" w:rsidRDefault="00132782">
      <w:pPr>
        <w:pStyle w:val="Kommentartext"/>
        <w:rPr>
          <w:lang w:val="de-DE"/>
        </w:rPr>
      </w:pPr>
      <w:r>
        <w:rPr>
          <w:rStyle w:val="Kommentarzeichen"/>
        </w:rPr>
        <w:annotationRef/>
      </w:r>
      <w:r w:rsidRPr="00132782">
        <w:rPr>
          <w:lang w:val="de-DE"/>
        </w:rPr>
        <w:t>Das hätte ich gerne so, weil es was anderes heißt als “as in beer” oder wie vom Lektor vorgeschla</w:t>
      </w:r>
      <w:r w:rsidR="00241061">
        <w:rPr>
          <w:lang w:val="de-DE"/>
        </w:rPr>
        <w:t>g</w:t>
      </w:r>
      <w:r w:rsidRPr="00132782">
        <w:rPr>
          <w:lang w:val="de-DE"/>
        </w:rPr>
        <w:t>en “of charge”.</w:t>
      </w:r>
    </w:p>
  </w:comment>
  <w:comment w:id="26" w:author="Stephan Stockinger" w:date="2019-01-18T16:02:00Z" w:initials="SS">
    <w:p w14:paraId="7B1C5772" w14:textId="2FB827AA" w:rsidR="0089678A" w:rsidRDefault="0089678A">
      <w:pPr>
        <w:pStyle w:val="Kommentartext"/>
      </w:pPr>
      <w:r>
        <w:rPr>
          <w:rStyle w:val="Kommentarzeichen"/>
        </w:rPr>
        <w:annotationRef/>
      </w:r>
      <w:r>
        <w:t>Which “both”? Only one person is mentioned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46C0A2" w15:done="0"/>
  <w15:commentEx w15:paraId="4F5AAC5B" w15:done="0"/>
  <w15:commentEx w15:paraId="277CAE81" w15:done="0"/>
  <w15:commentEx w15:paraId="650F2E3F" w15:done="0"/>
  <w15:commentEx w15:paraId="7B1C57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1C5772" w16cid:durableId="1FEC772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0BE557" w14:textId="77777777" w:rsidR="00734C23" w:rsidRDefault="00734C23">
      <w:pPr>
        <w:spacing w:after="0"/>
      </w:pPr>
      <w:r>
        <w:separator/>
      </w:r>
    </w:p>
  </w:endnote>
  <w:endnote w:type="continuationSeparator" w:id="0">
    <w:p w14:paraId="01865150" w14:textId="77777777" w:rsidR="00734C23" w:rsidRDefault="00734C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Arial"/>
    <w:charset w:val="00"/>
    <w:family w:val="auto"/>
    <w:pitch w:val="variable"/>
    <w:sig w:usb0="00000000" w:usb1="5000A1FF" w:usb2="00000000" w:usb3="00000000" w:csb0="000001B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CA9B1" w14:textId="77777777" w:rsidR="0089678A" w:rsidRDefault="0089678A" w:rsidP="00880D4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2E63CF0" w14:textId="77777777" w:rsidR="0089678A" w:rsidRDefault="0089678A" w:rsidP="00C2200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FB702" w14:textId="57644A58" w:rsidR="0089678A" w:rsidRDefault="0089678A" w:rsidP="003E1DCD">
    <w:pPr>
      <w:pStyle w:val="Fuzeile"/>
      <w:framePr w:h="359" w:hRule="exact" w:wrap="around" w:vAnchor="text" w:hAnchor="page" w:x="10778" w:y="-639"/>
      <w:rPr>
        <w:rStyle w:val="Seitenzahl"/>
      </w:rPr>
    </w:pPr>
    <w:r>
      <w:rPr>
        <w:rStyle w:val="Seitenzahl"/>
      </w:rPr>
      <w:fldChar w:fldCharType="begin"/>
    </w:r>
    <w:r>
      <w:rPr>
        <w:rStyle w:val="Seitenzahl"/>
      </w:rPr>
      <w:instrText xml:space="preserve">PAGE  </w:instrText>
    </w:r>
    <w:r>
      <w:rPr>
        <w:rStyle w:val="Seitenzahl"/>
      </w:rPr>
      <w:fldChar w:fldCharType="separate"/>
    </w:r>
    <w:r w:rsidR="00241061">
      <w:rPr>
        <w:rStyle w:val="Seitenzahl"/>
        <w:noProof/>
      </w:rPr>
      <w:t>1</w:t>
    </w:r>
    <w:r>
      <w:rPr>
        <w:rStyle w:val="Seitenzahl"/>
      </w:rPr>
      <w:fldChar w:fldCharType="end"/>
    </w:r>
  </w:p>
  <w:p w14:paraId="5E8EE9E4" w14:textId="77777777" w:rsidR="0089678A" w:rsidRDefault="0089678A" w:rsidP="00C22001">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04679F" w14:textId="77777777" w:rsidR="00734C23" w:rsidRDefault="00734C23">
      <w:r>
        <w:separator/>
      </w:r>
    </w:p>
  </w:footnote>
  <w:footnote w:type="continuationSeparator" w:id="0">
    <w:p w14:paraId="0FEA1D0C" w14:textId="77777777" w:rsidR="00734C23" w:rsidRDefault="00734C23">
      <w:r>
        <w:continuationSeparator/>
      </w:r>
    </w:p>
  </w:footnote>
  <w:footnote w:id="1">
    <w:p w14:paraId="2F42E778" w14:textId="7923EAFA" w:rsidR="0089678A" w:rsidRPr="00B129F2" w:rsidRDefault="0089678A">
      <w:pPr>
        <w:pStyle w:val="Funotentext1"/>
        <w:rPr>
          <w:lang w:val="de-DE"/>
        </w:rPr>
      </w:pPr>
      <w:r>
        <w:rPr>
          <w:rStyle w:val="Funotenzeichen"/>
        </w:rPr>
        <w:footnoteRef/>
      </w:r>
      <w:r>
        <w:t xml:space="preserve"> Remarkable exceptions in recent years are: Mark Jarrett, The Congress of Vienna and Its Legacy. War and Great Power Diplomacy after Napoleon (London – New York 2013); Heinz Duchhardt, Der Aachener Kongress 1818. </w:t>
      </w:r>
      <w:r w:rsidRPr="00B129F2">
        <w:rPr>
          <w:lang w:val="de-DE"/>
        </w:rPr>
        <w:t>Ein europäisches Gipfeltreffen im Vormärz (</w:t>
      </w:r>
      <w:r>
        <w:rPr>
          <w:lang w:val="de-DE"/>
        </w:rPr>
        <w:t>Munich</w:t>
      </w:r>
      <w:r w:rsidRPr="00B129F2">
        <w:rPr>
          <w:lang w:val="de-DE"/>
        </w:rPr>
        <w:t xml:space="preserve"> 2018); Paul W. Schroeder, Metternich’s Diplomacy at Its Zenith 1820–1823 (Austin 1962); Guillaume de Bertier de Sauvigny, Metternich et la France après le Congrès de Vienne, </w:t>
      </w:r>
      <w:r>
        <w:rPr>
          <w:lang w:val="de-DE"/>
        </w:rPr>
        <w:t>vol</w:t>
      </w:r>
      <w:r w:rsidRPr="00B129F2">
        <w:rPr>
          <w:lang w:val="de-DE"/>
        </w:rPr>
        <w:t>. 2 (Paris 1968).</w:t>
      </w:r>
    </w:p>
  </w:footnote>
  <w:footnote w:id="2">
    <w:p w14:paraId="34B6BE90" w14:textId="77777777" w:rsidR="0089678A" w:rsidRPr="00F017C2" w:rsidRDefault="0089678A">
      <w:pPr>
        <w:pStyle w:val="Funotentext"/>
        <w:rPr>
          <w:lang w:val="en-US"/>
        </w:rPr>
      </w:pPr>
      <w:r>
        <w:rPr>
          <w:rStyle w:val="Funotenzeichen"/>
        </w:rPr>
        <w:footnoteRef/>
      </w:r>
      <w:r>
        <w:t xml:space="preserve"> </w:t>
      </w:r>
      <w:r w:rsidRPr="00F017C2">
        <w:rPr>
          <w:lang w:val="en-US"/>
        </w:rPr>
        <w:t xml:space="preserve">See Miroslav </w:t>
      </w:r>
      <w:r w:rsidRPr="00F017C2">
        <w:rPr>
          <w:rFonts w:ascii="Cambria" w:hAnsi="Cambria"/>
          <w:lang w:val="en-US"/>
        </w:rPr>
        <w:t>Š</w:t>
      </w:r>
      <w:r w:rsidRPr="00F017C2">
        <w:rPr>
          <w:lang w:val="en-US"/>
        </w:rPr>
        <w:t>ediv</w:t>
      </w:r>
      <w:r w:rsidRPr="00F017C2">
        <w:rPr>
          <w:rFonts w:ascii="Cambria" w:hAnsi="Cambria"/>
          <w:lang w:val="en-US"/>
        </w:rPr>
        <w:t>ý</w:t>
      </w:r>
      <w:r w:rsidRPr="00F017C2">
        <w:rPr>
          <w:lang w:val="en-US"/>
        </w:rPr>
        <w:t>, Metternich, the Great Powers and the Eastern Question (Pilsen 2013).</w:t>
      </w:r>
    </w:p>
  </w:footnote>
  <w:footnote w:id="3">
    <w:p w14:paraId="61B9573A" w14:textId="622281A2" w:rsidR="0089678A" w:rsidRPr="00B129F2" w:rsidRDefault="0089678A">
      <w:pPr>
        <w:pStyle w:val="Funotentext1"/>
        <w:rPr>
          <w:lang w:val="de-DE"/>
        </w:rPr>
      </w:pPr>
      <w:r>
        <w:rPr>
          <w:rStyle w:val="Funotenzeichen"/>
        </w:rPr>
        <w:footnoteRef/>
      </w:r>
      <w:r w:rsidRPr="00B129F2">
        <w:rPr>
          <w:lang w:val="de-DE"/>
        </w:rPr>
        <w:t xml:space="preserve"> </w:t>
      </w:r>
      <w:r>
        <w:rPr>
          <w:lang w:val="de-DE"/>
        </w:rPr>
        <w:t>See Matthias Schulz, Normen und Praxis. Das Europäische Konzert der Großmächte als Sicherheitsrat 1815–1860 (Munich 2009), 684.</w:t>
      </w:r>
    </w:p>
  </w:footnote>
  <w:footnote w:id="4">
    <w:p w14:paraId="1E543FC3" w14:textId="77777777" w:rsidR="0089678A" w:rsidRDefault="0089678A">
      <w:pPr>
        <w:pStyle w:val="Funotentext1"/>
      </w:pPr>
      <w:r>
        <w:rPr>
          <w:rStyle w:val="Funotenzeichen"/>
        </w:rPr>
        <w:footnoteRef/>
      </w:r>
      <w:r>
        <w:t xml:space="preserve"> </w:t>
      </w:r>
      <w:r w:rsidRPr="00B129F2">
        <w:rPr>
          <w:lang w:val="en-US"/>
        </w:rPr>
        <w:t>Paul W. Schroeder, The Transformation of European politics 1763–1848 (Oxford 1994).</w:t>
      </w:r>
    </w:p>
  </w:footnote>
  <w:footnote w:id="5">
    <w:p w14:paraId="211EE0B3" w14:textId="24289611" w:rsidR="0089678A" w:rsidRDefault="0089678A">
      <w:pPr>
        <w:pStyle w:val="Funotentext1"/>
      </w:pPr>
      <w:r>
        <w:rPr>
          <w:rStyle w:val="Funotenzeichen"/>
        </w:rPr>
        <w:footnoteRef/>
      </w:r>
      <w:r>
        <w:t xml:space="preserve"> The Summer school was co-organised by the FWF project “Die Medialität diplomatischer Kommunikation (17. Jahrhundert)” (P 30091), the Institute for History at Salzburg University, and the Centre for Information Modelling at the University of Graz in cooperation with the </w:t>
      </w:r>
      <w:r w:rsidRPr="00F05F7C">
        <w:rPr>
          <w:i/>
        </w:rPr>
        <w:t>Institut für Dokumentologie und Editorik</w:t>
      </w:r>
      <w:r>
        <w:t xml:space="preserve"> (IDE).</w:t>
      </w:r>
    </w:p>
  </w:footnote>
  <w:footnote w:id="6">
    <w:p w14:paraId="389F0A18" w14:textId="6BC98E2F" w:rsidR="0089678A" w:rsidRDefault="0089678A">
      <w:pPr>
        <w:pStyle w:val="Funotentext1"/>
      </w:pPr>
      <w:r>
        <w:rPr>
          <w:rStyle w:val="Funotenzeichen"/>
        </w:rPr>
        <w:footnoteRef/>
      </w:r>
      <w:r>
        <w:t xml:space="preserve"> In fact, some documents had been transcribed using </w:t>
      </w:r>
      <w:del w:id="11" w:author="Kurz, Stephan" w:date="2019-02-11T15:05:00Z">
        <w:r w:rsidDel="00F05F7C">
          <w:delText xml:space="preserve">standard </w:delText>
        </w:r>
      </w:del>
      <w:r>
        <w:t xml:space="preserve">MS Word text processing and then converted to TEI XML using the OxGarage tool </w:t>
      </w:r>
      <w:hyperlink r:id="rId1">
        <w:r>
          <w:rPr>
            <w:rStyle w:val="Internetverknpfung"/>
          </w:rPr>
          <w:t>http://oxgarage.tei-c.org/</w:t>
        </w:r>
      </w:hyperlink>
      <w:r>
        <w:t>.</w:t>
      </w:r>
    </w:p>
  </w:footnote>
  <w:footnote w:id="7">
    <w:p w14:paraId="4853171B" w14:textId="22C64C62" w:rsidR="0089678A" w:rsidRDefault="0089678A">
      <w:pPr>
        <w:pStyle w:val="Funotentext1"/>
      </w:pPr>
      <w:r>
        <w:rPr>
          <w:rStyle w:val="Funotenzeichen"/>
        </w:rPr>
        <w:footnoteRef/>
      </w:r>
      <w:r>
        <w:t xml:space="preserve"> For a different approach concerning a similar textual genre with a differing textual source situation, cf. the representation of the records of the Constitutional Convention of 1787 that remodels textual events in a relational database</w:t>
      </w:r>
      <w:del w:id="13" w:author="Kurz, Stephan" w:date="2019-02-11T15:06:00Z">
        <w:r w:rsidDel="00F05F7C">
          <w:delText xml:space="preserve"> using the</w:delText>
        </w:r>
      </w:del>
      <w:ins w:id="14" w:author="Kurz, Stephan" w:date="2019-02-11T15:06:00Z">
        <w:r w:rsidR="00F05F7C">
          <w:t>:</w:t>
        </w:r>
      </w:ins>
      <w:r>
        <w:t xml:space="preserve"> Quill Project (</w:t>
      </w:r>
      <w:hyperlink r:id="rId2">
        <w:r>
          <w:rPr>
            <w:rStyle w:val="Internetverknpfung"/>
          </w:rPr>
          <w:t>https://www.quillproject.net/quill</w:t>
        </w:r>
      </w:hyperlink>
      <w:r>
        <w:t xml:space="preserve">). In this case, the negotiations underlying a collaboratively edited text like the US federal </w:t>
      </w:r>
      <w:del w:id="15" w:author="Kurz, Stephan" w:date="2019-02-11T15:07:00Z">
        <w:r w:rsidDel="00F05F7C">
          <w:delText xml:space="preserve">constitution </w:delText>
        </w:r>
      </w:del>
      <w:ins w:id="16" w:author="Kurz, Stephan" w:date="2019-02-11T15:07:00Z">
        <w:r w:rsidR="00F05F7C">
          <w:t>C</w:t>
        </w:r>
        <w:r w:rsidR="00F05F7C">
          <w:t xml:space="preserve">onstitution </w:t>
        </w:r>
      </w:ins>
      <w:r>
        <w:t>are represented as different types of events that result in different states of textual snippets at given points in time.</w:t>
      </w:r>
    </w:p>
  </w:footnote>
  <w:footnote w:id="8">
    <w:p w14:paraId="36AA3F3A" w14:textId="50910E31" w:rsidR="0089678A" w:rsidRDefault="0089678A">
      <w:pPr>
        <w:pStyle w:val="Funotentext1"/>
      </w:pPr>
      <w:r>
        <w:rPr>
          <w:rStyle w:val="Funotenzeichen"/>
        </w:rPr>
        <w:footnoteRef/>
      </w:r>
      <w:r>
        <w:t xml:space="preserve"> This refers in particular to the following TEI modules: </w:t>
      </w:r>
      <w:r>
        <w:rPr>
          <w:rStyle w:val="VerbatimChar"/>
        </w:rPr>
        <w:t>header</w:t>
      </w:r>
      <w:r>
        <w:t xml:space="preserve">, </w:t>
      </w:r>
      <w:r>
        <w:rPr>
          <w:rStyle w:val="VerbatimChar"/>
        </w:rPr>
        <w:t>linking</w:t>
      </w:r>
      <w:r>
        <w:t xml:space="preserve">, </w:t>
      </w:r>
      <w:r>
        <w:rPr>
          <w:rStyle w:val="VerbatimChar"/>
        </w:rPr>
        <w:t>core</w:t>
      </w:r>
      <w:r>
        <w:t xml:space="preserve">, </w:t>
      </w:r>
      <w:r>
        <w:rPr>
          <w:rStyle w:val="VerbatimChar"/>
        </w:rPr>
        <w:t>textstructure</w:t>
      </w:r>
      <w:r>
        <w:t xml:space="preserve">, </w:t>
      </w:r>
      <w:r>
        <w:rPr>
          <w:rStyle w:val="VerbatimChar"/>
        </w:rPr>
        <w:t>namesdates</w:t>
      </w:r>
      <w:r>
        <w:t xml:space="preserve">, </w:t>
      </w:r>
      <w:r>
        <w:rPr>
          <w:rStyle w:val="VerbatimChar"/>
        </w:rPr>
        <w:t>transcr</w:t>
      </w:r>
      <w:r>
        <w:t xml:space="preserve">, </w:t>
      </w:r>
      <w:r>
        <w:rPr>
          <w:rStyle w:val="VerbatimChar"/>
        </w:rPr>
        <w:t>textcrit</w:t>
      </w:r>
      <w:r>
        <w:t xml:space="preserve">, </w:t>
      </w:r>
      <w:r>
        <w:rPr>
          <w:rStyle w:val="VerbatimChar"/>
        </w:rPr>
        <w:t>figures</w:t>
      </w:r>
      <w:r>
        <w:t xml:space="preserve"> and </w:t>
      </w:r>
      <w:r>
        <w:rPr>
          <w:rStyle w:val="VerbatimChar"/>
        </w:rPr>
        <w:t>msdescription</w:t>
      </w:r>
      <w:r>
        <w:t>.</w:t>
      </w:r>
    </w:p>
  </w:footnote>
  <w:footnote w:id="9">
    <w:p w14:paraId="3C48546F" w14:textId="255D5ED4" w:rsidR="0089678A" w:rsidRDefault="0089678A">
      <w:pPr>
        <w:pStyle w:val="Funotentext1"/>
      </w:pPr>
      <w:r>
        <w:rPr>
          <w:rStyle w:val="Funotenzeichen"/>
        </w:rPr>
        <w:footnoteRef/>
      </w:r>
      <w:r>
        <w:t xml:space="preserve"> Note on </w:t>
      </w:r>
      <w:r>
        <w:rPr>
          <w:rStyle w:val="VerbatimChar"/>
        </w:rPr>
        <w:t>country</w:t>
      </w:r>
      <w:r>
        <w:t xml:space="preserve">: Only instances of </w:t>
      </w:r>
      <w:r>
        <w:rPr>
          <w:rStyle w:val="VerbatimChar"/>
        </w:rPr>
        <w:t>place</w:t>
      </w:r>
      <w:r>
        <w:t xml:space="preserve"> are recorded in the </w:t>
      </w:r>
      <w:r>
        <w:rPr>
          <w:rStyle w:val="VerbatimChar"/>
        </w:rPr>
        <w:t>listPlace</w:t>
      </w:r>
      <w:r>
        <w:t xml:space="preserve"> index. Historical names of countries are not georeferenced, but still marked up using the </w:t>
      </w:r>
      <w:r>
        <w:rPr>
          <w:rStyle w:val="VerbatimChar"/>
        </w:rPr>
        <w:t>country</w:t>
      </w:r>
      <w:r>
        <w:t xml:space="preserve"> tag.</w:t>
      </w:r>
    </w:p>
  </w:footnote>
  <w:footnote w:id="10">
    <w:p w14:paraId="3DDC014A" w14:textId="3B26F2C3" w:rsidR="0089678A" w:rsidRDefault="0089678A">
      <w:pPr>
        <w:pStyle w:val="Funotentext1"/>
      </w:pPr>
      <w:r>
        <w:rPr>
          <w:rStyle w:val="Funotenzeichen"/>
        </w:rPr>
        <w:footnoteRef/>
      </w:r>
      <w:r>
        <w:t xml:space="preserve"> The monochrome map is based on a CC-licenced map “Europe 1820” by Andreas Kunz, Wolf Röss and Joachim Robert Möschl (</w:t>
      </w:r>
      <w:hyperlink r:id="rId3">
        <w:r>
          <w:rPr>
            <w:rStyle w:val="Internetverknpfung"/>
          </w:rPr>
          <w:t>https://www.ieg-maps.uni-mainz.de/mapsp/mappEu820Serie2.htm</w:t>
        </w:r>
      </w:hyperlink>
      <w:r>
        <w:t>); it has been edited by Stephan Kurz and forms the background image for the entire web application.</w:t>
      </w:r>
    </w:p>
  </w:footnote>
  <w:footnote w:id="11">
    <w:p w14:paraId="3C2A3AFE" w14:textId="220AA862" w:rsidR="0089678A" w:rsidRDefault="0089678A">
      <w:pPr>
        <w:pStyle w:val="Funotentext1"/>
      </w:pPr>
      <w:r>
        <w:rPr>
          <w:rStyle w:val="Funotenzeichen"/>
        </w:rPr>
        <w:footnoteRef/>
      </w:r>
      <w:r>
        <w:t xml:space="preserve"> This may be updated to a more accurate data set originating from the HistoGIS project involving the ÖAW-ACDH, </w:t>
      </w:r>
      <w:hyperlink r:id="rId4">
        <w:r>
          <w:rPr>
            <w:rStyle w:val="Internetverknpfung"/>
          </w:rPr>
          <w:t>https://histogis.acdh.oeaw.ac.at/</w:t>
        </w:r>
      </w:hyperlink>
      <w:r>
        <w:t>, in a future feature release.</w:t>
      </w:r>
    </w:p>
  </w:footnote>
  <w:footnote w:id="12">
    <w:p w14:paraId="3B25E436" w14:textId="223CD89C" w:rsidR="0089678A" w:rsidRDefault="0089678A">
      <w:pPr>
        <w:pStyle w:val="Funotentext1"/>
      </w:pPr>
      <w:r>
        <w:rPr>
          <w:rStyle w:val="Funotenzeichen"/>
        </w:rPr>
        <w:footnoteRef/>
      </w:r>
      <w:r>
        <w:t xml:space="preserve"> The latest iteration of this application can be found at </w:t>
      </w:r>
      <w:hyperlink r:id="rId5">
        <w:r>
          <w:rPr>
            <w:rStyle w:val="Internetverknpfung"/>
          </w:rPr>
          <w:t>https://thun-korrespondenz.acdh.oeaw.ac.at/pages/index.html</w:t>
        </w:r>
      </w:hyperlink>
      <w:r>
        <w:t>.</w:t>
      </w:r>
    </w:p>
  </w:footnote>
  <w:footnote w:id="13">
    <w:p w14:paraId="37B0BF76" w14:textId="77777777" w:rsidR="0089678A" w:rsidRDefault="0089678A">
      <w:pPr>
        <w:pStyle w:val="Funotentext1"/>
      </w:pPr>
      <w:r>
        <w:rPr>
          <w:rStyle w:val="Funotenzeichen"/>
        </w:rPr>
        <w:footnoteRef/>
      </w:r>
      <w:r>
        <w:t xml:space="preserve"> See </w:t>
      </w:r>
      <w:hyperlink r:id="rId6">
        <w:r>
          <w:rPr>
            <w:rStyle w:val="Internetverknpfung"/>
          </w:rPr>
          <w:t>https://github.com/csae8092/posts/tree/master/digital-edition-web-app</w:t>
        </w:r>
      </w:hyperlink>
      <w:r>
        <w:t>.</w:t>
      </w:r>
    </w:p>
  </w:footnote>
  <w:footnote w:id="14">
    <w:p w14:paraId="12ADF586" w14:textId="1DF5C410" w:rsidR="0089678A" w:rsidRDefault="0089678A">
      <w:pPr>
        <w:pStyle w:val="Funotentext1"/>
      </w:pPr>
      <w:r>
        <w:rPr>
          <w:rStyle w:val="Funotenzeichen"/>
        </w:rPr>
        <w:footnoteRef/>
      </w:r>
      <w:r>
        <w:t xml:space="preserve"> </w:t>
      </w:r>
      <w:hyperlink r:id="rId7">
        <w:r>
          <w:rPr>
            <w:rStyle w:val="Internetverknpfung"/>
          </w:rPr>
          <w:t>http://exist-db.org/</w:t>
        </w:r>
      </w:hyperlink>
      <w:r>
        <w:rPr>
          <w:rStyle w:val="Internetverknpfung"/>
        </w:rPr>
        <w:t xml:space="preserve">. </w:t>
      </w:r>
      <w:r>
        <w:t>This toolset is notorious within the Digital Humanities context for various reasons; our experiences have been positive for the most part.</w:t>
      </w:r>
    </w:p>
  </w:footnote>
  <w:footnote w:id="15">
    <w:p w14:paraId="36B0DF7C" w14:textId="77777777" w:rsidR="0089678A" w:rsidRDefault="0089678A">
      <w:pPr>
        <w:pStyle w:val="Funotentext1"/>
      </w:pPr>
      <w:r>
        <w:rPr>
          <w:rStyle w:val="Funotenzeichen"/>
        </w:rPr>
        <w:footnoteRef/>
      </w:r>
      <w:r>
        <w:t xml:space="preserve"> </w:t>
      </w:r>
      <w:hyperlink r:id="rId8">
        <w:r>
          <w:rPr>
            <w:rStyle w:val="Internetverknpfung"/>
          </w:rPr>
          <w:t>https://www.oeaw.ac.at/acdh/tools/arche/</w:t>
        </w:r>
      </w:hyperlink>
      <w:r>
        <w:t>, repository based on Fedora Commons.</w:t>
      </w:r>
    </w:p>
  </w:footnote>
  <w:footnote w:id="16">
    <w:p w14:paraId="3A7A6EAA" w14:textId="52BC6ABB" w:rsidR="0089678A" w:rsidRDefault="0089678A">
      <w:pPr>
        <w:pStyle w:val="Funotentext1"/>
      </w:pPr>
      <w:r>
        <w:rPr>
          <w:rStyle w:val="Funotenzeichen"/>
        </w:rPr>
        <w:footnoteRef/>
      </w:r>
      <w:r>
        <w:t xml:space="preserve"> </w:t>
      </w:r>
      <w:hyperlink r:id="rId9" w:history="1">
        <w:r w:rsidRPr="003201FC">
          <w:rPr>
            <w:rStyle w:val="Internetverknpfung"/>
          </w:rPr>
          <w:t>https://github.com/KONDE-AT/</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879B0"/>
    <w:multiLevelType w:val="multilevel"/>
    <w:tmpl w:val="63FACD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FF75E58"/>
    <w:multiLevelType w:val="multilevel"/>
    <w:tmpl w:val="612EAB8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phan Stockinger">
    <w15:presenceInfo w15:providerId="Windows Live" w15:userId="187184946687fa6e"/>
  </w15:person>
  <w15:person w15:author="Kurz, Stephan">
    <w15:presenceInfo w15:providerId="AD" w15:userId="S-1-5-21-1644491937-926492609-1801674531-19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7F3"/>
    <w:rsid w:val="000C22EA"/>
    <w:rsid w:val="0011535C"/>
    <w:rsid w:val="00132782"/>
    <w:rsid w:val="00165EEC"/>
    <w:rsid w:val="00170405"/>
    <w:rsid w:val="001A6E2D"/>
    <w:rsid w:val="001E0D26"/>
    <w:rsid w:val="001E2EFB"/>
    <w:rsid w:val="0022152F"/>
    <w:rsid w:val="00241061"/>
    <w:rsid w:val="002F7763"/>
    <w:rsid w:val="003201FC"/>
    <w:rsid w:val="00395453"/>
    <w:rsid w:val="003C174F"/>
    <w:rsid w:val="003E1DCD"/>
    <w:rsid w:val="00425664"/>
    <w:rsid w:val="0049548A"/>
    <w:rsid w:val="004A57F3"/>
    <w:rsid w:val="004C1397"/>
    <w:rsid w:val="00565769"/>
    <w:rsid w:val="00572419"/>
    <w:rsid w:val="005D2D71"/>
    <w:rsid w:val="00661246"/>
    <w:rsid w:val="00707149"/>
    <w:rsid w:val="00734C23"/>
    <w:rsid w:val="00743F61"/>
    <w:rsid w:val="007C54B0"/>
    <w:rsid w:val="008465C7"/>
    <w:rsid w:val="00880D42"/>
    <w:rsid w:val="0089678A"/>
    <w:rsid w:val="00907419"/>
    <w:rsid w:val="009D1E57"/>
    <w:rsid w:val="009F50D0"/>
    <w:rsid w:val="00A23AB4"/>
    <w:rsid w:val="00A24E35"/>
    <w:rsid w:val="00AB14CE"/>
    <w:rsid w:val="00B129F2"/>
    <w:rsid w:val="00BA4D39"/>
    <w:rsid w:val="00C00A88"/>
    <w:rsid w:val="00C22001"/>
    <w:rsid w:val="00C873F4"/>
    <w:rsid w:val="00CB4A2A"/>
    <w:rsid w:val="00CE732E"/>
    <w:rsid w:val="00D248E8"/>
    <w:rsid w:val="00D536DE"/>
    <w:rsid w:val="00E15E96"/>
    <w:rsid w:val="00E90714"/>
    <w:rsid w:val="00F017C2"/>
    <w:rsid w:val="00F05F7C"/>
    <w:rsid w:val="00F34AE9"/>
    <w:rsid w:val="00F51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D25451"/>
  <w15:docId w15:val="{9AC43F06-89C6-4C52-A79A-F409872FA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371">
    <w:lsdException w:name="heading 6" w:semiHidden="1" w:unhideWhenUsed="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berschrift21">
    <w:name w:val="Überschrift 21"/>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berschrift31">
    <w:name w:val="Überschrift 31"/>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berschrift41">
    <w:name w:val="Überschrift 41"/>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berschrift51">
    <w:name w:val="Überschrift 51"/>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berschrift61">
    <w:name w:val="Überschrift 61"/>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berschrift71">
    <w:name w:val="Überschrift 71"/>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berschrift81">
    <w:name w:val="Überschrift 81"/>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berschrift91">
    <w:name w:val="Überschrift 91"/>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customStyle="1" w:styleId="BeschriftungZeichen">
    <w:name w:val="Beschriftung Zeichen"/>
    <w:basedOn w:val="Absatz-Standardschriftart"/>
    <w:link w:val="Beschriftung1"/>
    <w:qFormat/>
  </w:style>
  <w:style w:type="character" w:customStyle="1" w:styleId="VerbatimChar">
    <w:name w:val="Verbatim Char"/>
    <w:basedOn w:val="BeschriftungZeichen"/>
    <w:link w:val="SourceCode"/>
    <w:qFormat/>
    <w:rPr>
      <w:rFonts w:ascii="Consolas" w:hAnsi="Consolas"/>
      <w:sz w:val="22"/>
    </w:rPr>
  </w:style>
  <w:style w:type="character" w:customStyle="1" w:styleId="Funotenanker">
    <w:name w:val="Fußnotenanker"/>
    <w:rPr>
      <w:vertAlign w:val="superscript"/>
    </w:rPr>
  </w:style>
  <w:style w:type="character" w:customStyle="1" w:styleId="FootnoteCharacters">
    <w:name w:val="Footnote Characters"/>
    <w:basedOn w:val="BeschriftungZeichen"/>
    <w:uiPriority w:val="99"/>
    <w:qFormat/>
    <w:rPr>
      <w:vertAlign w:val="superscript"/>
    </w:rPr>
  </w:style>
  <w:style w:type="character" w:customStyle="1" w:styleId="Internetverknpfung">
    <w:name w:val="Internetverknüpfung"/>
    <w:basedOn w:val="BeschriftungZeichen"/>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FunotentextZeichen">
    <w:name w:val="Fußnotentext Zeichen"/>
    <w:basedOn w:val="Absatz-Standardschriftart"/>
    <w:link w:val="Funotentext1"/>
    <w:qFormat/>
    <w:rsid w:val="008A2E1D"/>
  </w:style>
  <w:style w:type="character" w:customStyle="1" w:styleId="SprechblasentextZchn">
    <w:name w:val="Sprechblasentext Zchn"/>
    <w:basedOn w:val="Absatz-Standardschriftart"/>
    <w:link w:val="Sprechblasentext"/>
    <w:semiHidden/>
    <w:qFormat/>
    <w:rsid w:val="008A2E1D"/>
    <w:rPr>
      <w:rFonts w:ascii="Lucida Grande" w:hAnsi="Lucida Grande"/>
      <w:sz w:val="18"/>
      <w:szCs w:val="18"/>
    </w:rPr>
  </w:style>
  <w:style w:type="character" w:styleId="Kommentarzeichen">
    <w:name w:val="annotation reference"/>
    <w:basedOn w:val="Absatz-Standardschriftart"/>
    <w:semiHidden/>
    <w:unhideWhenUsed/>
    <w:qFormat/>
    <w:rsid w:val="00185505"/>
    <w:rPr>
      <w:sz w:val="18"/>
      <w:szCs w:val="18"/>
    </w:rPr>
  </w:style>
  <w:style w:type="character" w:customStyle="1" w:styleId="KommentartextZchn">
    <w:name w:val="Kommentartext Zchn"/>
    <w:basedOn w:val="Absatz-Standardschriftart"/>
    <w:link w:val="Kommentartext"/>
    <w:semiHidden/>
    <w:qFormat/>
    <w:rsid w:val="00185505"/>
  </w:style>
  <w:style w:type="character" w:customStyle="1" w:styleId="KommentarthemaZchn">
    <w:name w:val="Kommentarthema Zchn"/>
    <w:basedOn w:val="KommentartextZchn"/>
    <w:link w:val="Kommentarthema"/>
    <w:semiHidden/>
    <w:qFormat/>
    <w:rsid w:val="00185505"/>
    <w:rPr>
      <w:b/>
      <w:bCs/>
      <w:sz w:val="20"/>
      <w:szCs w:val="20"/>
    </w:rPr>
  </w:style>
  <w:style w:type="character" w:customStyle="1" w:styleId="ListLabel1">
    <w:name w:val="ListLabel 1"/>
    <w:qFormat/>
  </w:style>
  <w:style w:type="character" w:styleId="Funotenzeichen">
    <w:name w:val="footnote reference"/>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Source Han Sans CN Regular" w:hAnsi="Liberation Sans" w:cs="Lohit Devanagari"/>
      <w:sz w:val="28"/>
      <w:szCs w:val="28"/>
    </w:rPr>
  </w:style>
  <w:style w:type="paragraph" w:styleId="Textkrper">
    <w:name w:val="Body Text"/>
    <w:basedOn w:val="Standard"/>
    <w:qFormat/>
    <w:pPr>
      <w:spacing w:before="180" w:after="180"/>
    </w:pPr>
  </w:style>
  <w:style w:type="paragraph" w:styleId="Liste">
    <w:name w:val="List"/>
    <w:basedOn w:val="Textkrper"/>
    <w:rPr>
      <w:rFonts w:cs="Lohit Devanagari"/>
    </w:rPr>
  </w:style>
  <w:style w:type="paragraph" w:customStyle="1" w:styleId="Beschriftung1">
    <w:name w:val="Beschriftung1"/>
    <w:basedOn w:val="Standard"/>
    <w:link w:val="BeschriftungZeichen"/>
    <w:qFormat/>
    <w:pPr>
      <w:suppressLineNumbers/>
      <w:spacing w:before="120" w:after="120"/>
    </w:pPr>
    <w:rPr>
      <w:rFonts w:cs="Lohit Devanagari"/>
      <w:i/>
      <w:iCs/>
    </w:rPr>
  </w:style>
  <w:style w:type="paragraph" w:customStyle="1" w:styleId="Verzeichnis">
    <w:name w:val="Verzeichnis"/>
    <w:basedOn w:val="Standard"/>
    <w:qFormat/>
    <w:pPr>
      <w:suppressLineNumbers/>
    </w:pPr>
    <w:rPr>
      <w:rFonts w:cs="Lohit Devanagari"/>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customStyle="1" w:styleId="Funotentext1">
    <w:name w:val="Fußnotentext1"/>
    <w:basedOn w:val="Standard"/>
    <w:link w:val="FunotentextZeichen"/>
    <w:unhideWhenUsed/>
    <w:qFormat/>
  </w:style>
  <w:style w:type="paragraph" w:customStyle="1" w:styleId="DefinitionTerm">
    <w:name w:val="Definition Term"/>
    <w:basedOn w:val="Standard"/>
    <w:next w:val="Definition"/>
    <w:qFormat/>
    <w:pPr>
      <w:keepNext/>
      <w:keepLines/>
      <w:spacing w:after="0"/>
    </w:pPr>
    <w:rPr>
      <w:b/>
    </w:rPr>
  </w:style>
  <w:style w:type="paragraph" w:customStyle="1" w:styleId="Definition">
    <w:name w:val="Definition"/>
    <w:basedOn w:val="Standard"/>
    <w:qFormat/>
  </w:style>
  <w:style w:type="paragraph" w:styleId="Beschriftung">
    <w:name w:val="caption"/>
    <w:basedOn w:val="Standard"/>
    <w:qFormat/>
    <w:pPr>
      <w:spacing w:after="120"/>
    </w:pPr>
    <w:rPr>
      <w:i/>
    </w:rPr>
  </w:style>
  <w:style w:type="paragraph" w:customStyle="1" w:styleId="TableCaption">
    <w:name w:val="Table Caption"/>
    <w:basedOn w:val="Beschriftung"/>
    <w:qFormat/>
    <w:pPr>
      <w:keepNext/>
    </w:pPr>
  </w:style>
  <w:style w:type="paragraph" w:customStyle="1" w:styleId="ImageCaption">
    <w:name w:val="Image Caption"/>
    <w:basedOn w:val="Beschriftung"/>
    <w:qFormat/>
  </w:style>
  <w:style w:type="paragraph" w:customStyle="1" w:styleId="Schaubild">
    <w:name w:val="Schaubild"/>
    <w:basedOn w:val="Standard"/>
    <w:qFormat/>
  </w:style>
  <w:style w:type="paragraph" w:customStyle="1" w:styleId="CaptionedFigure">
    <w:name w:val="Captioned Figure"/>
    <w:basedOn w:val="Schaubild"/>
    <w:qFormat/>
    <w:pPr>
      <w:keepNext/>
    </w:pPr>
  </w:style>
  <w:style w:type="paragraph" w:styleId="Inhaltsverzeichnisberschrift">
    <w:name w:val="TOC Heading"/>
    <w:basedOn w:val="berschrift11"/>
    <w:next w:val="Textkrper"/>
    <w:uiPriority w:val="39"/>
    <w:unhideWhenUsed/>
    <w:qFormat/>
    <w:pPr>
      <w:spacing w:before="240" w:line="259" w:lineRule="auto"/>
    </w:pPr>
    <w:rPr>
      <w:b w:val="0"/>
      <w:bCs w:val="0"/>
      <w:color w:val="365F91" w:themeColor="accent1" w:themeShade="BF"/>
    </w:rPr>
  </w:style>
  <w:style w:type="paragraph" w:customStyle="1" w:styleId="SourceCode">
    <w:name w:val="Source Code"/>
    <w:basedOn w:val="Standard"/>
    <w:link w:val="VerbatimChar"/>
    <w:qFormat/>
  </w:style>
  <w:style w:type="paragraph" w:styleId="Sprechblasentext">
    <w:name w:val="Balloon Text"/>
    <w:basedOn w:val="Standard"/>
    <w:link w:val="SprechblasentextZchn"/>
    <w:semiHidden/>
    <w:unhideWhenUsed/>
    <w:qFormat/>
    <w:rsid w:val="008A2E1D"/>
    <w:pPr>
      <w:spacing w:after="0"/>
    </w:pPr>
    <w:rPr>
      <w:rFonts w:ascii="Lucida Grande" w:hAnsi="Lucida Grande"/>
      <w:sz w:val="18"/>
      <w:szCs w:val="18"/>
    </w:rPr>
  </w:style>
  <w:style w:type="paragraph" w:styleId="Kommentartext">
    <w:name w:val="annotation text"/>
    <w:basedOn w:val="Standard"/>
    <w:link w:val="KommentartextZchn"/>
    <w:semiHidden/>
    <w:unhideWhenUsed/>
    <w:qFormat/>
    <w:rsid w:val="00185505"/>
  </w:style>
  <w:style w:type="paragraph" w:styleId="Kommentarthema">
    <w:name w:val="annotation subject"/>
    <w:basedOn w:val="Kommentartext"/>
    <w:next w:val="Kommentartext"/>
    <w:link w:val="KommentarthemaZchn"/>
    <w:semiHidden/>
    <w:unhideWhenUsed/>
    <w:qFormat/>
    <w:rsid w:val="00185505"/>
    <w:rPr>
      <w:b/>
      <w:bCs/>
      <w:sz w:val="20"/>
      <w:szCs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Funotentext">
    <w:name w:val="footnote text"/>
    <w:basedOn w:val="Standard"/>
    <w:link w:val="FunotentextZchn"/>
    <w:unhideWhenUsed/>
    <w:rsid w:val="00572419"/>
    <w:pPr>
      <w:spacing w:after="0"/>
    </w:pPr>
  </w:style>
  <w:style w:type="character" w:customStyle="1" w:styleId="FunotentextZchn">
    <w:name w:val="Fußnotentext Zchn"/>
    <w:basedOn w:val="Absatz-Standardschriftart"/>
    <w:link w:val="Funotentext"/>
    <w:rsid w:val="00572419"/>
  </w:style>
  <w:style w:type="paragraph" w:styleId="Fuzeile">
    <w:name w:val="footer"/>
    <w:basedOn w:val="Standard"/>
    <w:link w:val="FuzeileZchn"/>
    <w:unhideWhenUsed/>
    <w:rsid w:val="00C22001"/>
    <w:pPr>
      <w:tabs>
        <w:tab w:val="center" w:pos="4536"/>
        <w:tab w:val="right" w:pos="9072"/>
      </w:tabs>
      <w:spacing w:after="0"/>
    </w:pPr>
  </w:style>
  <w:style w:type="character" w:customStyle="1" w:styleId="FuzeileZchn">
    <w:name w:val="Fußzeile Zchn"/>
    <w:basedOn w:val="Absatz-Standardschriftart"/>
    <w:link w:val="Fuzeile"/>
    <w:rsid w:val="00C22001"/>
  </w:style>
  <w:style w:type="character" w:styleId="Seitenzahl">
    <w:name w:val="page number"/>
    <w:basedOn w:val="Absatz-Standardschriftart"/>
    <w:semiHidden/>
    <w:unhideWhenUsed/>
    <w:rsid w:val="00C22001"/>
  </w:style>
  <w:style w:type="paragraph" w:styleId="Kopfzeile">
    <w:name w:val="header"/>
    <w:basedOn w:val="Standard"/>
    <w:link w:val="KopfzeileZchn"/>
    <w:unhideWhenUsed/>
    <w:rsid w:val="003E1DCD"/>
    <w:pPr>
      <w:tabs>
        <w:tab w:val="center" w:pos="4536"/>
        <w:tab w:val="right" w:pos="9072"/>
      </w:tabs>
      <w:spacing w:after="0"/>
    </w:pPr>
  </w:style>
  <w:style w:type="character" w:customStyle="1" w:styleId="KopfzeileZchn">
    <w:name w:val="Kopfzeile Zchn"/>
    <w:basedOn w:val="Absatz-Standardschriftart"/>
    <w:link w:val="Kopfzeile"/>
    <w:rsid w:val="003E1DCD"/>
  </w:style>
  <w:style w:type="character" w:styleId="Hyperlink">
    <w:name w:val="Hyperlink"/>
    <w:basedOn w:val="Absatz-Standardschriftart"/>
    <w:rsid w:val="00B129F2"/>
    <w:rPr>
      <w:color w:val="0000FF" w:themeColor="hyperlink"/>
      <w:u w:val="single"/>
    </w:rPr>
  </w:style>
  <w:style w:type="character" w:styleId="BesuchterLink">
    <w:name w:val="FollowedHyperlink"/>
    <w:basedOn w:val="Absatz-Standardschriftart"/>
    <w:rsid w:val="003201FC"/>
    <w:rPr>
      <w:color w:val="800080" w:themeColor="followedHyperlink"/>
      <w:u w:val="single"/>
    </w:rPr>
  </w:style>
  <w:style w:type="paragraph" w:styleId="berarbeitung">
    <w:name w:val="Revision"/>
    <w:hidden/>
    <w:semiHidden/>
    <w:rsid w:val="00896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echtekongresse.acdh.oeaw.ac.at/" TargetMode="External"/><Relationship Id="rId12" Type="http://schemas.openxmlformats.org/officeDocument/2006/relationships/footer" Target="footer2.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aechtekongresse.acdh.oeaw.ac.at/"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www.oeaw.ac.at/acdh/tools/arche/" TargetMode="External"/><Relationship Id="rId3" Type="http://schemas.openxmlformats.org/officeDocument/2006/relationships/hyperlink" Target="https://www.ieg-maps.uni-mainz.de/mapsp/mappEu820Serie2.htm" TargetMode="External"/><Relationship Id="rId7" Type="http://schemas.openxmlformats.org/officeDocument/2006/relationships/hyperlink" Target="http://exist-db.org/" TargetMode="External"/><Relationship Id="rId2" Type="http://schemas.openxmlformats.org/officeDocument/2006/relationships/hyperlink" Target="https://www.quillproject.net/quill" TargetMode="External"/><Relationship Id="rId1" Type="http://schemas.openxmlformats.org/officeDocument/2006/relationships/hyperlink" Target="http://oxgarage.tei-c.org/" TargetMode="External"/><Relationship Id="rId6" Type="http://schemas.openxmlformats.org/officeDocument/2006/relationships/hyperlink" Target="https://github.com/csae8092/posts/tree/master/digital-edition-web-app" TargetMode="External"/><Relationship Id="rId5" Type="http://schemas.openxmlformats.org/officeDocument/2006/relationships/hyperlink" Target="https://thun-korrespondenz.acdh.oeaw.ac.at/pages/index.html" TargetMode="External"/><Relationship Id="rId4" Type="http://schemas.openxmlformats.org/officeDocument/2006/relationships/hyperlink" Target="https://histogis.acdh.oeaw.ac.at/" TargetMode="External"/><Relationship Id="rId9" Type="http://schemas.openxmlformats.org/officeDocument/2006/relationships/hyperlink" Target="https://github.com/KOND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2957</Words>
  <Characters>18630</Characters>
  <Application>Microsoft Office Word</Application>
  <DocSecurity>0</DocSecurity>
  <Lines>155</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Edition on the Documents of the Powers’ Congresses 1818–1822</vt:lpstr>
      <vt:lpstr>Digital Edition on the Documents of the Powers’ Congresses 1818–1822</vt:lpstr>
    </vt:vector>
  </TitlesOfParts>
  <Company>Österreichische Akademie der Wissenschaften</Company>
  <LinksUpToDate>false</LinksUpToDate>
  <CharactersWithSpaces>21544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Edition on the Documents of the Powers’ Congresses 1818–1822</dc:title>
  <dc:subject/>
  <dc:creator>Karin Schneider;Stephan Kurz</dc:creator>
  <dc:description/>
  <cp:lastModifiedBy>Kurz, Stephan</cp:lastModifiedBy>
  <cp:revision>8</cp:revision>
  <cp:lastPrinted>2019-01-13T11:34:00Z</cp:lastPrinted>
  <dcterms:created xsi:type="dcterms:W3CDTF">2019-02-11T13:17:00Z</dcterms:created>
  <dcterms:modified xsi:type="dcterms:W3CDTF">2019-02-11T15:36:00Z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Österreichische Akademie der Wissenschaften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