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p>
    <w:p>
      <w:pPr>
        <w:pStyle w:val="CoverMetadata"/>
      </w:pP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2026).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w:t>
      </w:r>
      <w:r>
        <w:t xml:space="preserve"> This scoped abstraction should be viewed alongside broader surge-capacity planning, which emphasizes scalable and flexible responses across facilities and communities when routine resources are exceeded (Hick et al., 2004).</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pPr/>
      <w:r>
        <w:t>Stochastic epidemic modelling can instead introduce randomness within the state-transition process itself, for example through continuous-time Markov chains or stochastic differential equations (Allen, 2017). The present study adopts a narrower coursework extension: it retains the literature-derived deterministic compartment trajectories and places uncertainty in the downstream consultation-demand scenarios. This choice keeps the newsvendor input transparent while avoiding any claim that epidemiological parameter uncertainty has been estimated.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these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5"/>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6"/>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7"/>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8"/>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9"/>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t>Allen, L. J. S. (2017) 'A primer on stochastic epidemic models: Formulation, numerical simulation, and analysis', Infectious Disease Modelling, 2(2), 128-142. https://doi.org/10.1016/j.idm.2017.03.001</w:t>
      </w:r>
    </w:p>
    <w:p>
      <w:pPr>
        <w:pStyle w:val="NarrativeBullet"/>
      </w:pPr>
      <w:r>
        <w:t>Asmundson, G. J. G. and Taylor, S. (2020) 'Coronaphobia: fear and the 2019-nCoV outbreak', Journal of Anxiety Disorders, 70, 102196. https://doi.org/10.1016/j.janxdis.2020.102196</w:t>
      </w:r>
    </w:p>
    <w:p>
      <w:pPr>
        <w:pStyle w:val="NarrativeBullet"/>
      </w:pPr>
      <w:r>
        <w:t>Blyuss, K. B. and Kyrychko, Y. N. (2005) 'On a basic model of a two-disease epidemic', Applied Mathematics and Computation, 160(1), 177-187. https://doi.org/10.1016/j.amc.2003.10.033</w:t>
      </w:r>
    </w:p>
    <w:p>
      <w:pPr>
        <w:pStyle w:val="NarrativeBullet"/>
      </w:pPr>
      <w:r>
        <w:t>Chatterjee, S. S., Vora, M., Malathesh, B. C. and Bhattacharyya, R. (2020) 'Worried well and COVID-19: re-emergence of an old quandary', Asian Journal of Psychiatry, 54, 102247. https://doi.org/10.1016/j.ajp.2020.102247</w:t>
      </w:r>
    </w:p>
    <w:p>
      <w:pPr>
        <w:pStyle w:val="NarrativeBullet"/>
      </w:pPr>
      <w:r>
        <w:t>Hick, J. L., Hanfling, D., Burstein, J. L., DeAtley, C., Barbisch, D., Bogdan, G. M. and Cantrill, S. V. (2004) 'Health care facility and community strategies for patient care surge capacity', Annals of Emergency Medicine, 44(3), 253-261. https://doi.org/10.1016/j.annemergmed.2004.04.011</w:t>
      </w:r>
    </w:p>
    <w:p>
      <w:pPr>
        <w:pStyle w:val="NarrativeBullet"/>
      </w:pPr>
      <w:r>
        <w:t>Qin, Y., Wang, R., Vakharia, A. J., Chen, Y. and Seref, M. M. H. (2011) 'The newsvendor problem: Review and directions for future research', European Journal of Operational Research, 213(2), 361-374. https://doi.org/10.1016/j.ejor.2010.11.024</w:t>
      </w:r>
    </w:p>
    <w:p>
      <w:pPr>
        <w:pStyle w:val="NarrativeBullet"/>
      </w:pPr>
      <w:r>
        <w:t>Singh, B. and Gromov, D. (2025) 'Mathematically modeling worried-well behavior during infectious disease outbreaks', PLOS ONE, 20(9), e0319550. https://doi.org/10.1371/journal.pone.0319550</w:t>
      </w:r>
    </w:p>
    <w:p>
      <w:pPr>
        <w:pStyle w:val="NarrativeBullet"/>
      </w:pPr>
      <w:r>
        <w:t>Singh, B. and Rebennack, S. (2026) 'Release immediately or sequentially? Strategies for allocating scarce therapeutic resources during disease outbreaks', IISE Transactions, 58(4), 489-502. https://doi.org/10.1080/24725854.2025.2525918</w:t>
      </w:r>
    </w:p>
    <w:p>
      <w:pPr>
        <w:spacing w:after="0"/>
      </w:pPr>
      <w:r>
        <w:br w:type="page"/>
      </w:r>
    </w:p>
    <w:p>
      <w:pPr>
        <w:pStyle w:val="Heading1"/>
      </w:pPr>
      <w:r>
        <w:t>Appendix A. Reproducibility</w:t>
      </w:r>
    </w:p>
    <w:p>
      <w:r>
        <w:rPr>
          <w:b w:val="0"/>
          <w:i w:val="0"/>
        </w:rPr>
        <w:t>Regenerate the complete evidence set from the repository root with:</w:t>
      </w:r>
    </w:p>
    <w:p>
      <w:pPr>
        <w:pStyle w:val="ReproducibilityCommand"/>
      </w:pPr>
      <w:r>
        <w:t>python scripts/run_analysis.py</w:t>
      </w:r>
    </w:p>
    <w:p>
      <w:pPr>
        <w:pStyle w:val="NarrativeBullet"/>
      </w:pPr>
      <w:r>
        <w:rPr>
          <w:b w:val="0"/>
          <w:i w:val="0"/>
        </w:rPr>
        <w:t>in-sample seed = 6186</w:t>
      </w:r>
    </w:p>
    <w:p>
      <w:pPr>
        <w:pStyle w:val="NarrativeBullet"/>
      </w:pPr>
      <w:r>
        <w:rPr>
          <w:b w:val="0"/>
          <w:i w:val="0"/>
        </w:rPr>
        <w:t>out-of-sample seed = 6187</w:t>
      </w:r>
    </w:p>
    <w:p>
      <w:pPr>
        <w:pStyle w:val="NarrativeBullet"/>
      </w:pPr>
      <w:r>
        <w:rPr>
          <w:b w:val="0"/>
          <w:i w:val="0"/>
        </w:rPr>
        <w:t>in-sample scenarios = 5,000</w:t>
      </w:r>
    </w:p>
    <w:p>
      <w:pPr>
        <w:pStyle w:val="NarrativeBullet"/>
      </w:pPr>
      <w:r>
        <w:rPr>
          <w:b w:val="0"/>
          <w:i w:val="0"/>
        </w:rPr>
        <w:t>out-of-sample scenarios = 10,000</w:t>
      </w:r>
    </w:p>
    <w:p>
      <w:r>
        <w:rPr>
          <w:b w:val="0"/>
          <w:i w:val="0"/>
        </w:rPr>
        <w:t xml:space="preserve">The generated contract consists of four CSV files in </w:t>
      </w:r>
      <w:r>
        <w:rPr>
          <w:b w:val="0"/>
          <w:i w:val="0"/>
        </w:rPr>
        <w:t>outputs/data</w:t>
      </w:r>
      <w:r>
        <w:rPr>
          <w:b w:val="0"/>
          <w:i w:val="0"/>
        </w:rPr>
        <w:t xml:space="preserve"> and five PNG files in </w:t>
      </w:r>
      <w:r>
        <w:rPr>
          <w:b w:val="0"/>
          <w:i w:val="0"/>
        </w:rPr>
        <w:t>outputs/figures</w:t>
      </w:r>
      <w:r>
        <w:rPr>
          <w:b w:val="0"/>
          <w:i w:val="0"/>
        </w:rPr>
        <w:t>. Validate source integrity before building the document with:</w:t>
      </w:r>
    </w:p>
    <w:p>
      <w:pPr>
        <w:pStyle w:val="ReproducibilityCommand"/>
      </w:pPr>
      <w:r>
        <w:t>python scripts/validate_report_sources.py</w:t>
      </w:r>
    </w:p>
    <w:sectPr>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