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0"/>
      </w:pPr>
      <w:r/>
    </w:p>
    <w:p>
      <w:pPr>
        <w:pStyle w:val="Title"/>
        <w:keepLines/>
      </w:pPr>
      <w:r>
        <w:t>Planning Consultation Capacity Under Worried-Well Demand</w:t>
      </w:r>
    </w:p>
    <w:p>
      <w:pPr>
        <w:pStyle w:val="Subtitle"/>
        <w:keepNext/>
      </w:pPr>
      <w:r>
        <w:t>Operational Research Case Study</w:t>
      </w:r>
    </w:p>
    <w:p>
      <w:pPr>
        <w:pStyle w:val="CoverMetadata"/>
      </w:pPr>
      <w:r>
        <w:rPr>
          <w:rFonts w:ascii="Calibri" w:hAnsi="Calibri"/>
          <w:b/>
          <w:color w:val="374151"/>
          <w:sz w:val="22"/>
        </w:rPr>
        <w:t xml:space="preserve">Student: </w:t>
      </w:r>
      <w:r>
        <w:rPr>
          <w:rFonts w:ascii="Calibri" w:hAnsi="Calibri"/>
          <w:color w:val="374151"/>
          <w:sz w:val="22"/>
        </w:rPr>
        <w:t>[[STUDENT_NAME]]</w:t>
      </w:r>
    </w:p>
    <w:p>
      <w:pPr>
        <w:pStyle w:val="CoverMetadata"/>
      </w:pPr>
      <w:r>
        <w:rPr>
          <w:rFonts w:ascii="Calibri" w:hAnsi="Calibri"/>
          <w:b/>
          <w:color w:val="374151"/>
          <w:sz w:val="22"/>
        </w:rPr>
        <w:t xml:space="preserve">Student ID: </w:t>
      </w:r>
      <w:r>
        <w:rPr>
          <w:rFonts w:ascii="Calibri" w:hAnsi="Calibri"/>
          <w:color w:val="374151"/>
          <w:sz w:val="22"/>
        </w:rPr>
        <w:t>[[STUDENT_ID]]</w:t>
      </w:r>
    </w:p>
    <w:p>
      <w:pPr>
        <w:pStyle w:val="CoverMetadata"/>
      </w:pPr>
      <w:r>
        <w:rPr>
          <w:rFonts w:ascii="Calibri" w:hAnsi="Calibri"/>
          <w:b/>
          <w:color w:val="374151"/>
          <w:sz w:val="22"/>
        </w:rPr>
        <w:t xml:space="preserve">Module: </w:t>
      </w:r>
      <w:r>
        <w:rPr>
          <w:rFonts w:ascii="Calibri" w:hAnsi="Calibri"/>
          <w:color w:val="374151"/>
          <w:sz w:val="22"/>
        </w:rPr>
        <w:t>MATH6186 Operational Research Case Study</w:t>
      </w:r>
    </w:p>
    <w:p>
      <w:pPr>
        <w:pStyle w:val="CoverMetadata"/>
      </w:pPr>
      <w:r>
        <w:rPr>
          <w:rFonts w:ascii="Calibri" w:hAnsi="Calibri"/>
          <w:b/>
          <w:color w:val="374151"/>
          <w:sz w:val="22"/>
        </w:rPr>
        <w:t xml:space="preserve">Facilitator: </w:t>
      </w:r>
      <w:r>
        <w:rPr>
          <w:rFonts w:ascii="Calibri" w:hAnsi="Calibri"/>
          <w:color w:val="374151"/>
          <w:sz w:val="22"/>
        </w:rPr>
        <w:t>Dr Bismark Singh</w:t>
      </w:r>
    </w:p>
    <w:p>
      <w:pPr>
        <w:pStyle w:val="CoverMetadata"/>
      </w:pPr>
      <w:r>
        <w:rPr>
          <w:rFonts w:ascii="Calibri" w:hAnsi="Calibri"/>
          <w:b/>
          <w:color w:val="374151"/>
          <w:sz w:val="22"/>
        </w:rPr>
        <w:t xml:space="preserve">Submission date: </w:t>
      </w:r>
      <w:r>
        <w:rPr>
          <w:rFonts w:ascii="Calibri" w:hAnsi="Calibri"/>
          <w:color w:val="374151"/>
          <w:sz w:val="22"/>
        </w:rPr>
        <w:t>8 September 2026</w:t>
      </w:r>
    </w:p>
    <w:p>
      <w:r>
        <w:br w:type="page"/>
      </w:r>
    </w:p>
    <w:p>
      <w:pPr>
        <w:pStyle w:val="Heading1"/>
      </w:pPr>
      <w:r>
        <w:t>Abstract</w:t>
      </w:r>
    </w:p>
    <w:p>
      <w:r>
        <w:rPr>
          <w:b w:val="0"/>
          <w:i w:val="0"/>
        </w:rPr>
        <w:t>An emerging outbreak can generate consultation requests from genuinely infected people and from worried-well people whose perceived risk motivates help-seeking despite their not being infected. This report asks how daily consultation capacity should change when worried-well behaviour, demand uncertainty, and shortage costs vary. A literature-derived four-compartment model generates synthetic early-outbreak trajectories. Coursework assumptions then translate infected and worried-well fractions into consultation demand, add mean-matched stochastic variation, and select a separate integer capacity for each day through a classical newsvendor rule. Capacity is optimized on 5,000 scenarios and evaluated on 10,000 independent scenarios. The experiments compare behavioural contact, uncertainty, shortage-cost, service-seeking, and initial-condition settings. Results show that behaviour changes both the timing and composition of pressure: more cautious interaction delays the infected peak but sustains worried-well pressure, whereas high contact brings a larger infected peak earlier. Capacity must therefore follow the joint demand curve rather than infections alone. Greater uncertainty increases expected mismatch cost, while a larger shortage penalty moves the policy above mean demand and makes optimization more valuable. Under balanced costs, the finite-sample comparison is slightly adverse rather than beneficial. These synthetic planning experiments demonstrate an operational connection, not an empirically calibrated clinical estimate.</w:t>
      </w:r>
    </w:p>
    <w:p>
      <w:pPr>
        <w:pStyle w:val="Heading1"/>
      </w:pPr>
      <w:r>
        <w:t>1. Introduction</w:t>
      </w:r>
    </w:p>
    <w:p>
      <w:r>
        <w:rPr>
          <w:b w:val="0"/>
          <w:i w:val="0"/>
        </w:rPr>
        <w:t>Healthcare consultation systems face a distinctive coordination problem during an emerging infectious-disease event. People with symptoms or infection risk may seek assessment, but fear and perceived exposure can also prompt demand from people who are not infected. The latter group is commonly described as the worried well. Its presence matters operationally because appointment, triage, telephone, testing, and clinical capacity can be consumed regardless of the eventual diagnostic category. A plan based only on the infected compartment may consequently miss an early and potentially substantial source of workload. Clinical discussion establishes the healthcare relevance of worried-well behaviour, while work on outbreak fear supplies a psychological rationale for treating perceived risk as dynamic rather than fixed (Chatterjee et al., 2020) (Asmundson and Taylor, 2020).</w:t>
      </w:r>
    </w:p>
    <w:p>
      <w:r>
        <w:rPr>
          <w:b w:val="0"/>
          <w:i w:val="0"/>
        </w:rPr>
        <w:t>The decision studied here is the number of pooled consultation slots to make available on each day of a 50-day early-outbreak horizon. Too little capacity leaves demand unmet and creates an underage consequence; too much capacity leaves resources unused and creates an overage consequence. Demand is uncertain, so choosing the deterministic mean is not generally optimal when those consequences differ. At the same time, demand is endogenous to behavioural dynamics: infected and worried-well fractions rise and fall at different times, and their relative contribution changes with contact behaviour. Capacity planning therefore requires a bridge from behavioural epidemiological structure to a stochastic operational decision.</w:t>
      </w:r>
    </w:p>
    <w:p>
      <w:r>
        <w:rPr>
          <w:b w:val="0"/>
          <w:i w:val="0"/>
        </w:rPr>
        <w:t xml:space="preserve">The research question is: </w:t>
      </w:r>
      <w:r>
        <w:rPr>
          <w:b/>
          <w:i w:val="0"/>
        </w:rPr>
        <w:t>How should daily consultation capacity change when worried-well behaviour, demand uncertainty, and shortage costs vary during an early outbreak?</w:t>
      </w:r>
      <w:r>
        <w:rPr>
          <w:b w:val="0"/>
          <w:i w:val="0"/>
        </w:rPr>
        <w:t xml:space="preserve"> The report answers this question through reproducible synthetic planning experiments. First, a literature-derived four-compartment ordinary differential equation system generates susceptible, infected, worried-well, and recovered fractions. Second, assumed service-seeking rates convert the infected and worried-well fractions into daily mean consultation demand for a synthetic population. Third, stochastic demand scenarios and a classical single-period newsvendor model produce integer daily capacities. Finally, out-of-sample comparisons assess behavioural, uncertainty, cost, service-seeking, and initial-condition sensitivity.</w:t>
      </w:r>
    </w:p>
    <w:p>
      <w:r>
        <w:rPr>
          <w:b w:val="0"/>
          <w:i w:val="0"/>
        </w:rPr>
        <w:t>The generated trajectories are not empirical prevalence estimates, and the consultation model is not calibrated to a particular provider. Costs express planning priorities rather than monetary valuations. The report instead shows how an explicitly represented worried-well process can alter the timing, scale, and uncertainty buffer of consultation capacity, with each result linked to the implemented equations and saved scenario outputs.</w:t>
      </w:r>
    </w:p>
    <w:p>
      <w:pPr>
        <w:pStyle w:val="Heading1"/>
      </w:pPr>
      <w:r>
        <w:t>2. Literature Review</w:t>
      </w:r>
    </w:p>
    <w:p>
      <w:pPr>
        <w:pStyle w:val="Heading2"/>
      </w:pPr>
      <w:r>
        <w:t>Worried-well behaviour as an operational phenomenon</w:t>
      </w:r>
    </w:p>
    <w:p>
      <w:r>
        <w:rPr>
          <w:b w:val="0"/>
          <w:i w:val="0"/>
        </w:rPr>
        <w:t>The worried-well concept links psychological response with healthcare operations. Chatterjee et al. discuss its re-emergence during COVID-19 and explain why apparently healthy but concerned people can affect healthcare systems (Chatterjee et al., 2020). The relevant inference is that a non-infected population can generate service demand, so infection counts and consultation pressure need not coincide. The article motivates this demand channel but, as a conceptual clinical discussion rather than an optimization study, supplies neither the capacity rule nor the numerical service-seeking inputs used here.</w:t>
      </w:r>
    </w:p>
    <w:p>
      <w:r>
        <w:rPr>
          <w:b w:val="0"/>
          <w:i w:val="0"/>
        </w:rPr>
        <w:t>Asmundson and Taylor place fear and anxiety within the context of an emerging outbreak, supporting the idea that perceived risk can influence behaviour (Asmundson and Taylor, 2020). This perspective helps explain why worried-well prevalence can evolve alongside infection: concern may spread through social interaction and perceived exposure, then diminish as people leave the worried state. The resulting demand can arise earlier than an infection-only workload model suggests. The source does not specify a compartmental resource-planning model, consultation volumes, a stochastic demand distribution, or a capacity decision; these remain explicit modelling choices in this project.</w:t>
      </w:r>
    </w:p>
    <w:p>
      <w:pPr>
        <w:pStyle w:val="Heading2"/>
      </w:pPr>
      <w:r>
        <w:t>Interacting behavioural and infection dynamics</w:t>
      </w:r>
    </w:p>
    <w:p>
      <w:r>
        <w:rPr>
          <w:b w:val="0"/>
          <w:i w:val="0"/>
        </w:rPr>
        <w:t>Singh and Gromov provide the closest structural foundation for the present analysis. Their mathematical treatment defines a four-compartment worried-well model and behavioural regimes that connect infection and concern within one dynamic system (Singh and Gromov, 2025). This is important because the two processes are not merely added after separate simulations. Susceptible people may enter an infected or worried-well state, interaction between infected and worried-well people can transfer pressure between states, and recovery or relaxation returns people through the system. The parameter alpha changes the interaction between infected and worried-well groups, allowing cautious, default, and high-contact regimes to be compared on a common basis.</w:t>
      </w:r>
    </w:p>
    <w:p>
      <w:r>
        <w:rPr>
          <w:b w:val="0"/>
          <w:i w:val="0"/>
        </w:rPr>
        <w:t>The four-compartment structure also has a deeper modelling lineage. Blyuss and Kyrychko analyse a basic model of two interacting disease processes, providing the two-process foundation cited in the worried-well modelling work (Blyuss and Kyrychko, 2005). That contribution supports the general logic of representing coupled spreading mechanisms rather than forcing all dynamics into a single infected compartment. Its limitation is decisive for the current research question: it concerns interacting transmission processes, not worried-well consultation demand or capacity. Accordingly, the present report uses it as conceptual background only. It is not treated as evidence for service probabilities, demand variability, or operational costs.</w:t>
      </w:r>
    </w:p>
    <w:p>
      <w:r>
        <w:rPr>
          <w:b w:val="0"/>
          <w:i w:val="0"/>
        </w:rPr>
        <w:t>The Singh and Gromov framework makes behavioural scenario analysis possible, but it stops before the operational decision addressed here. Its synthetic early-outbreak dynamics do not estimate consultation capacity. A worried-well fraction is not identical to a request count, and a request count is not itself a capacity choice. Moving from the dynamic model to operations requires three additional specifications: how likely each compartment is to seek service, how realized demand varies around its conditional mean, and how shortage is valued relative to unused capacity. These specifications are recorded as coursework assumptions rather than attributed to the literature. This provenance separation is essential because it prevents a useful structural source from being misrepresented as empirical calibration.</w:t>
      </w:r>
    </w:p>
    <w:p>
      <w:pPr>
        <w:pStyle w:val="Heading2"/>
      </w:pPr>
      <w:r>
        <w:t>Outbreak resources and timing</w:t>
      </w:r>
    </w:p>
    <w:p>
      <w:r>
        <w:rPr>
          <w:b w:val="0"/>
          <w:i w:val="0"/>
        </w:rPr>
        <w:t>Resource scarcity during outbreaks has been studied through other operational decisions. Singh and Rebennack examine whether scarce therapeutic resources should be released immediately or sequentially, connecting epidemic timing to resource allocation (Singh and Rebennack, 2026). The relevance here is the general principle that when demand and health states vary over time, the timing of a resource decision matters. Daily consultation slots similarly need to follow changing pressure rather than being set from a horizon-wide average. Nevertheless, therapeutic release is a different decision from reserving consultation capacity. It involves allocation over time and scarcity of a treatment stock, whereas this project repeats a single-period capacity decision each day. The paper therefore motivates temporal operational reasoning but does not validate the newsvendor formulation, demand assumptions, or cost parameters used below.</w:t>
      </w:r>
    </w:p>
    <w:p>
      <w:r>
        <w:rPr>
          <w:b w:val="0"/>
          <w:i w:val="0"/>
        </w:rPr>
        <w:t>This distinction prevents two resource questions from being conflated. A release policy asks when and to whom a finite stock should be deployed, potentially carrying resource availability between periods. The model in this report asks how many units of a pooled service to schedule for one day, with no carry-over of unused capacity. The daily decisions form a time-indexed sequence because the demand distribution changes, not because inventory is transferred across days. The implication is that the resulting capacity curve should be read as a set of repeated operating targets. It does not describe a stock-allocation trajectory or a multi-period scheduling programme. This scoped abstraction should be viewed alongside broader surge-capacity planning, which emphasizes scalable and flexible responses across facilities and communities when routine resources are exceeded (Hick et al., 2004).</w:t>
      </w:r>
    </w:p>
    <w:p>
      <w:pPr>
        <w:pStyle w:val="Heading2"/>
      </w:pPr>
      <w:r>
        <w:t>Stochastic demand and the newsvendor connection</w:t>
      </w:r>
    </w:p>
    <w:p>
      <w:r>
        <w:rPr>
          <w:b w:val="0"/>
          <w:i w:val="0"/>
        </w:rPr>
        <w:t>Once infected and worried-well states are translated into requests, realized workload remains uncertain. The classical newsvendor model is a natural starting point because it balances the expected consequence of capacity below demand against that of capacity above demand. Qin et al. review the newsvendor problem, its critical-fractile foundation, and major extensions (Qin et al., 2011). That foundation justifies a quantile-based decision when underage and overage costs are positive. If shortage is more consequential than unused capacity, the selected quantile lies above the median; if the two costs are balanced, the target approaches the median.</w:t>
      </w:r>
    </w:p>
    <w:p>
      <w:r>
        <w:rPr>
          <w:b w:val="0"/>
          <w:i w:val="0"/>
        </w:rPr>
        <w:t>The review also makes clear that newsvendor research extends far beyond the simple form used here. The current project deliberately adopts one pooled resource, one uncertain demand quantity per day, linear mismatch costs, and a single-period decision. It does not model multiple service classes, substitution, queues, workforce shifts, appointment carry-over, or learning between days. Qin et al. therefore support the classical decision principle, not every contextual assumption. The costs, stochastic coefficient of variation, integerization procedure, and evaluation design remain project choices documented in the evidence record.</w:t>
      </w:r>
    </w:p>
    <w:p>
      <w:r>
        <w:rPr>
          <w:b w:val="0"/>
          <w:i w:val="0"/>
        </w:rPr>
        <w:t>Stochastic epidemic modelling can instead introduce randomness within the state-transition process itself, for example through continuous-time Markov chains or stochastic differential equations (Allen, 2017). The present study adopts a narrower coursework extension: it retains the literature-derived deterministic compartment trajectories and places uncertainty in the downstream consultation-demand scenarios. This choice keeps the newsvendor input transparent while avoiding any claim that epidemiological parameter uncertainty has been estimated.</w:t>
      </w:r>
    </w:p>
    <w:p>
      <w:pPr>
        <w:pStyle w:val="Heading2"/>
      </w:pPr>
      <w:r>
        <w:t>Synthesis and gap</w:t>
      </w:r>
    </w:p>
    <w:p>
      <w:r>
        <w:rPr>
          <w:b w:val="0"/>
          <w:i w:val="0"/>
        </w:rPr>
        <w:t>The literature supplies complementary pieces but not the complete decision chain. Worried-well and outbreak-anxiety research establishes why non-infected concern matters; interacting-process models provide a dynamic representation; outbreak-resource work emphasizes timing; and the newsvendor literature supplies a tractable stochastic capacity rule. None of these sources directly converts four-compartment worried-well trajectories into optimized daily consultation capacity. This report fills that modelling gap for a coursework case study by linking the components transparently.</w:t>
      </w:r>
    </w:p>
    <w:p>
      <w:r>
        <w:rPr>
          <w:b w:val="0"/>
          <w:i w:val="0"/>
        </w:rPr>
        <w:t xml:space="preserve">Literature-derived elements are limited to the four-compartment structure, behavioural alpha regimes, baseline rates and initial condition, and the classical critical-fractile logic. The synthetic population size, consultation probabilities, coefficient of variation, mismatch costs, scenario counts, and sensitivity settings are coursework assumptions. The experiment therefore explains how capacity behaves </w:t>
      </w:r>
      <w:r>
        <w:rPr>
          <w:b w:val="0"/>
          <w:i/>
        </w:rPr>
        <w:t>within the stated model</w:t>
      </w:r>
      <w:r>
        <w:rPr>
          <w:b w:val="0"/>
          <w:i w:val="0"/>
        </w:rPr>
        <w:t>; a real schedule would require local estimation and a richer service representation.</w:t>
      </w:r>
    </w:p>
    <w:p>
      <w:pPr>
        <w:pStyle w:val="Heading1"/>
      </w:pPr>
      <w:r>
        <w:t>3. Deterministic Worried-Well Model</w:t>
      </w:r>
    </w:p>
    <w:p>
      <w:r>
        <w:rPr>
          <w:b w:val="0"/>
          <w:i w:val="0"/>
        </w:rPr>
        <w:t>The deterministic layer represents population fractions in four mutually exclusive compartments: susceptible S(t), genuinely infected I_P(t), worried-well I_W(t), and recovered R_P(t). The implemented system is:</w:t>
      </w:r>
    </w:p>
    <w:p>
      <w:pPr>
        <w:pStyle w:val="Equation"/>
        <w:jc w:val="center"/>
      </w:pPr>
      <w:r>
        <w:rPr>
          <w:rFonts w:ascii="Cambria Math" w:hAnsi="Cambria Math"/>
          <w:sz w:val="22"/>
        </w:rPr>
        <w:t>dS/dt = -(beta_P + beta_WP)SI_P - beta_W SI_W + delta_P R_P + gamma_W I_W</w:t>
        <w:br/>
      </w:r>
      <w:r>
        <w:rPr>
          <w:rFonts w:ascii="Cambria Math" w:hAnsi="Cambria Math"/>
          <w:sz w:val="22"/>
        </w:rPr>
        <w:t>dI_P/dt = beta_P SI_P + alpha beta_P I_P I_W - gamma_P I_P</w:t>
        <w:br/>
      </w:r>
      <w:r>
        <w:rPr>
          <w:rFonts w:ascii="Cambria Math" w:hAnsi="Cambria Math"/>
          <w:sz w:val="22"/>
        </w:rPr>
        <w:t>dI_W/dt = -alpha beta_P I_P I_W + beta_W SI_W + beta_WP SI_P - gamma_W I_W</w:t>
        <w:br/>
      </w:r>
      <w:r>
        <w:rPr>
          <w:rFonts w:ascii="Cambria Math" w:hAnsi="Cambria Math"/>
          <w:sz w:val="22"/>
        </w:rPr>
        <w:t>dR_P/dt = gamma_P I_P - delta_P R_P</w:t>
      </w:r>
    </w:p>
    <w:p>
      <w:r>
        <w:rPr>
          <w:b w:val="0"/>
          <w:i w:val="0"/>
        </w:rPr>
        <w:t>The first equation removes susceptible people through infection-related contact and worried-well contact, while allowing recovered people to become susceptible and worried-well people to relax back to susceptibility. The second adds genuine infections generated through susceptible–infected contact and the alpha-scaled interaction between infected and worried-well people, then removes infected people through recovery. The third collects worried-well entry from susceptible interactions, subtracts alpha-scaled transfer associated with infected–worried interaction, and includes relaxation. The fourth balances recovery and loss of recovered status. Summing the four derivatives gives zero; the saved trajectories retain a total population fraction of one, which is the numerical conservation check.</w:t>
      </w:r>
    </w:p>
    <w:p>
      <w:r>
        <w:rPr>
          <w:b w:val="0"/>
          <w:i w:val="0"/>
        </w:rPr>
        <w:t>The interaction terms give alpha a specific interpretation within the system. Raising alpha strengthens the transfer associated with encounters between infected and worried-well people: it contributes positively to the infected equation and negatively to the worried-well equation by the same amount. Alpha therefore changes composition without breaking conservation. The susceptible interaction terms separately generate infected and worried-well entry, while gamma parameters remove people from the active compartments. Delta allows recovered people to return to susceptibility. These mechanisms explain why a regime can bring infection forward while shortening the period in which worried-well prevalence remains large. They do not represent a causal estimate of any named public-health action.</w:t>
      </w:r>
    </w:p>
    <w:p>
      <w:r>
        <w:rPr>
          <w:b w:val="0"/>
          <w:i w:val="0"/>
        </w:rPr>
        <w:t>The baseline parameters are adopted from Singh and Gromov’s structure and baseline scenario (Singh and Gromov, 2025). They are beta_P=0.74, beta_W=0.70, beta_WP=0.70, gamma_P=gamma_W=1/14, and delta_P=1/240. The initial state is (0.98, 0.01, 0.01, 0), ordered as susceptible, infected, worried-well, and recovered. The behavioural multiplier takes alpha=0.5 for cautious contact, alpha=1 for the default regime, and alpha=2 for high contact. The model is integrated over 50 days and recorded daily.</w:t>
      </w:r>
    </w:p>
    <w:tbl>
      <w:tblPr>
        <w:tblStyle w:val="TableGrid"/>
        <w:tblW w:type="dxa" w:w="9360"/>
        <w:jc w:val="left"/>
        <w:tblLayout w:type="fixed"/>
        <w:tblLook w:firstColumn="1" w:firstRow="1" w:lastColumn="0" w:lastRow="0" w:noHBand="0" w:noVBand="1" w:val="04A0"/>
        <w:tblInd w:type="dxa" w:w="120"/>
      </w:tblPr>
      <w:tblGrid>
        <w:gridCol w:w="3000"/>
        <w:gridCol w:w="1900"/>
        <w:gridCol w:w="4460"/>
      </w:tblGrid>
      <w:tr>
        <w:trPr>
          <w:tblHeader w:val="true"/>
        </w:trPr>
        <w:tc>
          <w:tcPr>
            <w:tcW w:type="dxa" w:w="3000"/>
            <w:tcMar>
              <w:top w:w="80" w:type="dxa"/>
              <w:bottom w:w="80" w:type="dxa"/>
              <w:start w:w="120" w:type="dxa"/>
              <w:end w:w="120" w:type="dxa"/>
            </w:tcMar>
            <w:vAlign w:val="center"/>
            <w:shd w:fill="F4F6F9" w:val="clear"/>
          </w:tcPr>
          <w:p>
            <w:pPr>
              <w:keepNext/>
              <w:keepLines/>
              <w:spacing w:before="0" w:after="0" w:line="240" w:lineRule="auto"/>
              <w:jc w:val="left"/>
            </w:pPr>
            <w:r>
              <w:rPr>
                <w:rFonts w:ascii="Calibri" w:hAnsi="Calibri"/>
                <w:b/>
                <w:sz w:val="18"/>
              </w:rPr>
              <w:t>Parameter</w:t>
            </w:r>
          </w:p>
        </w:tc>
        <w:tc>
          <w:tcPr>
            <w:tcW w:type="dxa" w:w="1900"/>
            <w:tcMar>
              <w:top w:w="80" w:type="dxa"/>
              <w:bottom w:w="80" w:type="dxa"/>
              <w:start w:w="120" w:type="dxa"/>
              <w:end w:w="120" w:type="dxa"/>
            </w:tcMar>
            <w:vAlign w:val="center"/>
            <w:shd w:fill="F4F6F9" w:val="clear"/>
          </w:tcPr>
          <w:p>
            <w:pPr>
              <w:keepNext/>
              <w:keepLines/>
              <w:spacing w:before="0" w:after="0" w:line="240" w:lineRule="auto"/>
              <w:jc w:val="center"/>
            </w:pPr>
            <w:r>
              <w:rPr>
                <w:rFonts w:ascii="Calibri" w:hAnsi="Calibri"/>
                <w:b/>
                <w:sz w:val="18"/>
              </w:rPr>
              <w:t>Baseline value</w:t>
            </w:r>
          </w:p>
        </w:tc>
        <w:tc>
          <w:tcPr>
            <w:tcW w:type="dxa" w:w="4460"/>
            <w:tcMar>
              <w:top w:w="80" w:type="dxa"/>
              <w:bottom w:w="80" w:type="dxa"/>
              <w:start w:w="120" w:type="dxa"/>
              <w:end w:w="120" w:type="dxa"/>
            </w:tcMar>
            <w:vAlign w:val="center"/>
            <w:shd w:fill="F4F6F9" w:val="clear"/>
          </w:tcPr>
          <w:p>
            <w:pPr>
              <w:keepNext/>
              <w:keepLines/>
              <w:spacing w:before="0" w:after="0" w:line="240" w:lineRule="auto"/>
              <w:jc w:val="left"/>
            </w:pPr>
            <w:r>
              <w:rPr>
                <w:rFonts w:ascii="Calibri" w:hAnsi="Calibri"/>
                <w:b/>
                <w:sz w:val="18"/>
              </w:rPr>
              <w:t>Provenance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Behavioural multiplier, alpha</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scenario</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Infection contact rate, beta_P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Worried-well contact rate, beta_W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Cross-contact rate, beta_WP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0.70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Infected recovery rate, gamma_P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1/14 (0.0714)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Worried-well relaxation, gamma_W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1/14 (0.0714)</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Loss of recovered status, delta_P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1/240 (0.0042)</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model value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Initial state (S, I_P, I_W, R_P)</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(0.98, 0.01, 0.01, 0.00)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Literature-derived baseline</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Synthetic population, N</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100,000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Service seeking (p_P, p_W)</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(1, 0.50)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Coefficient of variation</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0.15</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Mismatch costs (c_u, c_o)</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(5, 1)</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Coursework assumption</w:t>
            </w:r>
          </w:p>
        </w:tc>
      </w:tr>
      <w:tr>
        <w:trPr/>
        <w:tc>
          <w:tcPr>
            <w:tcW w:type="dxa" w:w="300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Scenario samples (fit / evaluate)</w:t>
            </w:r>
          </w:p>
        </w:tc>
        <w:tc>
          <w:tcPr>
            <w:tcW w:type="dxa" w:w="19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5,000 / 10,000</w:t>
            </w:r>
          </w:p>
        </w:tc>
        <w:tc>
          <w:tcPr>
            <w:tcW w:type="dxa" w:w="4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Seeds 6186 / 6187</w:t>
            </w:r>
          </w:p>
        </w:tc>
      </w:tr>
    </w:tbl>
    <w:p>
      <w:pPr>
        <w:spacing w:before="0" w:after="0"/>
      </w:pPr>
    </w:p>
    <w:p>
      <w:r>
        <w:rPr>
          <w:b w:val="0"/>
          <w:i w:val="0"/>
        </w:rPr>
        <w:t>The parameter table is also a provenance boundary. The compartment structure, alpha regimes, baseline rates, and baseline initial state are literature-derived model elements. By contrast, applying the fractions to a population of 100,000, translating compartments into service requests, and selecting uncertainty and cost settings are coursework assumptions. Alpha should therefore be read as a controlled behavioural scenario rather than an estimated intervention effect. Likewise, compartment fractions describe the internally generated system state, not measured prevalence. The deterministic model supplies the shape and composition of latent consultation pressure; the next section defines the operational demand mapping.</w:t>
      </w:r>
    </w:p>
    <w:p>
      <w:pPr>
        <w:pStyle w:val="Heading1"/>
      </w:pPr>
      <w:r>
        <w:t>4. Stochastic Consultation Demand</w:t>
      </w:r>
    </w:p>
    <w:p>
      <w:r>
        <w:rPr>
          <w:b w:val="0"/>
          <w:i w:val="0"/>
        </w:rPr>
        <w:t>For day t, expected consultation demand combines the two request-generating compartments:</w:t>
      </w:r>
    </w:p>
    <w:p>
      <w:pPr>
        <w:pStyle w:val="Equation"/>
        <w:jc w:val="center"/>
      </w:pPr>
      <w:r>
        <w:rPr>
          <w:rFonts w:ascii="Cambria Math" w:hAnsi="Cambria Math"/>
          <w:sz w:val="22"/>
        </w:rPr>
        <w:t>m_t = N[p_P I_P(t) + p_W I_W(t)]</w:t>
      </w:r>
    </w:p>
    <w:p>
      <w:r>
        <w:rPr>
          <w:b w:val="0"/>
          <w:i w:val="0"/>
        </w:rPr>
        <w:t>Here N is the synthetic population, p_P is the probability that an infected person seeks consultation, and p_W is the corresponding probability for a worried-well person. The baseline uses N=100,000, p_P=1, and p_W=0.5. Thus every infected person contributes to conditional mean demand, while half of the worried-well compartment does so. These probabilities are explicit coursework inputs, not estimates from the cited clinical literature. Sensitivity analysis varies p_W while holding the structural trajectory fixed.</w:t>
      </w:r>
    </w:p>
    <w:p>
      <w:r>
        <w:rPr>
          <w:b w:val="0"/>
          <w:i w:val="0"/>
        </w:rPr>
        <w:t>The conditional mean alone would imply perfectly known daily workload. To represent operational uncertainty, the implementation draws non-negative values from a lower-truncated normal distribution whose location is solved so that the post-truncation mean matches the required daily mean. The scale is linked to that mean through a coefficient of variation. Fractional draws are converted to non-negative integers by stochastic rounding, preserving the mean in expectation rather than mechanically rounding every scenario in the same direction.</w:t>
      </w:r>
    </w:p>
    <w:p>
      <w:r>
        <w:rPr>
          <w:b w:val="0"/>
          <w:i w:val="0"/>
        </w:rPr>
        <w:t>Mean matching matters near the non-negative boundary because simply truncating a conventional normal distribution at zero would raise its mean above the requested value. Solving for the pre-truncation location avoids that shift. Stochastic integerization then produces count-valued requests without systematically rounding in one direction, while zero conditional mean is handled as zero demand. Scenario averages consequently target the demand equation while remaining non-negative and integer-valued.</w:t>
      </w:r>
    </w:p>
    <w:p>
      <w:r>
        <w:rPr>
          <w:b w:val="0"/>
          <w:i w:val="0"/>
        </w:rPr>
        <w:t>The baseline coefficient of variation is 0.15, with sensitivity settings 0.05 and 0.30. For each experimental configuration, 5,000 demand scenarios generated with seed 6186 form the optimization sample. A distinct set of 10,000 scenarios generated with seed 6187 forms the evaluation sample. Fixed seeds make comparisons reproducible and support common scenario conditions across policies. The distributional family and coefficient-of-variation values remain planning assumptions; they are not inferred from appointment or surveillance records.</w:t>
      </w:r>
    </w:p>
    <w:p>
      <w:r>
        <w:rPr>
          <w:b w:val="0"/>
          <w:i w:val="0"/>
        </w:rPr>
        <w:t>Uncertainty is conditional and day-specific: the deterministic trajectory fixes the mean, then draws vary around it. The percentile band does not represent uncertainty about beta, alpha, the initial state, or the ODE solution; that would require an outer sampling layer. Daily capacity decisions also remain operationally independent.</w:t>
      </w:r>
    </w:p>
    <w:p>
      <w:pPr>
        <w:pStyle w:val="Heading1"/>
      </w:pPr>
      <w:r>
        <w:t>5. Newsvendor Formulation</w:t>
      </w:r>
    </w:p>
    <w:p>
      <w:r>
        <w:rPr>
          <w:b w:val="0"/>
          <w:i w:val="0"/>
        </w:rPr>
        <w:t>Let q_t be the non-negative integer consultation capacity selected for day t, and let D_ts be demand in scenario s. Underage cost c_u applies to each unit of demand above capacity, while overage cost c_o applies to each unused unit of capacity. For an in-sample set of size M, the day-specific sample-average objective is:</w:t>
      </w:r>
    </w:p>
    <w:p>
      <w:pPr>
        <w:pStyle w:val="Equation"/>
        <w:jc w:val="center"/>
      </w:pPr>
      <w:r>
        <w:rPr>
          <w:rFonts w:ascii="Cambria Math" w:hAnsi="Cambria Math"/>
          <w:sz w:val="22"/>
        </w:rPr>
        <w:t>min_q (1/n) sum_j [c_u(D_j-q)^+ + c_o(q-D_j)^+]</w:t>
      </w:r>
    </w:p>
    <w:p>
      <w:r>
        <w:rPr>
          <w:b w:val="0"/>
          <w:i w:val="0"/>
        </w:rPr>
        <w:t>The model chooses q_t separately for every day. Baseline costs are c_u=5 and c_o=1, expressing a stronger planning penalty for unmet demand than unused capacity. Cost sensitivity uses underage values 1, 5, and 10 while fixing overage at 1. These are dimensionless relative consequences and coursework assumptions; they are not monetary costs or empirically elicited preferences.</w:t>
      </w:r>
    </w:p>
    <w:p>
      <w:r>
        <w:rPr>
          <w:b w:val="0"/>
          <w:i w:val="0"/>
        </w:rPr>
        <w:t>For the classical linear mismatch objective, the target demand quantile is determined by:</w:t>
      </w:r>
    </w:p>
    <w:p>
      <w:pPr>
        <w:pStyle w:val="Equation"/>
        <w:jc w:val="center"/>
      </w:pPr>
      <w:r>
        <w:rPr>
          <w:rFonts w:ascii="Cambria Math" w:hAnsi="Cambria Math"/>
          <w:sz w:val="22"/>
        </w:rPr>
        <w:t>tau = c_u/(c_u+c_o), q* = F_n^{-1}(tau)</w:t>
      </w:r>
    </w:p>
    <w:p>
      <w:r>
        <w:rPr>
          <w:b w:val="0"/>
          <w:i w:val="0"/>
        </w:rPr>
        <w:t>The implementation computes this critical fractile in a numerically stable form and selects the corresponding in-sample integer order statistic. Under baseline costs, the target is above the centre of the demand distribution because shortage is more heavily penalized. Under balanced costs, it is the median. A mean-demand benchmark rounds each day’s conditional mean to the nearest integer, allowing the effect of asymmetric uncertainty-aware planning to be assessed out of sample.</w:t>
      </w:r>
    </w:p>
    <w:p>
      <w:r>
        <w:rPr>
          <w:b w:val="0"/>
          <w:i w:val="0"/>
        </w:rPr>
        <w:t>The order-statistic rule minimizes the sample-average piecewise-linear loss by balancing the marginal consequences of shortage and unused capacity at the critical fractile. Because demand is integer-valued, adjacent capacities can have very similar costs. The selected in-sample quantile is therefore an operating target conditional on one generated sample, not a unique continuous optimum.</w:t>
      </w:r>
    </w:p>
    <w:p>
      <w:r>
        <w:rPr>
          <w:b w:val="0"/>
          <w:i w:val="0"/>
        </w:rPr>
        <w:t>Both policies are evaluated on the same 10,000 scenarios for each experimental configuration. Daily expected cost is the scenario average of underage plus overage loss, and total cost is the sum across the 51 recorded days from day zero through day 50. This comparison isolates the capacity rule; neither policy changes the compartment trajectory or future demand. There is no queue, backlogging, or carry-over, so unmet requests and unused slots do not enter the following day’s state.</w:t>
      </w:r>
    </w:p>
    <w:p>
      <w:r>
        <w:rPr>
          <w:b w:val="0"/>
          <w:i w:val="0"/>
        </w:rPr>
        <w:t>Out-of-sample evaluation reduces the risk of crediting a policy for random features of its optimization draw. The comparison is paired because the optimized and mean policies face identical evaluation scenarios. Finite-sample differences can still vary, especially under balanced costs when the rules select nearby capacities, so the reported signs and magnitudes are retained as generated.</w:t>
      </w:r>
    </w:p>
    <w:p>
      <w:pPr>
        <w:pStyle w:val="Heading1"/>
      </w:pPr>
      <w:r>
        <w:t>6. Experimental Design</w:t>
      </w:r>
    </w:p>
    <w:p>
      <w:r>
        <w:rPr>
          <w:b w:val="0"/>
          <w:i w:val="0"/>
        </w:rPr>
        <w:t>The experiment grid contains five groups chosen to answer distinct parts of the research question. First, the behaviour group varies alpha across 0.5, 1, and 2 while retaining baseline demand uncertainty, costs, service probabilities, and initial state. This group shows how coupled infection and worried-well dynamics change both pressure and the daily capacity path. Second, the uncertainty group crosses those three behavioural regimes with coefficients of variation 0.05, 0.15, and 0.30, revealing how dispersion changes expected mismatch cost.</w:t>
      </w:r>
    </w:p>
    <w:p>
      <w:r>
        <w:rPr>
          <w:b w:val="0"/>
          <w:i w:val="0"/>
        </w:rPr>
        <w:t>Third, the cost group fixes default behaviour and baseline uncertainty, then sets the underage-to-overage combinations to 1:1, 5:1, and 10:1. This isolates the effect of operational priorities on the critical fractile and the value of optimizing rather than planning at the mean. Fourth, service-seeking sensitivity sets worried-well consultation probability to 0.25, 0.50, 0.75, and 1.00. Fifth, initial-condition sensitivity compares the baseline infected and worried fractions with two asymmetric starts: infected 0.01 and worried-well 0.001, then infected 0.001 and worried-well 0.01. The susceptible fraction adjusts so that population is conserved.</w:t>
      </w:r>
    </w:p>
    <w:p>
      <w:r>
        <w:rPr>
          <w:b w:val="0"/>
          <w:i w:val="0"/>
        </w:rPr>
        <w:t>Each configuration follows the same two-stage protocol. The 5,000 in-sample scenarios determine daily optimized capacity; the 10,000 out-of-sample scenarios estimate performance for both optimized and mean-demand policies. Seeds 6186 and 6187 separate decision fitting from evaluation while keeping the workflow exactly reproducible. Recorded measures include mean demand, demand percentiles, optimized capacity, expected shortage, unused capacity, shortage probability, and total mismatch cost.</w:t>
      </w:r>
    </w:p>
    <w:p>
      <w:r>
        <w:rPr>
          <w:b w:val="0"/>
          <w:i w:val="0"/>
        </w:rPr>
        <w:t>Only the parameter named by an experiment group varies from its baseline, apart from the deliberate alpha crossing in the uncertainty group. This design supports attribution within the tested grid: differences between cost rows arise from costs, while differences between service-seeking rows arise from the demand mapping. Untested interactions remain outside the conclusions.</w:t>
      </w:r>
    </w:p>
    <w:p>
      <w:r>
        <w:rPr>
          <w:b w:val="0"/>
          <w:i w:val="0"/>
        </w:rPr>
        <w:t>The design is comparative rather than inferential: it reports finite-sample expected performance within the implemented distribution and makes no confidence claim about a healthcare population. Numeric statements in the Results are linked to saved summary rows, separating generated evidence from assumptions that require local validation.</w:t>
      </w:r>
    </w:p>
    <w:p>
      <w:pPr>
        <w:pStyle w:val="Heading1"/>
      </w:pPr>
      <w:r>
        <w:t>7. Results</w:t>
      </w:r>
    </w:p>
    <w:p>
      <w:pPr>
        <w:pStyle w:val="Heading2"/>
      </w:pPr>
      <w:r>
        <w:t>7.1 Behavioural regimes</w:t>
      </w:r>
    </w:p>
    <w:p>
      <w:r>
        <w:rPr>
          <w:b w:val="0"/>
          <w:i w:val="0"/>
        </w:rPr>
        <w:t>Behaviour changes both the height and timing of the two active compartments. In the cautious regime, the infected fraction peaks at 0.545 on day 14, while the worried-well fraction peaks earlier at 0.503 on day 7. Under default behaviour, the corresponding infected peak is 0.678 on day 11, and under high contact it is 0.764 on day 8. The curves compare timing horizontally and model fractions vertically. Higher alpha brings a larger infected peak forward while compressing the worried-well episode; lower alpha delays infected pressure and leaves a more persistent worried-well contribution. These comparisons concern deterministic scenario fractions, not measured prevalence.</w:t>
      </w:r>
    </w:p>
    <w:p>
      <w:pPr>
        <w:keepNext/>
        <w:keepLines/>
        <w:spacing w:before="120" w:after="0"/>
        <w:jc w:val="center"/>
      </w:pPr>
      <w:r>
        <w:drawing>
          <wp:inline xmlns:a="http://schemas.openxmlformats.org/drawingml/2006/main" xmlns:pic="http://schemas.openxmlformats.org/drawingml/2006/picture">
            <wp:extent cx="5806440" cy="1754625"/>
            <wp:docPr id="1" name="Figure 1" descr="Compartment trajectories under cautious, default, and high-contact behaviour."/>
            <wp:cNvGraphicFramePr>
              <a:graphicFrameLocks noChangeAspect="1"/>
            </wp:cNvGraphicFramePr>
            <a:graphic>
              <a:graphicData uri="http://schemas.openxmlformats.org/drawingml/2006/picture">
                <pic:pic>
                  <pic:nvPicPr>
                    <pic:cNvPr id="0" name="figure_1_compartments.png"/>
                    <pic:cNvPicPr/>
                  </pic:nvPicPr>
                  <pic:blipFill>
                    <a:blip r:embed="rId15"/>
                    <a:stretch>
                      <a:fillRect/>
                    </a:stretch>
                  </pic:blipFill>
                  <pic:spPr>
                    <a:xfrm>
                      <a:off x="0" y="0"/>
                      <a:ext cx="5806440" cy="1754625"/>
                    </a:xfrm>
                    <a:prstGeom prst="rect"/>
                  </pic:spPr>
                </pic:pic>
              </a:graphicData>
            </a:graphic>
          </wp:inline>
        </w:drawing>
      </w:r>
    </w:p>
    <w:p>
      <w:pPr>
        <w:pStyle w:val="Caption"/>
      </w:pPr>
      <w:r>
        <w:t xml:space="preserve">Figure </w:t>
      </w:r>
      <w:bookmarkStart w:id="101" w:name="fig1"/>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1</w:t>
      </w:r>
      <w:r>
        <w:rPr>
          <w:rFonts w:ascii="Calibri" w:hAnsi="Calibri"/>
        </w:rPr>
        <w:fldChar w:fldCharType="end"/>
      </w:r>
      <w:bookmarkEnd w:id="101"/>
      <w:r>
        <w:t>. Compartment trajectories under cautious, default, and high-contact behaviour.</w:t>
      </w:r>
    </w:p>
    <w:p>
      <w:r>
        <w:rPr>
          <w:b w:val="0"/>
          <w:i w:val="0"/>
        </w:rPr>
        <w:t xml:space="preserve">The worried-well-to-infected ratio clarifies why an infection-only staffing signal is incomplete. All three generated paths move above one early in the horizon, so the worried-well compartment temporarily exceeds the infected compartment. The cautious path remains above one longer and reaches the highest relative separation; the high-contact path crosses back sooner as infection accelerates. This conditional model ratio describes </w:t>
      </w:r>
      <w:r>
        <w:rPr>
          <w:b w:val="0"/>
          <w:i/>
        </w:rPr>
        <w:t>composition</w:t>
      </w:r>
      <w:r>
        <w:rPr>
          <w:b w:val="0"/>
          <w:i w:val="0"/>
        </w:rPr>
        <w:t>, not absolute workload or the observed mix of service users; consultation pressure also depends on population size and service-seeking probabilities.</w:t>
      </w:r>
    </w:p>
    <w:p>
      <w:pPr>
        <w:keepNext/>
        <w:keepLines/>
        <w:spacing w:before="120" w:after="0"/>
        <w:jc w:val="center"/>
      </w:pPr>
      <w:r>
        <w:drawing>
          <wp:inline xmlns:a="http://schemas.openxmlformats.org/drawingml/2006/main" xmlns:pic="http://schemas.openxmlformats.org/drawingml/2006/picture">
            <wp:extent cx="5806440" cy="3270910"/>
            <wp:docPr id="2" name="Figure 2" descr="Ratio of worried-well to genuinely infected population over the 50-day horizon."/>
            <wp:cNvGraphicFramePr>
              <a:graphicFrameLocks noChangeAspect="1"/>
            </wp:cNvGraphicFramePr>
            <a:graphic>
              <a:graphicData uri="http://schemas.openxmlformats.org/drawingml/2006/picture">
                <pic:pic>
                  <pic:nvPicPr>
                    <pic:cNvPr id="0" name="figure_2_risk_ratio.png"/>
                    <pic:cNvPicPr/>
                  </pic:nvPicPr>
                  <pic:blipFill>
                    <a:blip r:embed="rId16"/>
                    <a:stretch>
                      <a:fillRect/>
                    </a:stretch>
                  </pic:blipFill>
                  <pic:spPr>
                    <a:xfrm>
                      <a:off x="0" y="0"/>
                      <a:ext cx="5806440" cy="3270910"/>
                    </a:xfrm>
                    <a:prstGeom prst="rect"/>
                  </pic:spPr>
                </pic:pic>
              </a:graphicData>
            </a:graphic>
          </wp:inline>
        </w:drawing>
      </w:r>
    </w:p>
    <w:p>
      <w:pPr>
        <w:pStyle w:val="Caption"/>
      </w:pPr>
      <w:r>
        <w:t xml:space="preserve">Figure </w:t>
      </w:r>
      <w:bookmarkStart w:id="102" w:name="fig2"/>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2</w:t>
      </w:r>
      <w:r>
        <w:rPr>
          <w:rFonts w:ascii="Calibri" w:hAnsi="Calibri"/>
        </w:rPr>
        <w:fldChar w:fldCharType="end"/>
      </w:r>
      <w:bookmarkEnd w:id="102"/>
      <w:r>
        <w:t>. Ratio of worried-well to genuinely infected population over the 50-day horizon.</w:t>
      </w:r>
    </w:p>
    <w:p>
      <w:pPr>
        <w:pStyle w:val="Heading2"/>
      </w:pPr>
      <w:r>
        <w:t>7.2 Demand uncertainty</w:t>
      </w:r>
    </w:p>
    <w:p>
      <w:r>
        <w:rPr>
          <w:b w:val="0"/>
          <w:i w:val="0"/>
        </w:rPr>
        <w:t>Under default behaviour, the conditional mean demand rises sharply, peaks after the earliest worried-well pressure, and then declines gradually. The shaded band shows the generated fifth-to-ninety-fifth percentile range at each day, so its vertical width represents stochastic workload uncertainty rather than uncertainty in the compartment equations. Capacity with an asymmetric shortage penalty is selected from the upper portion of this daily distribution, not from the plotted mean alone. The band widens when the mean is high because the coefficient of variation is fixed. Its interpretation is limited by the assumed truncated-normal family, baseline CV=0.15, and assumed values of p_P=1 and p_W=0.5.</w:t>
      </w:r>
    </w:p>
    <w:p>
      <w:pPr>
        <w:keepNext/>
        <w:keepLines/>
        <w:spacing w:before="120" w:after="0"/>
        <w:jc w:val="center"/>
      </w:pPr>
      <w:r>
        <w:drawing>
          <wp:inline xmlns:a="http://schemas.openxmlformats.org/drawingml/2006/main" xmlns:pic="http://schemas.openxmlformats.org/drawingml/2006/picture">
            <wp:extent cx="5806440" cy="3282400"/>
            <wp:docPr id="3" name="Figure 3" descr="Daily consultation-demand uncertainty under default behaviour."/>
            <wp:cNvGraphicFramePr>
              <a:graphicFrameLocks noChangeAspect="1"/>
            </wp:cNvGraphicFramePr>
            <a:graphic>
              <a:graphicData uri="http://schemas.openxmlformats.org/drawingml/2006/picture">
                <pic:pic>
                  <pic:nvPicPr>
                    <pic:cNvPr id="0" name="figure_3_demand_uncertainty.png"/>
                    <pic:cNvPicPr/>
                  </pic:nvPicPr>
                  <pic:blipFill>
                    <a:blip r:embed="rId17"/>
                    <a:stretch>
                      <a:fillRect/>
                    </a:stretch>
                  </pic:blipFill>
                  <pic:spPr>
                    <a:xfrm>
                      <a:off x="0" y="0"/>
                      <a:ext cx="5806440" cy="3282400"/>
                    </a:xfrm>
                    <a:prstGeom prst="rect"/>
                  </pic:spPr>
                </pic:pic>
              </a:graphicData>
            </a:graphic>
          </wp:inline>
        </w:drawing>
      </w:r>
    </w:p>
    <w:p>
      <w:pPr>
        <w:pStyle w:val="Caption"/>
      </w:pPr>
      <w:r>
        <w:t xml:space="preserve">Figure </w:t>
      </w:r>
      <w:bookmarkStart w:id="103" w:name="fig3"/>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3</w:t>
      </w:r>
      <w:r>
        <w:rPr>
          <w:rFonts w:ascii="Calibri" w:hAnsi="Calibri"/>
        </w:rPr>
        <w:fldChar w:fldCharType="end"/>
      </w:r>
      <w:bookmarkEnd w:id="103"/>
      <w:r>
        <w:t>. Daily consultation-demand uncertainty under default behaviour.</w:t>
      </w:r>
    </w:p>
    <w:p>
      <w:r>
        <w:rPr>
          <w:b w:val="0"/>
          <w:i w:val="0"/>
        </w:rPr>
        <w:t>Capacity combines the behavioural dynamics and demand uncertainty and therefore does not simply reproduce either compartment curve. With baseline uncertainty and costs, high contact produces the earliest and highest capacity crest, default behaviour lies between the alternatives, and cautious behaviour produces a later, broader requirement. Reading the lines from left to right emphasizes a practical distinction: a lower early peak can be accompanied by a longer period of elevated workload. Capacity planners would therefore need to consider both surge height and duration. The result concerns one pooled daily resource with independent decisions; it does not specify staff mix, opening hours, or inter-day rescheduling.</w:t>
      </w:r>
    </w:p>
    <w:p>
      <w:pPr>
        <w:keepNext/>
        <w:keepLines/>
        <w:spacing w:before="120" w:after="0"/>
        <w:jc w:val="center"/>
      </w:pPr>
      <w:r>
        <w:drawing>
          <wp:inline xmlns:a="http://schemas.openxmlformats.org/drawingml/2006/main" xmlns:pic="http://schemas.openxmlformats.org/drawingml/2006/picture">
            <wp:extent cx="5806440" cy="3282400"/>
            <wp:docPr id="4" name="Figure 4" descr="Optimized daily consultation capacity by behavioural regime."/>
            <wp:cNvGraphicFramePr>
              <a:graphicFrameLocks noChangeAspect="1"/>
            </wp:cNvGraphicFramePr>
            <a:graphic>
              <a:graphicData uri="http://schemas.openxmlformats.org/drawingml/2006/picture">
                <pic:pic>
                  <pic:nvPicPr>
                    <pic:cNvPr id="0" name="figure_4_optimal_capacity.png"/>
                    <pic:cNvPicPr/>
                  </pic:nvPicPr>
                  <pic:blipFill>
                    <a:blip r:embed="rId18"/>
                    <a:stretch>
                      <a:fillRect/>
                    </a:stretch>
                  </pic:blipFill>
                  <pic:spPr>
                    <a:xfrm>
                      <a:off x="0" y="0"/>
                      <a:ext cx="5806440" cy="3282400"/>
                    </a:xfrm>
                    <a:prstGeom prst="rect"/>
                  </pic:spPr>
                </pic:pic>
              </a:graphicData>
            </a:graphic>
          </wp:inline>
        </w:drawing>
      </w:r>
    </w:p>
    <w:p>
      <w:pPr>
        <w:pStyle w:val="Caption"/>
      </w:pPr>
      <w:r>
        <w:t xml:space="preserve">Figure </w:t>
      </w:r>
      <w:bookmarkStart w:id="104" w:name="fig4"/>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4</w:t>
      </w:r>
      <w:r>
        <w:rPr>
          <w:rFonts w:ascii="Calibri" w:hAnsi="Calibri"/>
        </w:rPr>
        <w:fldChar w:fldCharType="end"/>
      </w:r>
      <w:bookmarkEnd w:id="104"/>
      <w:r>
        <w:t>. Optimized daily consultation capacity by behavioural regime.</w:t>
      </w:r>
    </w:p>
    <w:p>
      <w:r>
        <w:rPr>
          <w:b w:val="0"/>
          <w:i w:val="0"/>
        </w:rPr>
        <w:t>The uncertainty-sensitivity panel shows that optimized total expected cost rises as the coefficient of variation increases in every behavioural regime. This pattern reflects a larger absolute mismatch between one chosen capacity and realized scenario demand; it does not imply a change in underlying compartment states. The cautious behavioural curve is highest in the displayed cost comparison, consistent with its longer period of combined pressure, while high contact is lowest in total mismatch cost despite its higher capacity crest. Consequently, peak capacity and horizon-total mismatch cost rank scenarios differently. Because the same relative cost assumptions are used throughout the left panel, the figure supports comparison across scenario settings, not monetary valuation.</w:t>
      </w:r>
    </w:p>
    <w:p>
      <w:pPr>
        <w:pStyle w:val="Heading2"/>
      </w:pPr>
      <w:r>
        <w:t>7.3 Cost and service-level sensitivity</w:t>
      </w:r>
    </w:p>
    <w:p>
      <w:r>
        <w:rPr>
          <w:b w:val="0"/>
          <w:i w:val="0"/>
        </w:rPr>
        <w:t>In the right-hand cost-sensitivity panel, balanced underage and overage costs place the optimized quantile close to the mean benchmark for the modelled distribution. Increasing the underage penalty shifts the critical fractile upward, adding safety capacity and reducing exposure to shortage. The relative advantage of the optimized policy consequently grows: at c_u=10, the signed relative reduction is 59.11 percent. This finite-sample comparison fixes c_o=1 and assumes linear costs; it does not establish that the chosen ratios are economically correct.</w:t>
      </w:r>
    </w:p>
    <w:p>
      <w:pPr>
        <w:keepNext/>
        <w:keepLines/>
        <w:spacing w:before="120" w:after="0"/>
        <w:jc w:val="center"/>
      </w:pPr>
      <w:r>
        <w:drawing>
          <wp:inline xmlns:a="http://schemas.openxmlformats.org/drawingml/2006/main" xmlns:pic="http://schemas.openxmlformats.org/drawingml/2006/picture">
            <wp:extent cx="5806440" cy="2318840"/>
            <wp:docPr id="5" name="Figure 5" descr="Uncertainty and cost sensitivity; the right-hand panel fixes overage cost at c_o = 1."/>
            <wp:cNvGraphicFramePr>
              <a:graphicFrameLocks noChangeAspect="1"/>
            </wp:cNvGraphicFramePr>
            <a:graphic>
              <a:graphicData uri="http://schemas.openxmlformats.org/drawingml/2006/picture">
                <pic:pic>
                  <pic:nvPicPr>
                    <pic:cNvPr id="0" name="figure_5_sensitivity.png"/>
                    <pic:cNvPicPr/>
                  </pic:nvPicPr>
                  <pic:blipFill>
                    <a:blip r:embed="rId19"/>
                    <a:stretch>
                      <a:fillRect/>
                    </a:stretch>
                  </pic:blipFill>
                  <pic:spPr>
                    <a:xfrm>
                      <a:off x="0" y="0"/>
                      <a:ext cx="5806440" cy="2318840"/>
                    </a:xfrm>
                    <a:prstGeom prst="rect"/>
                  </pic:spPr>
                </pic:pic>
              </a:graphicData>
            </a:graphic>
          </wp:inline>
        </w:drawing>
      </w:r>
    </w:p>
    <w:p>
      <w:pPr>
        <w:pStyle w:val="Caption"/>
      </w:pPr>
      <w:r>
        <w:t xml:space="preserve">Figure </w:t>
      </w:r>
      <w:bookmarkStart w:id="105" w:name="fig5"/>
      <w:r>
        <w:rPr>
          <w:rFonts w:ascii="Calibri" w:hAnsi="Calibri"/>
        </w:rPr>
        <w:fldChar w:fldCharType="begin"/>
      </w:r>
      <w:r>
        <w:rPr>
          <w:rFonts w:ascii="Calibri" w:hAnsi="Calibri"/>
        </w:rPr>
        <w:instrText xml:space="preserve"> SEQ Figure </w:instrText>
      </w:r>
      <w:r>
        <w:rPr>
          <w:rFonts w:ascii="Calibri" w:hAnsi="Calibri"/>
        </w:rPr>
        <w:fldChar w:fldCharType="separate"/>
      </w:r>
      <w:r>
        <w:rPr>
          <w:rFonts w:ascii="Calibri" w:hAnsi="Calibri"/>
        </w:rPr>
        <w:t>5</w:t>
      </w:r>
      <w:r>
        <w:rPr>
          <w:rFonts w:ascii="Calibri" w:hAnsi="Calibri"/>
        </w:rPr>
        <w:fldChar w:fldCharType="end"/>
      </w:r>
      <w:bookmarkEnd w:id="105"/>
      <w:r>
        <w:t>. Uncertainty and cost sensitivity; the right-hand panel fixes overage cost at c_o = 1.</w:t>
      </w:r>
    </w:p>
    <w:p>
      <w:pPr>
        <w:pStyle w:val="Heading2"/>
      </w:pPr>
      <w:r>
        <w:t>7.4 Service-seeking and initial-condition sensitivity</w:t>
      </w:r>
    </w:p>
    <w:p>
      <w:r>
        <w:rPr>
          <w:b w:val="0"/>
          <w:i w:val="0"/>
        </w:rPr>
        <w:t>Service-seeking sensitivity changes demand without changing the compartment paths. As p_W moves from its lower setting to full worried-well service seeking, each worried-well fraction contributes progressively more requests, raising conditional mean demand and the optimized workload requirement on days when I_W is material. The operational implication is direct: even if infection dynamics were held fixed, communication, access rules, remote triage, or public concern could alter consultation pressure through the service-conversion channel. The experiment does not estimate how any such intervention changes p_W; it demonstrates why the parameter requires local evidence.</w:t>
      </w:r>
    </w:p>
    <w:p>
      <w:r>
        <w:rPr>
          <w:b w:val="0"/>
          <w:i w:val="0"/>
        </w:rPr>
        <w:t>Initial conditions alter both the subsequent trajectory and its capacity consequence. Starting with relatively fewer worried-well people dampens early behavioural pressure, whereas starting with relatively fewer infected people and the baseline worried fraction delays the infected peak and changes the combined-demand path. This sensitivity warns against treating the baseline initial state as innocuous. Early state composition can affect the sequence of daily targets even when all rates, costs, and uncertainty settings are unchanged. These alternatives are coursework scenarios, not reconstructions of a particular outbreak.</w:t>
      </w:r>
    </w:p>
    <w:p>
      <w:pPr>
        <w:pStyle w:val="Heading2"/>
      </w:pPr>
      <w:r>
        <w:t>7.5 Optimized policy versus mean-demand planning</w:t>
      </w:r>
    </w:p>
    <w:p>
      <w:r>
        <w:rPr>
          <w:b w:val="0"/>
          <w:i w:val="0"/>
        </w:rPr>
        <w:t>For default behaviour and baseline costs, the optimized policy has aggregate out-of-sample cost 345,863.9 cost units, compared with 553,645.1 for rounded mean-demand planning. The signed relative reduction is 37.53 percent. When shortage is more consequential than unused capacity, consultation targets should therefore sit above mean demand by an uncertainty buffer determined by the cost ratio.</w:t>
      </w:r>
    </w:p>
    <w:tbl>
      <w:tblPr>
        <w:tblStyle w:val="TableGrid"/>
        <w:tblW w:type="dxa" w:w="9360"/>
        <w:jc w:val="left"/>
        <w:tblLayout w:type="fixed"/>
        <w:tblLook w:firstColumn="1" w:firstRow="1" w:lastColumn="0" w:lastRow="0" w:noHBand="0" w:noVBand="1" w:val="04A0"/>
        <w:tblInd w:type="dxa" w:w="120"/>
      </w:tblPr>
      <w:tblGrid>
        <w:gridCol w:w="2460"/>
        <w:gridCol w:w="2100"/>
        <w:gridCol w:w="2280"/>
        <w:gridCol w:w="2520"/>
      </w:tblGrid>
      <w:tr>
        <w:trPr>
          <w:tblHeader w:val="true"/>
        </w:trPr>
        <w:tc>
          <w:tcPr>
            <w:tcW w:type="dxa" w:w="2460"/>
            <w:tcMar>
              <w:top w:w="80" w:type="dxa"/>
              <w:bottom w:w="80" w:type="dxa"/>
              <w:start w:w="120" w:type="dxa"/>
              <w:end w:w="120" w:type="dxa"/>
            </w:tcMar>
            <w:vAlign w:val="center"/>
            <w:shd w:fill="F4F6F9" w:val="clear"/>
          </w:tcPr>
          <w:p>
            <w:pPr>
              <w:keepNext/>
              <w:keepLines/>
              <w:spacing w:before="0" w:after="0" w:line="240" w:lineRule="auto"/>
              <w:jc w:val="left"/>
            </w:pPr>
            <w:r>
              <w:rPr>
                <w:rFonts w:ascii="Calibri" w:hAnsi="Calibri"/>
                <w:b/>
                <w:sz w:val="18"/>
              </w:rPr>
              <w:t>Cost setting</w:t>
            </w:r>
          </w:p>
        </w:tc>
        <w:tc>
          <w:tcPr>
            <w:tcW w:type="dxa" w:w="2100"/>
            <w:tcMar>
              <w:top w:w="80" w:type="dxa"/>
              <w:bottom w:w="80" w:type="dxa"/>
              <w:start w:w="120" w:type="dxa"/>
              <w:end w:w="120" w:type="dxa"/>
            </w:tcMar>
            <w:vAlign w:val="center"/>
            <w:shd w:fill="F4F6F9" w:val="clear"/>
          </w:tcPr>
          <w:p>
            <w:pPr>
              <w:keepNext/>
              <w:keepLines/>
              <w:spacing w:before="0" w:after="0" w:line="240" w:lineRule="auto"/>
              <w:jc w:val="center"/>
            </w:pPr>
            <w:r>
              <w:rPr>
                <w:rFonts w:ascii="Calibri" w:hAnsi="Calibri"/>
                <w:b/>
                <w:sz w:val="18"/>
              </w:rPr>
              <w:t>Optimized cost</w:t>
            </w:r>
          </w:p>
        </w:tc>
        <w:tc>
          <w:tcPr>
            <w:tcW w:type="dxa" w:w="2280"/>
            <w:tcMar>
              <w:top w:w="80" w:type="dxa"/>
              <w:bottom w:w="80" w:type="dxa"/>
              <w:start w:w="120" w:type="dxa"/>
              <w:end w:w="120" w:type="dxa"/>
            </w:tcMar>
            <w:vAlign w:val="center"/>
            <w:shd w:fill="F4F6F9" w:val="clear"/>
          </w:tcPr>
          <w:p>
            <w:pPr>
              <w:keepNext/>
              <w:keepLines/>
              <w:spacing w:before="0" w:after="0" w:line="240" w:lineRule="auto"/>
              <w:jc w:val="center"/>
            </w:pPr>
            <w:r>
              <w:rPr>
                <w:rFonts w:ascii="Calibri" w:hAnsi="Calibri"/>
                <w:b/>
                <w:sz w:val="18"/>
              </w:rPr>
              <w:t>Mean-policy cost</w:t>
            </w:r>
          </w:p>
        </w:tc>
        <w:tc>
          <w:tcPr>
            <w:tcW w:type="dxa" w:w="2520"/>
            <w:tcMar>
              <w:top w:w="80" w:type="dxa"/>
              <w:bottom w:w="80" w:type="dxa"/>
              <w:start w:w="120" w:type="dxa"/>
              <w:end w:w="120" w:type="dxa"/>
            </w:tcMar>
            <w:vAlign w:val="center"/>
            <w:shd w:fill="F4F6F9" w:val="clear"/>
          </w:tcPr>
          <w:p>
            <w:pPr>
              <w:keepNext/>
              <w:keepLines/>
              <w:spacing w:before="0" w:after="0" w:line="240" w:lineRule="auto"/>
              <w:jc w:val="left"/>
            </w:pPr>
            <w:r>
              <w:rPr>
                <w:rFonts w:ascii="Calibri" w:hAnsi="Calibri"/>
                <w:b/>
                <w:sz w:val="18"/>
              </w:rPr>
              <w:t>Signed reduction (%)</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Balanced 1:1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184,171.5</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184,147.5</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-0.0131</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Baseline 5:1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345,863.9</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553,645.1</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37.5297</w:t>
            </w:r>
          </w:p>
        </w:tc>
      </w:tr>
      <w:tr>
        <w:trPr/>
        <w:tc>
          <w:tcPr>
            <w:tcW w:type="dxa" w:w="246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High-shortage 10:1</w:t>
            </w:r>
          </w:p>
        </w:tc>
        <w:tc>
          <w:tcPr>
            <w:tcW w:type="dxa" w:w="210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415,225.1</w:t>
            </w:r>
          </w:p>
        </w:tc>
        <w:tc>
          <w:tcPr>
            <w:tcW w:type="dxa" w:w="2280"/>
            <w:tcMar>
              <w:top w:w="80" w:type="dxa"/>
              <w:bottom w:w="80" w:type="dxa"/>
              <w:start w:w="120" w:type="dxa"/>
              <w:end w:w="120" w:type="dxa"/>
            </w:tcMar>
            <w:vAlign w:val="center"/>
          </w:tcPr>
          <w:p>
            <w:pPr>
              <w:keepLines/>
              <w:spacing w:before="0" w:after="0" w:line="240" w:lineRule="auto"/>
              <w:jc w:val="center"/>
            </w:pPr>
            <w:r>
              <w:rPr>
                <w:rFonts w:ascii="Calibri" w:hAnsi="Calibri"/>
                <w:b w:val="0"/>
                <w:sz w:val="18"/>
              </w:rPr>
              <w:t>1,015,517.1</w:t>
            </w:r>
          </w:p>
        </w:tc>
        <w:tc>
          <w:tcPr>
            <w:tcW w:type="dxa" w:w="2520"/>
            <w:tcMar>
              <w:top w:w="80" w:type="dxa"/>
              <w:bottom w:w="80" w:type="dxa"/>
              <w:start w:w="120" w:type="dxa"/>
              <w:end w:w="120" w:type="dxa"/>
            </w:tcMar>
            <w:vAlign w:val="center"/>
          </w:tcPr>
          <w:p>
            <w:pPr>
              <w:keepLines/>
              <w:spacing w:before="0" w:after="0" w:line="240" w:lineRule="auto"/>
              <w:jc w:val="left"/>
            </w:pPr>
            <w:r>
              <w:rPr>
                <w:rFonts w:ascii="Calibri" w:hAnsi="Calibri"/>
                <w:b w:val="0"/>
                <w:sz w:val="18"/>
              </w:rPr>
              <w:t>59.1120</w:t>
            </w:r>
          </w:p>
        </w:tc>
      </w:tr>
    </w:tbl>
    <w:p>
      <w:pPr>
        <w:spacing w:before="0" w:after="0"/>
      </w:pPr>
    </w:p>
    <w:p>
      <w:r>
        <w:rPr>
          <w:b w:val="0"/>
          <w:i w:val="0"/>
        </w:rPr>
        <w:t xml:space="preserve">The balanced-cost result is -0.0131 percent and is negative: on the independent evaluation draw, the optimized finite-sample median policy performed very slightly worse than the rounded mean policy. The sign is retained rather than clamped to zero. Because the two rules are nearly equivalent under balanced costs, this result is consistent with sampling variation rather than a substantive disadvantage. At the higher shortage penalty, by contrast, the critical-fractile policy separates meaningfully from the mean. Overall, behaviour determines </w:t>
      </w:r>
      <w:r>
        <w:rPr>
          <w:b w:val="0"/>
          <w:i/>
        </w:rPr>
        <w:t>when and how much</w:t>
      </w:r>
      <w:r>
        <w:rPr>
          <w:b w:val="0"/>
          <w:i w:val="0"/>
        </w:rPr>
        <w:t xml:space="preserve"> capacity is required, uncertainty determines the size and cost of mismatch, and the cost ratio determines how far capacity should move toward shortage protection.</w:t>
      </w:r>
    </w:p>
    <w:p>
      <w:pPr>
        <w:pStyle w:val="Heading1"/>
      </w:pPr>
      <w:r>
        <w:t>8. Discussion</w:t>
      </w:r>
    </w:p>
    <w:p>
      <w:r>
        <w:rPr>
          <w:b w:val="0"/>
          <w:i w:val="0"/>
        </w:rPr>
        <w:t>Daily consultation capacity should track the combined infected and worried-well demand process rather than the infected curve alone. Behavioural contact changes both the peak infected fraction and the timing and persistence of worried-well pressure. A cautious scenario can therefore require a lower but broader capacity response, while high contact requires an earlier and sharper response. The ratio figure shows that non-infected concern can dominate the modelled state composition early, although its contribution to demand is discounted by the baseline service probability.</w:t>
      </w:r>
    </w:p>
    <w:p>
      <w:r>
        <w:rPr>
          <w:b w:val="0"/>
          <w:i w:val="0"/>
        </w:rPr>
        <w:t>Capacity should include an uncertainty buffer when shortage carries more weight than unused slots. Rather than adding a fixed number of places, the buffer scales with the day-specific distribution, whose spread is proportional to conditional mean under the implemented coefficient-of-variation model. Increasing uncertainty raises mismatch cost even after optimization. The shortage-to-overage ratio governs the appropriate service level: mean-demand planning is unsuitable under asymmetric costs, whereas balanced costs make the median-based and mean-based rules close enough for finite-sample noise to determine their ordering. The small negative balanced-cost result is retained to avoid overstating consistency.</w:t>
      </w:r>
    </w:p>
    <w:p>
      <w:r>
        <w:rPr>
          <w:b w:val="0"/>
          <w:i w:val="0"/>
        </w:rPr>
        <w:t>The model also separates two levers that are often conflated. Alpha changes the interaction dynamics and therefore the compartments themselves; p_W changes the fraction of the worried-well compartment converted into service demand. Operational actions aimed at contact behaviour and those aimed at access, information, or triage need not have the same effect. This project does not estimate either intervention. It shows that an organization should measure both the evolving concerned population and its propensity to seek service if the objective is capacity planning.</w:t>
      </w:r>
    </w:p>
    <w:p>
      <w:r>
        <w:rPr>
          <w:b w:val="0"/>
          <w:i w:val="0"/>
        </w:rPr>
        <w:t>Several project-domain limitations constrain application. All outputs are synthetic planning scenarios, and there is no empirical calibration to individual clinical records, appointments, surveillance, or local capacity. Service-seeking probabilities are assumed coursework inputs. The coefficient of variation and underage and overage costs are also assumptions, not calibrated economic quantities. The resource is a single pool, with no distinction among clinicians, rooms, call handlers, tests, urgency classes, or infected and worried-well streams. Each day is a repeated independent single-period decision: unused capacity does not carry forward, unmet demand is not queued, and capacity cannot be reallocated across time. The deterministic behavioural system also omits statistical uncertainty in parameters and structure.</w:t>
      </w:r>
    </w:p>
    <w:p>
      <w:r>
        <w:rPr>
          <w:b w:val="0"/>
          <w:i w:val="0"/>
        </w:rPr>
        <w:t>These limitations suggest a clear sequence for practical extension. Local request and state-classification information would be needed to estimate service conversion and demand dispersion. Stakeholder elicitation could ground shortage and overage consequences. A multi-resource queueing or stochastic programme could represent workforce, rooms, test types, priority classes, carry-over, and adjustment costs. Parameter uncertainty could be propagated jointly with demand noise. Such additions should follow validation of the simple mechanism, because added operational detail cannot compensate for an unsupported demand link.</w:t>
      </w:r>
    </w:p>
    <w:p>
      <w:r>
        <w:rPr>
          <w:b w:val="0"/>
          <w:i w:val="0"/>
        </w:rPr>
        <w:t>All policy comparisons are finite-sample out-of-sample evidence. Fixed seeds make the reported experiment reproducible, not universal; alternative draws would produce small numerical changes, especially where competing rules are nearly equivalent.</w:t>
      </w:r>
    </w:p>
    <w:p>
      <w:pPr>
        <w:pStyle w:val="Heading1"/>
      </w:pPr>
      <w:r>
        <w:t>9. Conclusion</w:t>
      </w:r>
    </w:p>
    <w:p>
      <w:r>
        <w:rPr>
          <w:b w:val="0"/>
          <w:i w:val="0"/>
        </w:rPr>
        <w:t>Daily consultation capacity in this synthetic early-outbreak model should be driven by joint infected and worried-well demand, adjusted upward from mean demand when shortages are more costly than unused slots. Behaviour determines the timing and shape of the capacity curve: cautious interaction delays and broadens pressure, whereas high contact produces an earlier, higher crest. Demand uncertainty enlarges mismatch cost and the need for safety capacity. Increasing the underage penalty strengthens the case for a critical-fractile policy, while balanced costs yield near-equivalent rules and a slightly negative finite-sample comparison that must be retained.</w:t>
      </w:r>
    </w:p>
    <w:p>
      <w:r>
        <w:rPr>
          <w:b w:val="0"/>
          <w:i w:val="0"/>
        </w:rPr>
        <w:t>Worried-well behaviour can materially change when capacity is needed, but the response depends on assumed service seeking, uncertainty, and costs. The model links behavioural compartments to a daily newsvendor decision; it is not a clinical schedule. Deployment would require empirical calibration, disaggregated resources, and multi-period constraints.</w:t>
      </w:r>
    </w:p>
    <w:p>
      <w:pPr>
        <w:pStyle w:val="Heading1"/>
        <w:pageBreakBefore/>
      </w:pPr>
      <w:r>
        <w:t>References</w:t>
      </w:r>
    </w:p>
    <w:p>
      <w:pPr>
        <w:pStyle w:val="NarrativeBullet"/>
      </w:pPr>
      <w:r>
        <w:rPr>
          <w:b w:val="0"/>
          <w:i w:val="0"/>
        </w:rPr>
        <w:t>Allen, L. J. S. (2017) 'A primer on stochastic epidemic models: Formulation, numerical simulation, and analysis', Infectious Disease Modelling, 2(2), 128-142. https://doi.org/10.1016/j.idm.2017.03.001</w:t>
      </w:r>
    </w:p>
    <w:p>
      <w:pPr>
        <w:pStyle w:val="NarrativeBullet"/>
      </w:pPr>
      <w:r>
        <w:rPr>
          <w:b w:val="0"/>
          <w:i w:val="0"/>
        </w:rPr>
        <w:t>Asmundson, G. J. G. and Taylor, S. (2020) 'Coronaphobia: fear and the 2019-nCoV outbreak', Journal of Anxiety Disorders, 70, 102196. https://doi.org/10.1016/j.janxdis.2020.102196</w:t>
      </w:r>
    </w:p>
    <w:p>
      <w:pPr>
        <w:pStyle w:val="NarrativeBullet"/>
      </w:pPr>
      <w:r>
        <w:rPr>
          <w:b w:val="0"/>
          <w:i w:val="0"/>
        </w:rPr>
        <w:t>Blyuss, K. B. and Kyrychko, Y. N. (2005) 'On a basic model of a two-disease epidemic', Applied Mathematics and Computation, 160(1), 177-187. https://doi.org/10.1016/j.amc.2003.10.033</w:t>
      </w:r>
    </w:p>
    <w:p>
      <w:pPr>
        <w:pStyle w:val="NarrativeBullet"/>
      </w:pPr>
      <w:r>
        <w:rPr>
          <w:b w:val="0"/>
          <w:i w:val="0"/>
        </w:rPr>
        <w:t>Chatterjee, S. S., Vora, M., Malathesh, B. C. and Bhattacharyya, R. (2020) 'Worried well and COVID-19: re-emergence of an old quandary', Asian Journal of Psychiatry, 54, 102247. https://doi.org/10.1016/j.ajp.2020.102247</w:t>
      </w:r>
    </w:p>
    <w:p>
      <w:pPr>
        <w:pStyle w:val="NarrativeBullet"/>
      </w:pPr>
      <w:r>
        <w:rPr>
          <w:b w:val="0"/>
          <w:i w:val="0"/>
        </w:rPr>
        <w:t>Hick, J. L., Hanfling, D., Burstein, J. L., DeAtley, C., Barbisch, D., Bogdan, G. M. and Cantrill, S. V. (2004) 'Health care facility and community strategies for patient care surge capacity', Annals of Emergency Medicine, 44(3), 253-261. https://doi.org/10.1016/j.annemergmed.2004.04.011</w:t>
      </w:r>
    </w:p>
    <w:p>
      <w:pPr>
        <w:pStyle w:val="NarrativeBullet"/>
      </w:pPr>
      <w:r>
        <w:rPr>
          <w:b w:val="0"/>
          <w:i w:val="0"/>
        </w:rPr>
        <w:t>Qin, Y., Wang, R., Vakharia, A. J., Chen, Y. and Seref, M. M. H. (2011) 'The newsvendor problem: Review and directions for future research', European Journal of Operational Research, 213(2), 361-374. https://doi.org/10.1016/j.ejor.2010.11.024</w:t>
      </w:r>
    </w:p>
    <w:p>
      <w:pPr>
        <w:pStyle w:val="NarrativeBullet"/>
      </w:pPr>
      <w:r>
        <w:rPr>
          <w:b w:val="0"/>
          <w:i w:val="0"/>
        </w:rPr>
        <w:t>Singh, B. and Gromov, D. (2025) 'Mathematically modeling worried-well behavior during infectious disease outbreaks', PLOS ONE, 20(9), e0319550. https://doi.org/10.1371/journal.pone.0319550</w:t>
      </w:r>
    </w:p>
    <w:p>
      <w:pPr>
        <w:pStyle w:val="NarrativeBullet"/>
      </w:pPr>
      <w:r>
        <w:rPr>
          <w:b w:val="0"/>
          <w:i w:val="0"/>
        </w:rPr>
        <w:t>Singh, B. and Rebennack, S. (2026) 'Release immediately or sequentially? Strategies for allocating scarce therapeutic resources during disease outbreaks', IISE Transactions, 58(4), 489-502. https://doi.org/10.1080/24725854.2025.2525918</w:t>
      </w:r>
    </w:p>
    <w:sectPr w:rsidR="00FC693F" w:rsidRPr="0006063C" w:rsidSect="00034616">
      <w:headerReference w:type="default" r:id="rId9"/>
      <w:headerReference w:type="even" r:id="rId10"/>
      <w:headerReference w:type="first" r:id="rId11"/>
      <w:footerReference w:type="default" r:id="rId12"/>
      <w:footerReference w:type="even" r:id="rId13"/>
      <w:footerReference w:type="first" r:id="rId14"/>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rPr>
      <w:fldChar w:fldCharType="begin"/>
    </w:r>
    <w:r>
      <w:rPr>
        <w:rFonts w:ascii="Calibri" w:hAnsi="Calibri"/>
      </w:rPr>
      <w:instrText xml:space="preserve"> PAGE </w:instrText>
    </w:r>
    <w:r>
      <w:rPr>
        <w:rFonts w:ascii="Calibri" w:hAnsi="Calibri"/>
      </w:rPr>
      <w:fldChar w:fldCharType="separate"/>
    </w:r>
    <w:r>
      <w:rPr>
        <w:rFonts w:ascii="Calibri" w:hAnsi="Calibri"/>
      </w:rPr>
      <w:t>2</w:t>
    </w:r>
    <w:r>
      <w:rPr>
        <w:rFonts w:ascii="Calibri" w:hAnsi="Calibri"/>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7280"/>
        <w:sz w:val="18"/>
      </w:rPr>
      <w:t>MATH6186 | Worried-Well Consultation Capacity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B7280"/>
        <w:sz w:val="18"/>
      </w:rPr>
      <w:t>MATH6186 | Worried-Well Consultation Capacity</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after="80" w:line="29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640"/>
      <w:jc w:val="center"/>
    </w:pPr>
    <w:rPr>
      <w:rFonts w:asciiTheme="majorHAnsi" w:eastAsiaTheme="majorEastAsia" w:hAnsiTheme="majorHAnsi" w:cstheme="majorBidi" w:ascii="Calibri" w:hAnsi="Calibri"/>
      <w:i w:val="0"/>
      <w:iCs/>
      <w:color w:val="2E74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120"/>
      <w:jc w:val="center"/>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line="276" w:lineRule="auto"/>
      <w:jc w:val="center"/>
    </w:pPr>
    <w:rPr>
      <w:rFonts w:ascii="Cambria Math" w:hAnsi="Cambria Math"/>
      <w:sz w:val="22"/>
    </w:rPr>
  </w:style>
  <w:style w:type="paragraph" w:customStyle="1" w:styleId="CoverMetadata">
    <w:name w:val="Cover Metadata"/>
    <w:basedOn w:val="Normal"/>
    <w:pPr>
      <w:spacing w:before="0" w:after="100" w:line="276" w:lineRule="auto"/>
      <w:jc w:val="center"/>
    </w:pPr>
    <w:rPr>
      <w:rFonts w:ascii="Calibri" w:hAnsi="Calibri"/>
      <w:sz w:val="22"/>
    </w:rPr>
  </w:style>
  <w:style w:type="paragraph" w:customStyle="1" w:styleId="ReproducibilityCommand">
    <w:name w:val="Reproducibility Command"/>
    <w:basedOn w:val="Normal"/>
    <w:pPr>
      <w:spacing w:before="80" w:after="160" w:line="240" w:lineRule="auto"/>
      <w:ind w:left="360" w:right="360"/>
      <w:jc w:val="left"/>
    </w:pPr>
    <w:rPr>
      <w:rFonts w:ascii="Consolas" w:hAnsi="Consolas"/>
      <w:color w:val="1F4D78"/>
      <w:sz w:val="19"/>
    </w:rPr>
  </w:style>
  <w:style w:type="paragraph" w:customStyle="1" w:styleId="NarrativeBullet">
    <w:name w:val="Narrative Bullet"/>
    <w:basedOn w:val="Normal"/>
    <w:pPr>
      <w:numPr>
        <w:ilvl w:val="0"/>
        <w:numId w:val="10"/>
      </w:numPr>
      <w:spacing w:before="0" w:after="80" w:line="290" w:lineRule="auto"/>
      <w:ind w:left="540" w:hanging="280"/>
      <w:jc w:val="left"/>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Consultation Capacity Under Worried-Well Demand</dc:title>
  <dc:subject>MATH6186 operational research case-study draft</dc:subject>
  <dc:creator/>
  <cp:keywords>worried well; consultation capacity; newsvendor; operational research</cp:keywords>
  <dc:description>generated by python-docx</dc:description>
  <cp:lastModifiedBy/>
  <cp:revision>1</cp:revision>
  <dcterms:created xsi:type="dcterms:W3CDTF">2013-12-23T23:15:00Z</dcterms:created>
  <dcterms:modified xsi:type="dcterms:W3CDTF">2013-12-23T23:15:00Z</dcterms:modified>
  <cp:category/>
</cp:coreProperties>
</file>