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jc w:val="left"/>
        <w:pBdr>
          <w:bottom w:val="single" w:sz="14" w:space="6" w:color="007F82"/>
        </w:pBdr>
      </w:pPr>
      <w:r>
        <w:t>MATH6185 Oral Presentation - Q&amp;A Guide</w:t>
      </w:r>
    </w:p>
    <w:p>
      <w:pPr>
        <w:spacing w:after="360"/>
      </w:pPr>
      <w:r>
        <w:rPr>
          <w:rFonts w:ascii="Aptos" w:hAnsi="Aptos" w:eastAsia="Microsoft YaHei"/>
          <w:b w:val="0"/>
          <w:color w:val="687783"/>
          <w:sz w:val="26"/>
        </w:rPr>
        <w:t>Student ID: zw1f25 | 22 likely questions with English answers and Chinese explanations</w:t>
      </w:r>
    </w:p>
    <w:tbl>
      <w:tblPr>
        <w:tblW w:type="auto" w:w="0"/>
        <w:tblLayout w:type="fixed"/>
        <w:tblLook w:firstColumn="1" w:firstRow="1" w:lastColumn="0" w:lastRow="0" w:noHBand="0" w:noVBand="1" w:val="04A0"/>
      </w:tblPr>
      <w:tblGrid>
        <w:gridCol w:w="9638"/>
      </w:tblGrid>
      <w:tr>
        <w:tc>
          <w:tcPr>
            <w:tcW w:type="dxa" w:w="9638"/>
            <w:shd w:fill="DCEEEF"/>
            <w:vAlign w:val="center"/>
          </w:tcPr>
          <w:p>
            <w:pPr>
              <w:spacing w:before="120" w:after="120"/>
            </w:pPr>
            <w:r>
              <w:rPr>
                <w:rFonts w:ascii="Aptos" w:hAnsi="Aptos" w:eastAsia="Microsoft YaHei"/>
                <w:b/>
                <w:color w:val="007F82"/>
                <w:sz w:val="24"/>
              </w:rPr>
              <w:t>Answer pattern</w:t>
              <w:br/>
            </w:r>
            <w:r>
              <w:rPr>
                <w:rFonts w:ascii="Aptos" w:hAnsi="Aptos" w:eastAsia="Microsoft YaHei"/>
                <w:b/>
                <w:color w:val="17324D"/>
                <w:sz w:val="22"/>
              </w:rPr>
              <w:t>Lead with the conclusion, support it with one number or model mechanism, then state the relevant limitation. Do not overclaim global optimality or direct AnyLogic validation.</w:t>
            </w:r>
          </w:p>
        </w:tc>
      </w:tr>
    </w:tbl>
    <w:p>
      <w:pPr>
        <w:spacing w:after="40"/>
      </w:pPr>
    </w:p>
    <w:p>
      <w:pPr>
        <w:pStyle w:val="Heading1"/>
      </w:pPr>
      <w:r>
        <w:t>High-priority facts to memorise</w:t>
      </w:r>
    </w:p>
    <w:p>
      <w:pPr>
        <w:ind w:left="113"/>
      </w:pPr>
      <w:r>
        <w:rPr>
          <w:rFonts w:ascii="Aptos" w:hAnsi="Aptos" w:eastAsia="Microsoft YaHei"/>
          <w:b/>
          <w:color w:val="007F82"/>
          <w:sz w:val="22"/>
        </w:rPr>
        <w:t xml:space="preserve">Q2 FAS: </w:t>
      </w:r>
      <w:r>
        <w:rPr>
          <w:rFonts w:ascii="Aptos" w:hAnsi="Aptos" w:eastAsia="Microsoft YaHei"/>
          <w:b w:val="0"/>
          <w:color w:val="18222C"/>
          <w:sz w:val="22"/>
        </w:rPr>
        <w:t>Overall mean 4.148 days.</w:t>
      </w:r>
    </w:p>
    <w:p>
      <w:pPr>
        <w:ind w:left="113"/>
      </w:pPr>
      <w:r>
        <w:rPr>
          <w:rFonts w:ascii="Aptos" w:hAnsi="Aptos" w:eastAsia="Microsoft YaHei"/>
          <w:b/>
          <w:color w:val="007F82"/>
          <w:sz w:val="22"/>
        </w:rPr>
        <w:t xml:space="preserve">Q3: </w:t>
      </w:r>
      <w:r>
        <w:rPr>
          <w:rFonts w:ascii="Aptos" w:hAnsi="Aptos" w:eastAsia="Microsoft YaHei"/>
          <w:b w:val="0"/>
          <w:color w:val="18222C"/>
          <w:sz w:val="22"/>
        </w:rPr>
        <w:t>Urgent 2.123, routine 9.053, overall 4.703 days; urgent reduction 48.8%.</w:t>
      </w:r>
    </w:p>
    <w:p>
      <w:pPr>
        <w:ind w:left="113"/>
      </w:pPr>
      <w:r>
        <w:rPr>
          <w:rFonts w:ascii="Aptos" w:hAnsi="Aptos" w:eastAsia="Microsoft YaHei"/>
          <w:b/>
          <w:color w:val="007F82"/>
          <w:sz w:val="22"/>
        </w:rPr>
        <w:t xml:space="preserve">Q4: </w:t>
      </w:r>
      <w:r>
        <w:rPr>
          <w:rFonts w:ascii="Aptos" w:hAnsi="Aptos" w:eastAsia="Microsoft YaHei"/>
          <w:b w:val="0"/>
          <w:color w:val="18222C"/>
          <w:sz w:val="22"/>
        </w:rPr>
        <w:t>Urgent 4.009, routine 4.574, overall 4.219 days; utilisation 97.911%.</w:t>
      </w:r>
    </w:p>
    <w:p>
      <w:pPr>
        <w:ind w:left="113"/>
      </w:pPr>
      <w:r>
        <w:rPr>
          <w:rFonts w:ascii="Aptos" w:hAnsi="Aptos" w:eastAsia="Microsoft YaHei"/>
          <w:b/>
          <w:color w:val="007F82"/>
          <w:sz w:val="22"/>
        </w:rPr>
        <w:t xml:space="preserve">Experiment: </w:t>
      </w:r>
      <w:r>
        <w:rPr>
          <w:rFonts w:ascii="Aptos" w:hAnsi="Aptos" w:eastAsia="Microsoft YaHei"/>
          <w:b w:val="0"/>
          <w:color w:val="18222C"/>
          <w:sz w:val="22"/>
        </w:rPr>
        <w:t>1,000 served warm-up, 50,000-arrival stop, 250 independent replications, 95% confidence intervals.</w:t>
      </w:r>
    </w:p>
    <w:p>
      <w:pPr>
        <w:ind w:left="113"/>
      </w:pPr>
      <w:r>
        <w:rPr>
          <w:rFonts w:ascii="Aptos" w:hAnsi="Aptos" w:eastAsia="Microsoft YaHei"/>
          <w:b/>
          <w:color w:val="007F82"/>
          <w:sz w:val="22"/>
        </w:rPr>
        <w:t xml:space="preserve">Recommendation: </w:t>
      </w:r>
      <w:r>
        <w:rPr>
          <w:rFonts w:ascii="Aptos" w:hAnsi="Aptos" w:eastAsia="Microsoft YaHei"/>
          <w:b w:val="0"/>
          <w:color w:val="18222C"/>
          <w:sz w:val="22"/>
        </w:rPr>
        <w:t>Q3 for the stated objective, with a routine service-level guardrail.</w:t>
      </w:r>
    </w:p>
    <w:p>
      <w:pPr>
        <w:pStyle w:val="Heading1"/>
        <w:keepNext/>
      </w:pPr>
      <w:r>
        <w:t>Q1. What is the central operational problem?</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The clinic operates at a nominal load of 0.98, so there is almost no spare capacity. Reducing urgent waits therefore requires reallocating delay across patient classes or using flexible rebooking more effectively.</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核心不是总容量明显不足，而是容量几乎被吃满。任何优先规则都必须让另一类病人承担一部分等待，或者更有效地利用临时释放的号位。</w:t>
      </w:r>
    </w:p>
    <w:p>
      <w:pPr>
        <w:pStyle w:val="Evidence"/>
        <w:keepLines/>
      </w:pPr>
      <w:r>
        <w:t>Evidence: 3.69 urgent plus 2.19 routine arrivals per day versus 6 slots per day.</w:t>
      </w:r>
    </w:p>
    <w:p>
      <w:pPr>
        <w:pStyle w:val="Heading1"/>
        <w:keepNext/>
      </w:pPr>
      <w:r>
        <w:t>Q2. Why is first-available scheduling a useful baseline?</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It is simple, neutral between classes and easy to interpret. Because it gives the earliest open slot to every patient, it shows the performance of the shared system before priority mechanisms are introduced.</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FAS 没有优先级干预，所以很适合作为基准。后续模型与它的差异可以更清楚地归因于策略本身。</w:t>
      </w:r>
    </w:p>
    <w:p>
      <w:pPr>
        <w:pStyle w:val="Evidence"/>
        <w:keepLines/>
      </w:pPr>
      <w:r>
        <w:t>Evidence: Q2 urgent, routine and overall means are all approximately 4.148 days.</w:t>
      </w:r>
    </w:p>
    <w:p>
      <w:pPr>
        <w:pStyle w:val="Heading1"/>
        <w:keepNext/>
      </w:pPr>
      <w:r>
        <w:t>Q3. How did you validate the Q2 benchmark?</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 checked logical consistency, replication precision and warm-up sensitivity. Urgent and routine means are almost identical under a pooled rule, the relative CI half-width is 4.10%, and the tested warm-up intervals overlap.</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回答时强调三层证据：结果符合模型逻辑、置信区间精度达标、不同预热长度结论一致。</w:t>
      </w:r>
    </w:p>
    <w:p>
      <w:pPr>
        <w:pStyle w:val="Evidence"/>
        <w:keepLines/>
      </w:pPr>
      <w:r>
        <w:t>Evidence: Overall mean 4.148, 95% CI 3.978-4.318; warm-up checks at 500, 1,000 and 2,000 served.</w:t>
      </w:r>
    </w:p>
    <w:p>
      <w:pPr>
        <w:pStyle w:val="Heading1"/>
        <w:keepNext/>
      </w:pPr>
      <w:r>
        <w:t>Q4. Why did you choose a warm-up of 1,000 served patients?</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It is a middle choice supported by sensitivity analysis. Warm-ups of 500, 1,000 and 2,000 served patients produced strongly overlapping 95% confidence intervals, so the conclusion is not sensitive to the chosen value.</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不要说 1,000 是唯一正确值。正确说法是：敏感性分析支持它是一个合理折中。</w:t>
      </w:r>
    </w:p>
    <w:p>
      <w:pPr>
        <w:pStyle w:val="Evidence"/>
        <w:keepLines/>
      </w:pPr>
      <w:r>
        <w:t>Evidence: Means 4.133, 4.148 and 4.172 days with overlapping intervals.</w:t>
      </w:r>
    </w:p>
    <w:p>
      <w:pPr>
        <w:pStyle w:val="Heading1"/>
        <w:keepNext/>
      </w:pPr>
      <w:r>
        <w:t>Q5. Why stop each replication at 50,000 arrivals?</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The long run supplies enough post-warm-up observations for stable replication estimates while remaining computationally practical. Precision was then judged from the across-replication confidence interval rather than from run length alone.</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50,000 到达量只是保证单次复制够长；最终是否精确还要看 250 次独立复制形成的置信区间。</w:t>
      </w:r>
    </w:p>
    <w:p>
      <w:pPr>
        <w:pStyle w:val="Evidence"/>
        <w:keepLines/>
      </w:pPr>
      <w:r>
        <w:t>Evidence: All selected overall relative confidence-interval half-widths are below 5%.</w:t>
      </w:r>
    </w:p>
    <w:p>
      <w:pPr>
        <w:pStyle w:val="Heading1"/>
        <w:keepNext/>
      </w:pPr>
      <w:r>
        <w:t>Q6. Why use 250 independent replications?</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Independent replications provide an empirical sampling distribution for the mean and allow a conventional 95% confidence interval. Two hundred and fifty replications achieved the pre-specified relative half-width target for every selected policy.</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重点是独立复制用于估计不确定性，不是单纯为了让样本看起来大。</w:t>
      </w:r>
    </w:p>
    <w:p>
      <w:pPr>
        <w:pStyle w:val="Evidence"/>
        <w:keepLines/>
      </w:pPr>
      <w:r>
        <w:t>Evidence: Relative half-widths: Q2 4.10%, Q3 4.04%, Q4 3.49%.</w:t>
      </w:r>
    </w:p>
    <w:p>
      <w:pPr>
        <w:pStyle w:val="Heading1"/>
        <w:keepNext/>
      </w:pPr>
      <w:r>
        <w:t>Q7. What does the 95% confidence interval mean here?</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Across repeated sets of independent simulation replications, intervals constructed by the same method would contain the true steady-state mean about 95% of the time. It describes Monte Carlo uncertainty under the model, not uncertainty about whether the model assumptions are correct.</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区分两类不确定性：置信区间反映仿真随机误差，不代表现实模型结构一定正确。</w:t>
      </w:r>
    </w:p>
    <w:p>
      <w:pPr>
        <w:pStyle w:val="Evidence"/>
        <w:keepLines/>
      </w:pPr>
      <w:r>
        <w:t>Evidence: Replication-level estimates and 95% intervals reported for each selected policy.</w:t>
      </w:r>
    </w:p>
    <w:p>
      <w:pPr>
        <w:pStyle w:val="Heading1"/>
        <w:keepNext/>
      </w:pPr>
      <w:r>
        <w:t>Q8. How does the Q3 policy work?</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It observes the urgent backlog and postpones selected routine bookings by round(alpha1 NU + alpha2 NU squared). With alpha1 zero and alpha2 0.35, protection increases nonlinearly as urgent congestion grows.</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NU 是紧急病人积压量。二次项让积压越高时，常规预约向后移动得越多，从而给紧急病人腾出更早号位。</w:t>
      </w:r>
    </w:p>
    <w:p>
      <w:pPr>
        <w:pStyle w:val="Evidence"/>
        <w:keepLines/>
      </w:pPr>
      <w:r>
        <w:t>Evidence: Selected parameters alpha1 = 0 and alpha2 = 0.35.</w:t>
      </w:r>
    </w:p>
    <w:p>
      <w:pPr>
        <w:pStyle w:val="Heading1"/>
        <w:keepNext/>
      </w:pPr>
      <w:r>
        <w:t>Q9. Why choose alpha2 = 0.35?</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It was the strongest tested nonlinear protection setting whose overall upper 95% confidence limit remained below five days. Higher tested protection moved routine and overall performance beyond the feasible boundary.</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这是有限参数搜索中的最佳可行点，不要声称是数学意义上的全局最优。</w:t>
      </w:r>
    </w:p>
    <w:p>
      <w:pPr>
        <w:pStyle w:val="Evidence"/>
        <w:keepLines/>
      </w:pPr>
      <w:r>
        <w:t>Evidence: Q3 overall mean 4.703; upper 95% confidence limit 4.893.</w:t>
      </w:r>
    </w:p>
    <w:p>
      <w:pPr>
        <w:pStyle w:val="Heading1"/>
        <w:keepNext/>
      </w:pPr>
      <w:r>
        <w:t>Q10. Is Q3 fair to routine patients?</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Not under a broad notion of fairness. It meets the aggregate constraint but raises routine mean waiting to 9.053 days. I therefore recommend adding a routine service-level guardrail before operational use.</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直接承认问题会更有说服力。总体均值达标并不等于各类病人都得到合理服务。</w:t>
      </w:r>
    </w:p>
    <w:p>
      <w:pPr>
        <w:pStyle w:val="Evidence"/>
        <w:keepLines/>
      </w:pPr>
      <w:r>
        <w:t>Evidence: Q3 routine mean 9.053 days, 95% CI 8.621-9.484.</w:t>
      </w:r>
    </w:p>
    <w:p>
      <w:pPr>
        <w:pStyle w:val="Heading1"/>
        <w:keepNext/>
      </w:pPr>
      <w:r>
        <w:t>Q11. Why recommend Q3 despite the routine delay?</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Because the stated objective prioritises urgent mean waiting subject to an aggregate five-day constraint. Q3 gives the largest urgent improvement and remains feasible on that definition. My recommendation is conditional on adding a routine safeguard.</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把“按题目目标最优”和“现实中可以直接实施”分开。推荐是有条件的，不是忽视常规病人的代价。</w:t>
      </w:r>
    </w:p>
    <w:p>
      <w:pPr>
        <w:pStyle w:val="Evidence"/>
        <w:keepLines/>
      </w:pPr>
      <w:r>
        <w:t>Evidence: Urgent mean falls by 48.8%; Q3 overall upper CI is 4.893 days.</w:t>
      </w:r>
    </w:p>
    <w:p>
      <w:pPr>
        <w:pStyle w:val="Heading1"/>
        <w:keepNext/>
      </w:pPr>
      <w:r>
        <w:t>Q12. How does the Q4 on-call routine policy work?</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The policy protects near-term capacity, then uses an end-of-day event to scan for unused slots. It releases an eligible slot and brings forward the oldest eligible on-call routine patient.</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Q4 的核心是先保护、再释放、最后把合适的 OCR 病人提前，而不是让号位永久空着。</w:t>
      </w:r>
    </w:p>
    <w:p>
      <w:pPr>
        <w:pStyle w:val="Evidence"/>
        <w:keepLines/>
      </w:pPr>
      <w:r>
        <w:t>Evidence: Selected setting eta = 0.2, L = 0 and H = 3.</w:t>
      </w:r>
    </w:p>
    <w:p>
      <w:pPr>
        <w:pStyle w:val="Heading1"/>
        <w:keepNext/>
      </w:pPr>
      <w:r>
        <w:t>Q13. Why choose eta = 0.2, L = 0 and H = 3?</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Screening showed that H = 4 protected too much capacity under 98% load. The selected H = 3 setting with eta 0.2 produced the best directly validated urgent mean among the submitted alternatives while satisfying the overall constraint.</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H=4 太激进；最终选项在可行性和紧急等待之间折中，并且这一行是 AnyLogic 直接验证结果。</w:t>
      </w:r>
    </w:p>
    <w:p>
      <w:pPr>
        <w:pStyle w:val="Evidence"/>
        <w:keepLines/>
      </w:pPr>
      <w:r>
        <w:t>Evidence: Q4 urgent 4.009, overall 4.219, utilisation 97.911%.</w:t>
      </w:r>
    </w:p>
    <w:p>
      <w:pPr>
        <w:pStyle w:val="Heading1"/>
        <w:keepNext/>
      </w:pPr>
      <w:r>
        <w:t>Q14. Why is Q4's urgent improvement small?</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The system already runs at a nominal load of 0.98, so few protected slots remain genuinely unused. Rebooking preserves utilisation, but it cannot create much extra urgent capacity when demand nearly equals capacity.</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这是一个系统结构解释：负荷太高，能释放出来的真实空余号位很少，所以机制有效但提升空间有限。</w:t>
      </w:r>
    </w:p>
    <w:p>
      <w:pPr>
        <w:pStyle w:val="Evidence"/>
        <w:keepLines/>
      </w:pPr>
      <w:r>
        <w:t>Evidence: Urgent reduction 0.139 days; utilisation remains 97.911%.</w:t>
      </w:r>
    </w:p>
    <w:p>
      <w:pPr>
        <w:pStyle w:val="Heading1"/>
        <w:keepNext/>
      </w:pPr>
      <w:r>
        <w:t>Q15. Does 97.911% utilisation mean Q4 is superior?</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No. High utilisation shows that protected capacity was not heavily wasted, but the objective is urgent waiting subject to an overall constraint. Q3 performs much better on urgent waiting even though Q4 is more balanced.</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利用率是辅助指标，不是最终目标。不能因为利用率高就忽略等待时间。</w:t>
      </w:r>
    </w:p>
    <w:p>
      <w:pPr>
        <w:pStyle w:val="Evidence"/>
        <w:keepLines/>
      </w:pPr>
      <w:r>
        <w:t>Evidence: Q4 urgent 4.009 days versus Q3 urgent 2.123 days.</w:t>
      </w:r>
    </w:p>
    <w:p>
      <w:pPr>
        <w:pStyle w:val="Heading1"/>
        <w:keepNext/>
      </w:pPr>
      <w:r>
        <w:t>Q16. Why not select H = 2 instead of H = 3?</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The event-equivalent H = 2 screen had a lower overall mean and a similar urgent mean, but it was not directly comparable with the 250-replication AnyLogic result for H = 3. I therefore retained the directly validated submitted choice and did not claim a formal H = 2 versus H = 3 superiority test.</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这里要诚实说明证据来源不同。H=2 的筛选结果值得后续直接验证，但当前不能当作正式配对比较。</w:t>
      </w:r>
    </w:p>
    <w:p>
      <w:pPr>
        <w:pStyle w:val="Evidence"/>
        <w:keepLines/>
      </w:pPr>
      <w:r>
        <w:t>Evidence: H = 2 event-equivalent urgent 4.093 and overall 4.172; H = 3 direct urgent 4.009 and overall 4.219.</w:t>
      </w:r>
    </w:p>
    <w:p>
      <w:pPr>
        <w:pStyle w:val="Heading1"/>
        <w:keepNext/>
      </w:pPr>
      <w:r>
        <w:t>Q17. What is event-equivalent screening?</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It is a computational screening implementation designed to reproduce the scheduling event logic outside the final direct AnyLogic experiment. It narrows the candidate set, but the selected policy's reported result comes from direct AnyLogic validation.</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筛选器用于快速缩小参数范围，不能把所有筛选结果都说成 AnyLogic 直接运行。最终选定的 Q4 参数有直接 250 次复制验证。</w:t>
      </w:r>
    </w:p>
    <w:p>
      <w:pPr>
        <w:pStyle w:val="Evidence"/>
        <w:keepLines/>
      </w:pPr>
      <w:r>
        <w:t>Evidence: Report Table 3 identifies eta 0.2, L 0, H 3 as the direct AnyLogic row.</w:t>
      </w:r>
    </w:p>
    <w:p>
      <w:pPr>
        <w:pStyle w:val="Heading1"/>
        <w:keepNext/>
      </w:pPr>
      <w:r>
        <w:t>Q18. How did the literature influence the model rather than merely decorate the report?</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The literature shaped the mechanisms tested: pooled access as a benchmark, capacity protection for urgent patients, dynamic backlog-responsive priority and flexible rebooking of released capacity. It also motivated treating delay redistribution as a central trade-off.</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不要只背作者名字。说明文献如何对应到具体机制：保护容量、动态优先级、灵活重排以及公平性权衡。</w:t>
      </w:r>
    </w:p>
    <w:p>
      <w:pPr>
        <w:pStyle w:val="Evidence"/>
        <w:keepLines/>
      </w:pPr>
      <w:r>
        <w:t>Evidence: Dobson et al. (2011), Patrick et al. (2008), Creemers et al. (2012), and the review papers.</w:t>
      </w:r>
    </w:p>
    <w:p>
      <w:pPr>
        <w:pStyle w:val="Heading1"/>
        <w:keepNext/>
      </w:pPr>
      <w:r>
        <w:t>Q19. What are the main model limitations?</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The model assumes stationary Poisson demand, deterministic service, identical working days and no no-shows, cancellations, preferences, deterioration or overtime. The parameter searches are finite, so they do not prove global optimality.</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把结构性假设和搜索局限都说出来。置信区间很窄也不能弥补模型假设与现实不一致。</w:t>
      </w:r>
    </w:p>
    <w:p>
      <w:pPr>
        <w:pStyle w:val="Evidence"/>
        <w:keepLines/>
      </w:pPr>
      <w:r>
        <w:t>Evidence: Limitations section of the final report.</w:t>
      </w:r>
    </w:p>
    <w:p>
      <w:pPr>
        <w:pStyle w:val="Heading1"/>
        <w:keepNext/>
      </w:pPr>
      <w:r>
        <w:t>Q20. What would you do next?</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I would add a routine service-level constraint, directly validate the strongest Q4 screening candidates in AnyLogic, use common random numbers for close comparisons, and test a hybrid policy that combines Q3's backlog signal with controlled Q4-style release.</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下一步应针对现有证据的薄弱点：公平约束、Q4 候选直接验证、降低比较方差、测试混合策略。</w:t>
      </w:r>
    </w:p>
    <w:p>
      <w:pPr>
        <w:pStyle w:val="Evidence"/>
        <w:keepLines/>
      </w:pPr>
      <w:r>
        <w:t>Evidence: Report conclusion and the identified H = 2 versus H = 3 evidence gap.</w:t>
      </w:r>
    </w:p>
    <w:p>
      <w:pPr>
        <w:pStyle w:val="Heading1"/>
        <w:keepNext/>
        <w:pageBreakBefore/>
      </w:pPr>
      <w:r>
        <w:t>Q21. What is your original contribution in this work?</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My contribution is the consistent construction and comparison of three policies under one simulation framework, the explicit feasibility check using confidence-interval upper limits, and the interpretation that Q3's gain is a redistribution of delay rather than a free efficiency improvement.</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原创贡献不必夸大为新理论。可以强调统一建模、可行性判断方式和对结果机制的清晰解释。</w:t>
      </w:r>
    </w:p>
    <w:p>
      <w:pPr>
        <w:pStyle w:val="Evidence"/>
        <w:keepLines/>
      </w:pPr>
      <w:r>
        <w:t>Evidence: Common experiment design, cross-policy results and conditional recommendation.</w:t>
      </w:r>
    </w:p>
    <w:p>
      <w:pPr>
        <w:pStyle w:val="Heading1"/>
        <w:keepNext/>
      </w:pPr>
      <w:r>
        <w:t>Q22. How was AI assistance used?</w:t>
      </w:r>
    </w:p>
    <w:p>
      <w:pPr>
        <w:keepNext/>
      </w:pPr>
      <w:r>
        <w:rPr>
          <w:rFonts w:ascii="Aptos" w:hAnsi="Aptos" w:eastAsia="Microsoft YaHei"/>
          <w:b/>
          <w:color w:val="007F82"/>
          <w:sz w:val="22"/>
        </w:rPr>
        <w:t xml:space="preserve">Answer in English: </w:t>
      </w:r>
      <w:r>
        <w:rPr>
          <w:rFonts w:ascii="Aptos" w:hAnsi="Aptos" w:eastAsia="Microsoft YaHei"/>
          <w:b w:val="0"/>
          <w:color w:val="18222C"/>
          <w:sz w:val="22"/>
        </w:rPr>
        <w:t>AI assistance supported drafting, formatting and consistency checking. I selected the modelling assumptions and policies, ran and inspected the simulations, checked the numerical outputs, evaluated the trade-offs and take responsibility for the final submission and presentation.</w:t>
      </w:r>
    </w:p>
    <w:p>
      <w:pPr>
        <w:keepNext/>
        <w:spacing w:before="80" w:after="100"/>
        <w:ind w:left="198" w:right="198"/>
        <w:shd w:fill="DCEEEF"/>
      </w:pPr>
      <w:r>
        <w:rPr>
          <w:rFonts w:ascii="Microsoft YaHei" w:hAnsi="Microsoft YaHei" w:eastAsia="Microsoft YaHei"/>
          <w:b/>
          <w:color w:val="17324D"/>
          <w:sz w:val="21"/>
        </w:rPr>
        <w:t>中文理解：</w:t>
      </w:r>
      <w:r>
        <w:rPr>
          <w:rFonts w:ascii="Microsoft YaHei" w:hAnsi="Microsoft YaHei" w:eastAsia="Microsoft YaHei"/>
          <w:b w:val="0"/>
          <w:color w:val="18222C"/>
          <w:sz w:val="21"/>
        </w:rPr>
        <w:t>简洁、真实、边界清楚。不要说 AI 独立完成模型或替你做决策；强调你进行了运行、检查和最终判断。</w:t>
      </w:r>
    </w:p>
    <w:p>
      <w:pPr>
        <w:pStyle w:val="Evidence"/>
        <w:keepLines/>
      </w:pPr>
      <w:r>
        <w:t>Evidence: Project workflow and the disclosure wording prepared for the presentation.</w:t>
      </w:r>
    </w:p>
    <w:sectPr w:rsidR="00FC693F" w:rsidRPr="0006063C" w:rsidSect="00034616">
      <w:headerReference w:type="default" r:id="rId9"/>
      <w:footerReference w:type="default" r:id="rId10"/>
      <w:pgSz w:w="11906" w:h="16838"/>
      <w:pgMar w:top="1134" w:right="1134" w:bottom="1134"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370"/>
      <w:gridCol w:w="2268"/>
    </w:tblGrid>
    <w:tr>
      <w:tc>
        <w:tcPr>
          <w:tcW w:type="dxa" w:w="4819"/>
          <w:vAlign w:val="center"/>
        </w:tcPr>
        <w:p>
          <w:pPr>
            <w:jc w:val="left"/>
          </w:pPr>
          <w:r>
            <w:rPr>
              <w:rFonts w:ascii="Aptos" w:hAnsi="Aptos" w:eastAsia="Microsoft YaHei"/>
              <w:b w:val="0"/>
              <w:color w:val="687783"/>
              <w:sz w:val="18"/>
            </w:rPr>
            <w:t>MATH6185 Q&amp;A Guide</w:t>
          </w:r>
        </w:p>
      </w:tc>
      <w:tc>
        <w:tcPr>
          <w:tcW w:type="dxa" w:w="4819"/>
          <w:vAlign w:val="center"/>
        </w:tcPr>
        <w:p>
          <w:pPr>
            <w:jc w:val="right"/>
          </w:pPr>
          <w:r>
            <w:rPr>
              <w:rFonts w:ascii="Aptos" w:hAnsi="Aptos" w:eastAsia="Microsoft YaHei"/>
              <w:b w:val="0"/>
              <w:color w:val="687783"/>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6" w:color="CDD7DC"/>
      </w:pBdr>
    </w:pPr>
    <w:r>
      <w:rPr>
        <w:rFonts w:ascii="Aptos" w:hAnsi="Aptos" w:eastAsia="Microsoft YaHei"/>
        <w:b/>
        <w:color w:val="687783"/>
        <w:sz w:val="18"/>
      </w:rPr>
      <w:t>MATH6185 | CASE STUDY 1 | zw1f25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Microsoft YaHei"/>
      <w:color w:val="18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7F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tednote">
    <w:name w:val="Muted note"/>
    <w:basedOn w:val="Normal"/>
    <w:pPr>
      <w:spacing w:before="60" w:after="100"/>
      <w:ind w:left="283"/>
    </w:pPr>
    <w:rPr>
      <w:rFonts w:ascii="Aptos" w:hAnsi="Aptos"/>
      <w:i/>
      <w:color w:val="687783"/>
      <w:sz w:val="20"/>
    </w:rPr>
  </w:style>
  <w:style w:type="paragraph" w:customStyle="1" w:styleId="Evidence">
    <w:name w:val="Evidence"/>
    <w:basedOn w:val="Normal"/>
    <w:pPr>
      <w:spacing w:before="60" w:after="240"/>
    </w:pPr>
    <w:rPr>
      <w:rFonts w:ascii="Aptos" w:hAnsi="Aptos"/>
      <w:i/>
      <w:color w:val="68778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MATH6185 Q&amp;A Guide</dc:title>
  <dc:subject>MATH6185 Case Study 1 oral presentation preparation</dc:subject>
  <dc:creator>zw1f25</dc:creator>
  <cp:keywords>MATH6185, simulation, oral presentation, zw1f25</cp:keywords>
  <dc:description>generated by python-docx</dc:description>
  <cp:lastModifiedBy/>
  <cp:revision>1</cp:revision>
  <dcterms:created xsi:type="dcterms:W3CDTF">2013-12-23T23:15:00Z</dcterms:created>
  <dcterms:modified xsi:type="dcterms:W3CDTF">2013-12-23T23:15:00Z</dcterms:modified>
  <cp:category/>
</cp:coreProperties>
</file>