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24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28.png" ContentType="image/png"/>
  <Override PartName="/word/media/rId31.png" ContentType="image/png"/>
  <Override PartName="/word/media/rId35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№4</w:t>
      </w:r>
      <w:r>
        <w:br/>
      </w:r>
      <w:r>
        <w:t xml:space="preserve">Компьютерный</w:t>
      </w:r>
      <w:r>
        <w:t xml:space="preserve"> </w:t>
      </w:r>
      <w:r>
        <w:t xml:space="preserve">практикум</w:t>
      </w:r>
      <w:r>
        <w:t xml:space="preserve"> </w:t>
      </w:r>
      <w:r>
        <w:t xml:space="preserve">по</w:t>
      </w:r>
      <w:r>
        <w:t xml:space="preserve"> </w:t>
      </w:r>
      <w:r>
        <w:t xml:space="preserve">статистическому</w:t>
      </w:r>
      <w:r>
        <w:t xml:space="preserve"> </w:t>
      </w:r>
      <w:r>
        <w:t xml:space="preserve">анализу</w:t>
      </w:r>
      <w:r>
        <w:t xml:space="preserve"> </w:t>
      </w:r>
      <w:r>
        <w:t xml:space="preserve">данных</w:t>
      </w:r>
    </w:p>
    <w:p>
      <w:pPr>
        <w:pStyle w:val="Subtitle"/>
      </w:pPr>
      <w:r>
        <w:t xml:space="preserve">Линейная</w:t>
      </w:r>
      <w:r>
        <w:t xml:space="preserve"> </w:t>
      </w:r>
      <w:r>
        <w:t xml:space="preserve">алгебра</w:t>
      </w:r>
    </w:p>
    <w:p>
      <w:pPr>
        <w:pStyle w:val="Author"/>
      </w:pPr>
      <w:r>
        <w:t xml:space="preserve">Выполнила:</w:t>
      </w:r>
      <w:r>
        <w:t xml:space="preserve"> </w:t>
      </w:r>
      <w:r>
        <w:t xml:space="preserve">Коннова</w:t>
      </w:r>
      <w:r>
        <w:t xml:space="preserve"> </w:t>
      </w:r>
      <w:r>
        <w:t xml:space="preserve">Татьяна,</w:t>
      </w:r>
      <w:r>
        <w:br/>
      </w:r>
      <w:r>
        <w:t xml:space="preserve">НПИбд-02-21,</w:t>
      </w:r>
      <w:r>
        <w:t xml:space="preserve"> </w:t>
      </w:r>
      <w:r>
        <w:t xml:space="preserve">1032211221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Основной целью работы является изучение возможностей специализированных пакетов Julia</w:t>
      </w:r>
      <w:r>
        <w:t xml:space="preserve"> </w:t>
      </w:r>
      <w:r>
        <w:t xml:space="preserve">для выполнения и оценки эффективности операций над объектами линейной алгебры.</w:t>
      </w:r>
    </w:p>
    <w:bookmarkEnd w:id="20"/>
    <w:bookmarkStart w:id="109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27" w:name="Xc28563639bee130e298f75fd93151139a0dd5dc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Поэлементные операции над многомерными массивами</w:t>
      </w:r>
    </w:p>
    <w:p>
      <w:pPr>
        <w:pStyle w:val="FirstParagraph"/>
      </w:pPr>
      <w:r>
        <w:t xml:space="preserve">Для матрицы 4 × 3 рассмотрим поэлементные операции сложения и произведения её элементов (рис. 1):</w:t>
      </w:r>
    </w:p>
    <w:p>
      <w:pPr>
        <w:pStyle w:val="CaptionedFigure"/>
      </w:pPr>
      <w:r>
        <w:drawing>
          <wp:inline>
            <wp:extent cx="5334000" cy="5413513"/>
            <wp:effectExtent b="0" l="0" r="0" t="0"/>
            <wp:docPr descr="Поэлементные операции сложения и произведения элементов матриц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3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Поэлементные операции сложения и произведения элементов матрицы</w:t>
      </w:r>
    </w:p>
    <w:p>
      <w:pPr>
        <w:pStyle w:val="BodyText"/>
      </w:pPr>
      <w:r>
        <w:t xml:space="preserve">Для работы со средними значениями можно воспользоваться возможностями пакета Statistics (рис. 2):</w:t>
      </w:r>
    </w:p>
    <w:p>
      <w:pPr>
        <w:pStyle w:val="CaptionedFigure"/>
      </w:pPr>
      <w:r>
        <w:drawing>
          <wp:inline>
            <wp:extent cx="5334000" cy="2714580"/>
            <wp:effectExtent b="0" l="0" r="0" t="0"/>
            <wp:docPr descr="Использование возможностей пакета Statistics для работы со средними значениями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Использование возможностей пакета Statistics для работы со средними значениями</w:t>
      </w:r>
    </w:p>
    <w:bookmarkEnd w:id="27"/>
    <w:bookmarkStart w:id="34" w:name="Xe71a3b7cf23fde2857c4c69b12515f71438b9aa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Транспонирование, след, ранг, определитель и инверсия матрицы</w:t>
      </w:r>
    </w:p>
    <w:p>
      <w:pPr>
        <w:pStyle w:val="FirstParagraph"/>
      </w:pPr>
      <w:r>
        <w:t xml:space="preserve">Для выполнения таких операций над матрицами, как транспонирование, диагонализация, определение следа, ранга, определителя</w:t>
      </w:r>
      <w:r>
        <w:t xml:space="preserve"> </w:t>
      </w:r>
      <w:r>
        <w:t xml:space="preserve">матрицы и т.п. можно воспользоваться библиотекой (пакетом) LinearAlgebra (рис. 3 - рис. 4):</w:t>
      </w:r>
    </w:p>
    <w:p>
      <w:pPr>
        <w:pStyle w:val="CaptionedFigure"/>
      </w:pPr>
      <w:r>
        <w:drawing>
          <wp:inline>
            <wp:extent cx="5334000" cy="4430049"/>
            <wp:effectExtent b="0" l="0" r="0" t="0"/>
            <wp:docPr descr="Использование библиотеки LinearAlgebra для выполнения определённых операций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0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Использование библиотеки LinearAlgebra для выполнения определённых операций</w:t>
      </w:r>
    </w:p>
    <w:p>
      <w:pPr>
        <w:pStyle w:val="CaptionedFigure"/>
      </w:pPr>
      <w:r>
        <w:drawing>
          <wp:inline>
            <wp:extent cx="4356847" cy="3611495"/>
            <wp:effectExtent b="0" l="0" r="0" t="0"/>
            <wp:docPr descr="Использование библиотеки LinearAlgebra для выполнения определённых операций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847" cy="3611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Использование библиотеки LinearAlgebra для выполнения определённых операций</w:t>
      </w:r>
    </w:p>
    <w:bookmarkEnd w:id="34"/>
    <w:bookmarkStart w:id="41" w:name="Xd91d5cc23a5b4c7dd0e00c3f37738f394a8e13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Вычисление нормы векторов и матриц, повороты, вращения</w:t>
      </w:r>
    </w:p>
    <w:p>
      <w:pPr>
        <w:pStyle w:val="FirstParagraph"/>
      </w:pPr>
      <w:r>
        <w:t xml:space="preserve">Для вычисления нормы используется LinearAlgebra.norm(x) (рис. 5):</w:t>
      </w:r>
    </w:p>
    <w:p>
      <w:pPr>
        <w:pStyle w:val="CaptionedFigure"/>
      </w:pPr>
      <w:r>
        <w:drawing>
          <wp:inline>
            <wp:extent cx="5334000" cy="4659663"/>
            <wp:effectExtent b="0" l="0" r="0" t="0"/>
            <wp:docPr descr="Использование LinearAlgebra.norm(x)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Использование LinearAlgebra.norm(x)</w:t>
      </w:r>
    </w:p>
    <w:p>
      <w:pPr>
        <w:pStyle w:val="BodyText"/>
      </w:pPr>
      <w:r>
        <w:t xml:space="preserve">Вычислим нормы для двумерной матрицы (рис. 6):</w:t>
      </w:r>
    </w:p>
    <w:p>
      <w:pPr>
        <w:pStyle w:val="CaptionedFigure"/>
      </w:pPr>
      <w:r>
        <w:drawing>
          <wp:inline>
            <wp:extent cx="5225142" cy="5955126"/>
            <wp:effectExtent b="0" l="0" r="0" t="0"/>
            <wp:docPr descr="Вычисление нормы для двумерной матрицы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142" cy="59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Вычисление нормы для двумерной матрицы</w:t>
      </w:r>
    </w:p>
    <w:bookmarkEnd w:id="41"/>
    <w:bookmarkStart w:id="45" w:name="X5c7ba8ea9205f78450384725fbd8ae04a8a085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Матричное умножение, единичная матрица, скалярное произведение</w:t>
      </w:r>
    </w:p>
    <w:p>
      <w:pPr>
        <w:pStyle w:val="FirstParagraph"/>
      </w:pPr>
      <w:r>
        <w:t xml:space="preserve">Выполним примеры матричного умножения, единичной матрицы и скалярного произведения (рис. 7):</w:t>
      </w:r>
    </w:p>
    <w:p>
      <w:pPr>
        <w:pStyle w:val="CaptionedFigure"/>
      </w:pPr>
      <w:r>
        <w:drawing>
          <wp:inline>
            <wp:extent cx="5334000" cy="4998569"/>
            <wp:effectExtent b="0" l="0" r="0" t="0"/>
            <wp:docPr descr="Примеры матричного умножения, единичной матрицы и скалярного произведения" title="" id="43" name="Picture"/>
            <a:graphic>
              <a:graphicData uri="http://schemas.openxmlformats.org/drawingml/2006/picture">
                <pic:pic>
                  <pic:nvPicPr>
                    <pic:cNvPr descr="image/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8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Примеры матричного умножения, единичной матрицы и скалярного произведения</w:t>
      </w:r>
    </w:p>
    <w:bookmarkEnd w:id="45"/>
    <w:bookmarkStart w:id="76" w:name="Xc1b05fa6b627f0a61977718129e6f3db9a4d06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Факторизация. Специальные матричные структуры</w:t>
      </w:r>
    </w:p>
    <w:p>
      <w:pPr>
        <w:pStyle w:val="FirstParagraph"/>
      </w:pPr>
      <w:r>
        <w:t xml:space="preserve">Рассмотрим несколько примеров. Для работы со специальными матричными структурами потребуется</w:t>
      </w:r>
      <w:r>
        <w:t xml:space="preserve"> </w:t>
      </w:r>
      <w:r>
        <w:t xml:space="preserve">пакет LinearAlgebra.</w:t>
      </w:r>
    </w:p>
    <w:p>
      <w:pPr>
        <w:pStyle w:val="BodyText"/>
      </w:pPr>
      <w:r>
        <w:t xml:space="preserve">Решение систем линейный алгебраических уравнений Ax = b (рис. 8):</w:t>
      </w:r>
    </w:p>
    <w:p>
      <w:pPr>
        <w:pStyle w:val="CaptionedFigure"/>
      </w:pPr>
      <w:r>
        <w:drawing>
          <wp:inline>
            <wp:extent cx="5334000" cy="4248999"/>
            <wp:effectExtent b="0" l="0" r="0" t="0"/>
            <wp:docPr descr="Решение систем линейный алгебраических уравнений Ax = b" title="" id="47" name="Picture"/>
            <a:graphic>
              <a:graphicData uri="http://schemas.openxmlformats.org/drawingml/2006/picture">
                <pic:pic>
                  <pic:nvPicPr>
                    <pic:cNvPr descr="image/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8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Решение систем линейный алгебраических уравнений Ax = b</w:t>
      </w:r>
    </w:p>
    <w:p>
      <w:pPr>
        <w:pStyle w:val="BodyText"/>
      </w:pPr>
      <w:r>
        <w:t xml:space="preserve">Julia позволяет вычислять LU-факторизацию и определяет составной тип факторизации</w:t>
      </w:r>
      <w:r>
        <w:t xml:space="preserve"> </w:t>
      </w:r>
      <w:r>
        <w:t xml:space="preserve">для его хранения (рис. 9):</w:t>
      </w:r>
    </w:p>
    <w:p>
      <w:pPr>
        <w:pStyle w:val="CaptionedFigure"/>
      </w:pPr>
      <w:r>
        <w:drawing>
          <wp:inline>
            <wp:extent cx="5334000" cy="4384195"/>
            <wp:effectExtent b="0" l="0" r="0" t="0"/>
            <wp:docPr descr="Пример вычисления LU-факторизации и определение составного типа факторизации для его хранения" title="" id="50" name="Picture"/>
            <a:graphic>
              <a:graphicData uri="http://schemas.openxmlformats.org/drawingml/2006/picture">
                <pic:pic>
                  <pic:nvPicPr>
                    <pic:cNvPr descr="image/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4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Пример вычисления LU-факторизации и определение составного типа факторизации для его хранения</w:t>
      </w:r>
    </w:p>
    <w:p>
      <w:pPr>
        <w:pStyle w:val="BodyText"/>
      </w:pPr>
      <w:r>
        <w:t xml:space="preserve">Исходная система уравнений Ax = b может быть решена или с использованием</w:t>
      </w:r>
      <w:r>
        <w:t xml:space="preserve"> </w:t>
      </w:r>
      <w:r>
        <w:t xml:space="preserve">исходной матрицы, или с использованием объекта факторизации (рис. 10):</w:t>
      </w:r>
    </w:p>
    <w:p>
      <w:pPr>
        <w:pStyle w:val="CaptionedFigure"/>
      </w:pPr>
      <w:r>
        <w:drawing>
          <wp:inline>
            <wp:extent cx="5334000" cy="1965157"/>
            <wp:effectExtent b="0" l="0" r="0" t="0"/>
            <wp:docPr descr="Пример решения с использованием исходной матрицы и с использованием объекта факторизации" title="" id="53" name="Picture"/>
            <a:graphic>
              <a:graphicData uri="http://schemas.openxmlformats.org/drawingml/2006/picture">
                <pic:pic>
                  <pic:nvPicPr>
                    <pic:cNvPr descr="image/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Пример решения с использованием исходной матрицы и с использованием объекта факторизации</w:t>
      </w:r>
    </w:p>
    <w:p>
      <w:pPr>
        <w:pStyle w:val="BodyText"/>
      </w:pPr>
      <w:r>
        <w:t xml:space="preserve">Julia позволяет вычислять QR-факторизацию и определяет составной тип факторизации для его хранения (рис. 11):</w:t>
      </w:r>
    </w:p>
    <w:p>
      <w:pPr>
        <w:pStyle w:val="CaptionedFigure"/>
      </w:pPr>
      <w:r>
        <w:drawing>
          <wp:inline>
            <wp:extent cx="5334000" cy="3113729"/>
            <wp:effectExtent b="0" l="0" r="0" t="0"/>
            <wp:docPr descr="Пример вычисления QR-факторизации и определение составного типа факторизации для его хранения" title="" id="56" name="Picture"/>
            <a:graphic>
              <a:graphicData uri="http://schemas.openxmlformats.org/drawingml/2006/picture">
                <pic:pic>
                  <pic:nvPicPr>
                    <pic:cNvPr descr="image/1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3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Пример вычисления QR-факторизации и определение составного типа факторизации для его хранения</w:t>
      </w:r>
    </w:p>
    <w:p>
      <w:pPr>
        <w:pStyle w:val="BodyText"/>
      </w:pPr>
      <w:r>
        <w:t xml:space="preserve">Примеры собственной декомпозиции матрицы A (рис. 12):</w:t>
      </w:r>
    </w:p>
    <w:p>
      <w:pPr>
        <w:pStyle w:val="CaptionedFigure"/>
      </w:pPr>
      <w:r>
        <w:drawing>
          <wp:inline>
            <wp:extent cx="5334000" cy="5042524"/>
            <wp:effectExtent b="0" l="0" r="0" t="0"/>
            <wp:docPr descr="Примеры собственной декомпозиции матрицы A" title="" id="59" name="Picture"/>
            <a:graphic>
              <a:graphicData uri="http://schemas.openxmlformats.org/drawingml/2006/picture">
                <pic:pic>
                  <pic:nvPicPr>
                    <pic:cNvPr descr="image/12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2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Примеры собственной декомпозиции матрицы A</w:t>
      </w:r>
    </w:p>
    <w:p>
      <w:pPr>
        <w:pStyle w:val="BodyText"/>
      </w:pPr>
      <w:r>
        <w:t xml:space="preserve">Далее рассмотрим примеры работы с матрицами большой размерности и специальной структуры (рис. 13):</w:t>
      </w:r>
    </w:p>
    <w:p>
      <w:pPr>
        <w:pStyle w:val="CaptionedFigure"/>
      </w:pPr>
      <w:r>
        <w:drawing>
          <wp:inline>
            <wp:extent cx="5334000" cy="5195992"/>
            <wp:effectExtent b="0" l="0" r="0" t="0"/>
            <wp:docPr descr="Примеры работы с матрицами большой размерности и специальной структуры" title="" id="62" name="Picture"/>
            <a:graphic>
              <a:graphicData uri="http://schemas.openxmlformats.org/drawingml/2006/picture">
                <pic:pic>
                  <pic:nvPicPr>
                    <pic:cNvPr descr="image/1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5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Примеры работы с матрицами большой размерности и специальной структуры</w:t>
      </w:r>
    </w:p>
    <w:p>
      <w:pPr>
        <w:pStyle w:val="BodyText"/>
      </w:pPr>
      <w:r>
        <w:t xml:space="preserve">Пример добавления шума в симметричную матрицу (матрица уже не будет симметричной) (рис. 14):</w:t>
      </w:r>
    </w:p>
    <w:p>
      <w:pPr>
        <w:pStyle w:val="CaptionedFigure"/>
      </w:pPr>
      <w:r>
        <w:drawing>
          <wp:inline>
            <wp:extent cx="5334000" cy="1366646"/>
            <wp:effectExtent b="0" l="0" r="0" t="0"/>
            <wp:docPr descr="Пример добавления шума в симметричную матрицу" title="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6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Пример добавления шума в симметричную матрицу</w:t>
      </w:r>
    </w:p>
    <w:p>
      <w:pPr>
        <w:pStyle w:val="BodyText"/>
      </w:pPr>
      <w:r>
        <w:t xml:space="preserve">В Julia можно объявить структуру матрица явно, например, используя Diagonal, Triangular,</w:t>
      </w:r>
      <w:r>
        <w:t xml:space="preserve"> </w:t>
      </w:r>
      <w:r>
        <w:t xml:space="preserve">Symmetric, Hermitian, Tridiagonal и SymTridiagonal (рис. 15):</w:t>
      </w:r>
    </w:p>
    <w:p>
      <w:pPr>
        <w:pStyle w:val="CaptionedFigure"/>
      </w:pPr>
      <w:r>
        <w:drawing>
          <wp:inline>
            <wp:extent cx="5334000" cy="2301826"/>
            <wp:effectExtent b="0" l="0" r="0" t="0"/>
            <wp:docPr descr="Пример явного объявления структуры матрицы" title="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Пример явного объявления структуры матрицы</w:t>
      </w:r>
    </w:p>
    <w:p>
      <w:pPr>
        <w:pStyle w:val="BodyText"/>
      </w:pPr>
      <w:r>
        <w:t xml:space="preserve">Далее для оценки эффективности выполнения операций над матрицами большой размерности и специальной</w:t>
      </w:r>
      <w:r>
        <w:t xml:space="preserve"> </w:t>
      </w:r>
      <w:r>
        <w:t xml:space="preserve">структуры воспользуемся пакетом BenchmarkTools (рис. 16):</w:t>
      </w:r>
    </w:p>
    <w:p>
      <w:pPr>
        <w:pStyle w:val="CaptionedFigure"/>
      </w:pPr>
      <w:r>
        <w:drawing>
          <wp:inline>
            <wp:extent cx="5334000" cy="1618797"/>
            <wp:effectExtent b="0" l="0" r="0" t="0"/>
            <wp:docPr descr="Использование пакета BenchmarkTools" title="" id="71" name="Picture"/>
            <a:graphic>
              <a:graphicData uri="http://schemas.openxmlformats.org/drawingml/2006/picture">
                <pic:pic>
                  <pic:nvPicPr>
                    <pic:cNvPr descr="image/1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8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Использование пакета BenchmarkTools</w:t>
      </w:r>
    </w:p>
    <w:p>
      <w:pPr>
        <w:pStyle w:val="BodyText"/>
      </w:pPr>
      <w:r>
        <w:t xml:space="preserve">Далее рассмотрим примеры работы с разряженными матрицами большой размерности.</w:t>
      </w:r>
    </w:p>
    <w:p>
      <w:pPr>
        <w:pStyle w:val="BodyText"/>
      </w:pPr>
      <w:r>
        <w:t xml:space="preserve">Использование типов Tridiagonal и SymTridiagonal для хранения трёхдиагональных матриц позволяет</w:t>
      </w:r>
      <w:r>
        <w:t xml:space="preserve"> </w:t>
      </w:r>
      <w:r>
        <w:t xml:space="preserve">работать с потенциально очень большими трёхдиагональными матрицами (рис. 17):</w:t>
      </w:r>
    </w:p>
    <w:p>
      <w:pPr>
        <w:pStyle w:val="CaptionedFigure"/>
      </w:pPr>
      <w:r>
        <w:drawing>
          <wp:inline>
            <wp:extent cx="5334000" cy="2807995"/>
            <wp:effectExtent b="0" l="0" r="0" t="0"/>
            <wp:docPr descr="Примеры работы с разряженными матрицами большой размерности" title="" id="74" name="Picture"/>
            <a:graphic>
              <a:graphicData uri="http://schemas.openxmlformats.org/drawingml/2006/picture">
                <pic:pic>
                  <pic:nvPicPr>
                    <pic:cNvPr descr="image/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Примеры работы с разряженными матрицами большой размерности</w:t>
      </w:r>
    </w:p>
    <w:bookmarkEnd w:id="76"/>
    <w:bookmarkStart w:id="80" w:name="общая-линейная-алгебра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Общая линейная алгебра</w:t>
      </w:r>
    </w:p>
    <w:p>
      <w:pPr>
        <w:pStyle w:val="FirstParagraph"/>
      </w:pPr>
      <w:r>
        <w:t xml:space="preserve">В примере показано, как можно решить систему линейных уравнений с рациональными элементами</w:t>
      </w:r>
      <w:r>
        <w:t xml:space="preserve"> </w:t>
      </w:r>
      <w:r>
        <w:t xml:space="preserve">без преобразования в типы элементов с плавающей запятой (для избежания проблемы с переполнением используем BigInt) (рис. 18):</w:t>
      </w:r>
    </w:p>
    <w:p>
      <w:pPr>
        <w:pStyle w:val="CaptionedFigure"/>
      </w:pPr>
      <w:r>
        <w:drawing>
          <wp:inline>
            <wp:extent cx="5334000" cy="4595841"/>
            <wp:effectExtent b="0" l="0" r="0" t="0"/>
            <wp:docPr descr="Решение системы линейных уравнений с рациональными элементами без преобразования в типы элементов с плавающей запятой" title="" id="78" name="Picture"/>
            <a:graphic>
              <a:graphicData uri="http://schemas.openxmlformats.org/drawingml/2006/picture">
                <pic:pic>
                  <pic:nvPicPr>
                    <pic:cNvPr descr="image/18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5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Решение системы линейных уравнений с рациональными элементами без преобразования в типы элементов с плавающей запятой</w:t>
      </w:r>
    </w:p>
    <w:bookmarkEnd w:id="80"/>
    <w:bookmarkStart w:id="108" w:name="самостоятельная-работа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Самостоятельная работа</w:t>
      </w:r>
    </w:p>
    <w:p>
      <w:pPr>
        <w:pStyle w:val="FirstParagraph"/>
      </w:pPr>
      <w:r>
        <w:t xml:space="preserve">Выполнение задания</w:t>
      </w:r>
      <w:r>
        <w:t xml:space="preserve"> </w:t>
      </w:r>
      <w:r>
        <w:t xml:space="preserve">“</w:t>
      </w:r>
      <w:r>
        <w:t xml:space="preserve">Произведение векторов</w:t>
      </w:r>
      <w:r>
        <w:t xml:space="preserve">”</w:t>
      </w:r>
      <w:r>
        <w:t xml:space="preserve"> </w:t>
      </w:r>
      <w:r>
        <w:t xml:space="preserve">(рис. 19):</w:t>
      </w:r>
    </w:p>
    <w:p>
      <w:pPr>
        <w:pStyle w:val="CaptionedFigure"/>
      </w:pPr>
      <w:r>
        <w:drawing>
          <wp:inline>
            <wp:extent cx="5334000" cy="2367063"/>
            <wp:effectExtent b="0" l="0" r="0" t="0"/>
            <wp:docPr descr="Решение задания “Произведение векторов”" title="" id="82" name="Picture"/>
            <a:graphic>
              <a:graphicData uri="http://schemas.openxmlformats.org/drawingml/2006/picture">
                <pic:pic>
                  <pic:nvPicPr>
                    <pic:cNvPr descr="image/19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Решение задания</w:t>
      </w:r>
      <w:r>
        <w:t xml:space="preserve"> </w:t>
      </w:r>
      <w:r>
        <w:t xml:space="preserve">“</w:t>
      </w:r>
      <w:r>
        <w:t xml:space="preserve">Произведение векторов</w:t>
      </w:r>
      <w:r>
        <w:t xml:space="preserve">”</w:t>
      </w:r>
    </w:p>
    <w:p>
      <w:pPr>
        <w:pStyle w:val="BodyText"/>
      </w:pPr>
      <w:r>
        <w:t xml:space="preserve">Выполнение задания</w:t>
      </w:r>
      <w:r>
        <w:t xml:space="preserve"> </w:t>
      </w:r>
      <w:r>
        <w:t xml:space="preserve">“</w:t>
      </w:r>
      <w:r>
        <w:t xml:space="preserve">Системы линейных уравнений</w:t>
      </w:r>
      <w:r>
        <w:t xml:space="preserve">”</w:t>
      </w:r>
      <w:r>
        <w:t xml:space="preserve"> </w:t>
      </w:r>
      <w:r>
        <w:t xml:space="preserve">(рис. 20 - рис. 21):</w:t>
      </w:r>
    </w:p>
    <w:p>
      <w:pPr>
        <w:pStyle w:val="CaptionedFigure"/>
      </w:pPr>
      <w:r>
        <w:drawing>
          <wp:inline>
            <wp:extent cx="5334000" cy="4183318"/>
            <wp:effectExtent b="0" l="0" r="0" t="0"/>
            <wp:docPr descr="Решение задания “Системы линейных уравнений”" title="" id="85" name="Picture"/>
            <a:graphic>
              <a:graphicData uri="http://schemas.openxmlformats.org/drawingml/2006/picture">
                <pic:pic>
                  <pic:nvPicPr>
                    <pic:cNvPr descr="image/20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3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Решение задания</w:t>
      </w:r>
      <w:r>
        <w:t xml:space="preserve"> </w:t>
      </w:r>
      <w:r>
        <w:t xml:space="preserve">“</w:t>
      </w:r>
      <w:r>
        <w:t xml:space="preserve">Системы линейных уравнений</w:t>
      </w:r>
      <w:r>
        <w:t xml:space="preserve">”</w:t>
      </w:r>
    </w:p>
    <w:p>
      <w:pPr>
        <w:pStyle w:val="CaptionedFigure"/>
      </w:pPr>
      <w:r>
        <w:drawing>
          <wp:inline>
            <wp:extent cx="5334000" cy="4397680"/>
            <wp:effectExtent b="0" l="0" r="0" t="0"/>
            <wp:docPr descr="Решение задания “Системы линейных уравнений”" title="" id="88" name="Picture"/>
            <a:graphic>
              <a:graphicData uri="http://schemas.openxmlformats.org/drawingml/2006/picture">
                <pic:pic>
                  <pic:nvPicPr>
                    <pic:cNvPr descr="image/2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7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Решение задания</w:t>
      </w:r>
      <w:r>
        <w:t xml:space="preserve"> </w:t>
      </w:r>
      <w:r>
        <w:t xml:space="preserve">“</w:t>
      </w:r>
      <w:r>
        <w:t xml:space="preserve">Системы линейных уравнений</w:t>
      </w:r>
      <w:r>
        <w:t xml:space="preserve">”</w:t>
      </w:r>
    </w:p>
    <w:p>
      <w:pPr>
        <w:pStyle w:val="BodyText"/>
      </w:pPr>
      <w:r>
        <w:t xml:space="preserve">Выполнение задания</w:t>
      </w:r>
      <w:r>
        <w:t xml:space="preserve"> </w:t>
      </w:r>
      <w:r>
        <w:t xml:space="preserve">“</w:t>
      </w:r>
      <w:r>
        <w:t xml:space="preserve">Операции с матрицами</w:t>
      </w:r>
      <w:r>
        <w:t xml:space="preserve">”</w:t>
      </w:r>
      <w:r>
        <w:t xml:space="preserve"> </w:t>
      </w:r>
      <w:r>
        <w:t xml:space="preserve">(рис. 22 - рис. 26):</w:t>
      </w:r>
    </w:p>
    <w:p>
      <w:pPr>
        <w:pStyle w:val="CaptionedFigure"/>
      </w:pPr>
      <w:r>
        <w:drawing>
          <wp:inline>
            <wp:extent cx="5334000" cy="3608775"/>
            <wp:effectExtent b="0" l="0" r="0" t="0"/>
            <wp:docPr descr="Решение задания “Операции с матрицами”" title="" id="91" name="Picture"/>
            <a:graphic>
              <a:graphicData uri="http://schemas.openxmlformats.org/drawingml/2006/picture">
                <pic:pic>
                  <pic:nvPicPr>
                    <pic:cNvPr descr="image/2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8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Решение задания</w:t>
      </w:r>
      <w:r>
        <w:t xml:space="preserve"> </w:t>
      </w:r>
      <w:r>
        <w:t xml:space="preserve">“</w:t>
      </w:r>
      <w:r>
        <w:t xml:space="preserve">Операции с матрицами</w:t>
      </w:r>
      <w:r>
        <w:t xml:space="preserve">”</w:t>
      </w:r>
    </w:p>
    <w:p>
      <w:pPr>
        <w:pStyle w:val="CaptionedFigure"/>
      </w:pPr>
      <w:r>
        <w:drawing>
          <wp:inline>
            <wp:extent cx="5334000" cy="2096994"/>
            <wp:effectExtent b="0" l="0" r="0" t="0"/>
            <wp:docPr descr="Решение задания “Операции с матрицами”" title="" id="94" name="Picture"/>
            <a:graphic>
              <a:graphicData uri="http://schemas.openxmlformats.org/drawingml/2006/picture">
                <pic:pic>
                  <pic:nvPicPr>
                    <pic:cNvPr descr="image/23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Решение задания</w:t>
      </w:r>
      <w:r>
        <w:t xml:space="preserve"> </w:t>
      </w:r>
      <w:r>
        <w:t xml:space="preserve">“</w:t>
      </w:r>
      <w:r>
        <w:t xml:space="preserve">Операции с матрицами</w:t>
      </w:r>
      <w:r>
        <w:t xml:space="preserve">”</w:t>
      </w:r>
    </w:p>
    <w:p>
      <w:pPr>
        <w:pStyle w:val="CaptionedFigure"/>
      </w:pPr>
      <w:r>
        <w:drawing>
          <wp:inline>
            <wp:extent cx="5334000" cy="3645691"/>
            <wp:effectExtent b="0" l="0" r="0" t="0"/>
            <wp:docPr descr="Решение задания “Операции с матрицами”" title="" id="97" name="Picture"/>
            <a:graphic>
              <a:graphicData uri="http://schemas.openxmlformats.org/drawingml/2006/picture">
                <pic:pic>
                  <pic:nvPicPr>
                    <pic:cNvPr descr="image/2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Решение задания</w:t>
      </w:r>
      <w:r>
        <w:t xml:space="preserve"> </w:t>
      </w:r>
      <w:r>
        <w:t xml:space="preserve">“</w:t>
      </w:r>
      <w:r>
        <w:t xml:space="preserve">Операции с матрицами</w:t>
      </w:r>
      <w:r>
        <w:t xml:space="preserve">”</w:t>
      </w:r>
    </w:p>
    <w:p>
      <w:pPr>
        <w:pStyle w:val="CaptionedFigure"/>
      </w:pPr>
      <w:r>
        <w:drawing>
          <wp:inline>
            <wp:extent cx="5334000" cy="2315681"/>
            <wp:effectExtent b="0" l="0" r="0" t="0"/>
            <wp:docPr descr="Решение задания “Операции с матрицами”" title="" id="100" name="Picture"/>
            <a:graphic>
              <a:graphicData uri="http://schemas.openxmlformats.org/drawingml/2006/picture">
                <pic:pic>
                  <pic:nvPicPr>
                    <pic:cNvPr descr="image/25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Решение задания</w:t>
      </w:r>
      <w:r>
        <w:t xml:space="preserve"> </w:t>
      </w:r>
      <w:r>
        <w:t xml:space="preserve">“</w:t>
      </w:r>
      <w:r>
        <w:t xml:space="preserve">Операции с матрицами</w:t>
      </w:r>
      <w:r>
        <w:t xml:space="preserve">”</w:t>
      </w:r>
    </w:p>
    <w:p>
      <w:pPr>
        <w:pStyle w:val="CaptionedFigure"/>
      </w:pPr>
      <w:r>
        <w:drawing>
          <wp:inline>
            <wp:extent cx="5334000" cy="3470826"/>
            <wp:effectExtent b="0" l="0" r="0" t="0"/>
            <wp:docPr descr="Решение задания “Операции с матрицами”" title="" id="103" name="Picture"/>
            <a:graphic>
              <a:graphicData uri="http://schemas.openxmlformats.org/drawingml/2006/picture">
                <pic:pic>
                  <pic:nvPicPr>
                    <pic:cNvPr descr="image/2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Решение задания</w:t>
      </w:r>
      <w:r>
        <w:t xml:space="preserve"> </w:t>
      </w:r>
      <w:r>
        <w:t xml:space="preserve">“</w:t>
      </w:r>
      <w:r>
        <w:t xml:space="preserve">Операции с матрицами</w:t>
      </w:r>
      <w:r>
        <w:t xml:space="preserve">”</w:t>
      </w:r>
    </w:p>
    <w:p>
      <w:pPr>
        <w:pStyle w:val="BodyText"/>
      </w:pPr>
      <w:r>
        <w:t xml:space="preserve">Выполнение задания</w:t>
      </w:r>
      <w:r>
        <w:t xml:space="preserve"> </w:t>
      </w:r>
      <w:r>
        <w:t xml:space="preserve">“</w:t>
      </w:r>
      <w:r>
        <w:t xml:space="preserve">Линейные модели экономики</w:t>
      </w:r>
      <w:r>
        <w:t xml:space="preserve">”</w:t>
      </w:r>
      <w:r>
        <w:t xml:space="preserve"> </w:t>
      </w:r>
      <w:r>
        <w:t xml:space="preserve">(рис. 27):</w:t>
      </w:r>
    </w:p>
    <w:p>
      <w:pPr>
        <w:pStyle w:val="CaptionedFigure"/>
      </w:pPr>
      <w:r>
        <w:drawing>
          <wp:inline>
            <wp:extent cx="5334000" cy="3309766"/>
            <wp:effectExtent b="0" l="0" r="0" t="0"/>
            <wp:docPr descr="Решение задания “Линейные модели экономики”" title="" id="106" name="Picture"/>
            <a:graphic>
              <a:graphicData uri="http://schemas.openxmlformats.org/drawingml/2006/picture">
                <pic:pic>
                  <pic:nvPicPr>
                    <pic:cNvPr descr="image/2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9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Решение задания</w:t>
      </w:r>
      <w:r>
        <w:t xml:space="preserve"> </w:t>
      </w:r>
      <w:r>
        <w:t xml:space="preserve">“</w:t>
      </w:r>
      <w:r>
        <w:t xml:space="preserve">Линейные модели экономики</w:t>
      </w:r>
      <w:r>
        <w:t xml:space="preserve">”</w:t>
      </w:r>
    </w:p>
    <w:bookmarkEnd w:id="108"/>
    <w:bookmarkEnd w:id="109"/>
    <w:bookmarkStart w:id="110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возможности специализированных пакетов Julia</w:t>
      </w:r>
      <w:r>
        <w:t xml:space="preserve"> </w:t>
      </w:r>
      <w:r>
        <w:t xml:space="preserve">для выполнения и оценки эффективности операций над объектами линейной алгебры.</w:t>
      </w:r>
    </w:p>
    <w:bookmarkEnd w:id="110"/>
    <w:bookmarkStart w:id="111" w:name="список-литературы.-библиография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Список литературы. Библиография</w:t>
      </w:r>
    </w:p>
    <w:p>
      <w:pPr>
        <w:pStyle w:val="FirstParagraph"/>
      </w:pPr>
      <w:r>
        <w:t xml:space="preserve">[1] Julia Documentation: https://docs.julialang.org/en/v1/</w:t>
      </w:r>
    </w:p>
    <w:bookmarkEnd w:id="1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24" Target="media/rId24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 Компьютерный практикум по статистическому анализу данных</dc:title>
  <dc:creator>Выполнила: Коннова Татьяна, НПИбд-02-21, 1032211221</dc:creator>
  <dc:language>ru-RU</dc:language>
  <cp:keywords/>
  <dcterms:created xsi:type="dcterms:W3CDTF">2025-10-25T20:47:35Z</dcterms:created>
  <dcterms:modified xsi:type="dcterms:W3CDTF">2025-10-25T20:47:35Z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ItemTemplate">
    <vt:lpwstr>lotItemTitleilistItemTitleDelimt </vt:lpwstr>
  </property>
  <property fmtid="{D5CDD505-2E9C-101B-9397-08002B2CF9AE}" pid="52" name="lotItemTitle">
    <vt:lpwstr/>
  </property>
  <property fmtid="{D5CDD505-2E9C-101B-9397-08002B2CF9AE}" pid="53" name="lotTitle">
    <vt:lpwstr>List of Tables</vt:lpwstr>
  </property>
  <property fmtid="{D5CDD505-2E9C-101B-9397-08002B2CF9AE}" pid="54" name="lstLabels">
    <vt:lpwstr>arabic</vt:lpwstr>
  </property>
  <property fmtid="{D5CDD505-2E9C-101B-9397-08002B2CF9AE}" pid="55" name="lstPrefix">
    <vt:lpwstr/>
  </property>
  <property fmtid="{D5CDD505-2E9C-101B-9397-08002B2CF9AE}" pid="56" name="lstPrefixTemplate">
    <vt:lpwstr>p i</vt:lpwstr>
  </property>
  <property fmtid="{D5CDD505-2E9C-101B-9397-08002B2CF9AE}" pid="57" name="mainfont">
    <vt:lpwstr>PT Serif</vt:lpwstr>
  </property>
  <property fmtid="{D5CDD505-2E9C-101B-9397-08002B2CF9AE}" pid="58" name="mainfontoptions">
    <vt:lpwstr>Ligatures=TeX</vt:lpwstr>
  </property>
  <property fmtid="{D5CDD505-2E9C-101B-9397-08002B2CF9AE}" pid="59" name="monofont">
    <vt:lpwstr>PT Mono</vt:lpwstr>
  </property>
  <property fmtid="{D5CDD505-2E9C-101B-9397-08002B2CF9AE}" pid="60" name="monofontoptions">
    <vt:lpwstr>Scale=MatchLowercase,Scale=0.9</vt:lpwstr>
  </property>
  <property fmtid="{D5CDD505-2E9C-101B-9397-08002B2CF9AE}" pid="61" name="nameInLink">
    <vt:lpwstr>False</vt:lpwstr>
  </property>
  <property fmtid="{D5CDD505-2E9C-101B-9397-08002B2CF9AE}" pid="62" name="numberSections">
    <vt:lpwstr>False</vt:lpwstr>
  </property>
  <property fmtid="{D5CDD505-2E9C-101B-9397-08002B2CF9AE}" pid="63" name="pairDelim">
    <vt:lpwstr>, </vt:lpwstr>
  </property>
  <property fmtid="{D5CDD505-2E9C-101B-9397-08002B2CF9AE}" pid="64" name="papersize">
    <vt:lpwstr>a4</vt:lpwstr>
  </property>
  <property fmtid="{D5CDD505-2E9C-101B-9397-08002B2CF9AE}" pid="65" name="polyglossia-lang">
    <vt:lpwstr/>
  </property>
  <property fmtid="{D5CDD505-2E9C-101B-9397-08002B2CF9AE}" pid="66" name="polyglossia-otherlangs">
    <vt:lpwstr/>
  </property>
  <property fmtid="{D5CDD505-2E9C-101B-9397-08002B2CF9AE}" pid="67" name="rangeDelim">
    <vt:lpwstr>-</vt:lpwstr>
  </property>
  <property fmtid="{D5CDD505-2E9C-101B-9397-08002B2CF9AE}" pid="68" name="refDelim">
    <vt:lpwstr>, </vt:lpwstr>
  </property>
  <property fmtid="{D5CDD505-2E9C-101B-9397-08002B2CF9AE}" pid="69" name="refIndexTemplate">
    <vt:lpwstr>isuf</vt:lpwstr>
  </property>
  <property fmtid="{D5CDD505-2E9C-101B-9397-08002B2CF9AE}" pid="70" name="romanfont">
    <vt:lpwstr>PT Serif</vt:lpwstr>
  </property>
  <property fmtid="{D5CDD505-2E9C-101B-9397-08002B2CF9AE}" pid="71" name="romanfontoptions">
    <vt:lpwstr>Ligatures=TeX</vt:lpwstr>
  </property>
  <property fmtid="{D5CDD505-2E9C-101B-9397-08002B2CF9AE}" pid="72" name="sansfont">
    <vt:lpwstr>PT Sans</vt:lpwstr>
  </property>
  <property fmtid="{D5CDD505-2E9C-101B-9397-08002B2CF9AE}" pid="73" name="sansfontoptions">
    <vt:lpwstr>Ligatures=TeX,Scale=MatchLowercase</vt:lpwstr>
  </property>
  <property fmtid="{D5CDD505-2E9C-101B-9397-08002B2CF9AE}" pid="74" name="secHeaderDelim">
    <vt:lpwstr> </vt:lpwstr>
  </property>
  <property fmtid="{D5CDD505-2E9C-101B-9397-08002B2CF9AE}" pid="75" name="secHeaderTemplate">
    <vt:lpwstr>isecHeaderDelim[n]t</vt:lpwstr>
  </property>
  <property fmtid="{D5CDD505-2E9C-101B-9397-08002B2CF9AE}" pid="76" name="secLabels">
    <vt:lpwstr>arabic</vt:lpwstr>
  </property>
  <property fmtid="{D5CDD505-2E9C-101B-9397-08002B2CF9AE}" pid="77" name="secPrefix">
    <vt:lpwstr/>
  </property>
  <property fmtid="{D5CDD505-2E9C-101B-9397-08002B2CF9AE}" pid="78" name="secPrefixTemplate">
    <vt:lpwstr>p i</vt:lpwstr>
  </property>
  <property fmtid="{D5CDD505-2E9C-101B-9397-08002B2CF9AE}" pid="79" name="sectionsDepth">
    <vt:lpwstr>0</vt:lpwstr>
  </property>
  <property fmtid="{D5CDD505-2E9C-101B-9397-08002B2CF9AE}" pid="80" name="subfigGrid">
    <vt:lpwstr>False</vt:lpwstr>
  </property>
  <property fmtid="{D5CDD505-2E9C-101B-9397-08002B2CF9AE}" pid="81" name="subfigLabels">
    <vt:lpwstr>alpha a</vt:lpwstr>
  </property>
  <property fmtid="{D5CDD505-2E9C-101B-9397-08002B2CF9AE}" pid="82" name="subfigureChildTemplate">
    <vt:lpwstr>i</vt:lpwstr>
  </property>
  <property fmtid="{D5CDD505-2E9C-101B-9397-08002B2CF9AE}" pid="83" name="subfigureRefIndexTemplate">
    <vt:lpwstr>isuf (s)</vt:lpwstr>
  </property>
  <property fmtid="{D5CDD505-2E9C-101B-9397-08002B2CF9AE}" pid="84" name="subfigureTemplate">
    <vt:lpwstr>figureTitle ititleDelim t. ccs</vt:lpwstr>
  </property>
  <property fmtid="{D5CDD505-2E9C-101B-9397-08002B2CF9AE}" pid="85" name="subtitle">
    <vt:lpwstr>Линейная алгебра</vt:lpwstr>
  </property>
  <property fmtid="{D5CDD505-2E9C-101B-9397-08002B2CF9AE}" pid="86" name="tableEqns">
    <vt:lpwstr>False</vt:lpwstr>
  </property>
  <property fmtid="{D5CDD505-2E9C-101B-9397-08002B2CF9AE}" pid="87" name="tableTemplate">
    <vt:lpwstr>tableTitle ititleDelim t</vt:lpwstr>
  </property>
  <property fmtid="{D5CDD505-2E9C-101B-9397-08002B2CF9AE}" pid="88" name="tableTitle">
    <vt:lpwstr>Таблица</vt:lpwstr>
  </property>
  <property fmtid="{D5CDD505-2E9C-101B-9397-08002B2CF9AE}" pid="89" name="tblLabels">
    <vt:lpwstr>arabic</vt:lpwstr>
  </property>
  <property fmtid="{D5CDD505-2E9C-101B-9397-08002B2CF9AE}" pid="90" name="tblPrefix">
    <vt:lpwstr/>
  </property>
  <property fmtid="{D5CDD505-2E9C-101B-9397-08002B2CF9AE}" pid="91" name="tblPrefixTemplate">
    <vt:lpwstr>p i</vt:lpwstr>
  </property>
  <property fmtid="{D5CDD505-2E9C-101B-9397-08002B2CF9AE}" pid="92" name="titleDelim">
    <vt:lpwstr>:</vt:lpwstr>
  </property>
  <property fmtid="{D5CDD505-2E9C-101B-9397-08002B2CF9AE}" pid="93" name="toc">
    <vt:lpwstr>True</vt:lpwstr>
  </property>
  <property fmtid="{D5CDD505-2E9C-101B-9397-08002B2CF9AE}" pid="94" name="toc-depth">
    <vt:lpwstr>2</vt:lpwstr>
  </property>
  <property fmtid="{D5CDD505-2E9C-101B-9397-08002B2CF9AE}" pid="95" name="toc-title">
    <vt:lpwstr>Содержание</vt:lpwstr>
  </property>
</Properties>
</file>