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0517" w14:textId="77777777" w:rsidR="00955E62" w:rsidRDefault="00955E62" w:rsidP="00955E62"/>
    <w:p w14:paraId="6E245DB2" w14:textId="2692AACC" w:rsidR="00955E62" w:rsidRDefault="00955E62" w:rsidP="00256F26">
      <w:pPr>
        <w:pStyle w:val="2"/>
      </w:pPr>
      <w:r>
        <w:t xml:space="preserve">Методы Рунге-Кутты для численного решения обыкновенных дифференциальных уравнений: реализация и анализ в среде </w:t>
      </w:r>
      <w:proofErr w:type="spellStart"/>
      <w:r>
        <w:t>Julia</w:t>
      </w:r>
      <w:proofErr w:type="spellEnd"/>
    </w:p>
    <w:p w14:paraId="4419C4DC" w14:textId="2BA21247" w:rsidR="00955E62" w:rsidRDefault="00955E62" w:rsidP="00930F62">
      <w:pPr>
        <w:pStyle w:val="a5"/>
      </w:pPr>
      <w:r>
        <w:t>Аннотация</w:t>
      </w:r>
    </w:p>
    <w:p w14:paraId="042B69CF" w14:textId="07DCFE70" w:rsidR="00955E62" w:rsidRDefault="00955E62" w:rsidP="00955E62">
      <w:r>
        <w:t xml:space="preserve">В данной работе рассматриваются классические методы Рунге-Кутты для численного решения задач Коши для обыкновенных дифференциальных уравнений (ОДУ). Особое внимание уделяется практической реализации методов на современном языке программирования </w:t>
      </w:r>
      <w:proofErr w:type="spellStart"/>
      <w:r>
        <w:t>Julia</w:t>
      </w:r>
      <w:proofErr w:type="spellEnd"/>
      <w:r>
        <w:t>, сочетающем высокую производительность и простоту синтаксиса. Приводятся примеры кода и сравнительный анализ точности на тестовой задаче.</w:t>
      </w:r>
    </w:p>
    <w:p w14:paraId="1086CC4B" w14:textId="77777777" w:rsidR="00955E62" w:rsidRDefault="00955E62" w:rsidP="00955E62"/>
    <w:p w14:paraId="36A45C13" w14:textId="13DCACFE" w:rsidR="00955E62" w:rsidRDefault="00DA4316" w:rsidP="00930F62">
      <w:pPr>
        <w:pStyle w:val="a5"/>
      </w:pPr>
      <w:r>
        <w:t>1.</w:t>
      </w:r>
      <w:r w:rsidR="00955E62">
        <w:t xml:space="preserve"> Введение</w:t>
      </w:r>
    </w:p>
    <w:p w14:paraId="23FCB655" w14:textId="709B4F8F" w:rsidR="00955E62" w:rsidRDefault="00955E62" w:rsidP="00955E62">
      <w:r>
        <w:t>Часто в физике, биологии, экономике и других науках процессы описываются обыкновенными дифференциальными уравнениями (ОДУ). Уравнение вида `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 = f(t, y)` с начальным условием `y(t₀) = y₀` называется задачей Коши. К сожалению, лишь для малой части таких уравнений удается найти аналитическое (точное) решение. На помощь приходят численные методы, которые позволяют найти приближенное решение в виде таблицы значений.</w:t>
      </w:r>
    </w:p>
    <w:p w14:paraId="30EB97DF" w14:textId="7A0E20BE" w:rsidR="00955E62" w:rsidRDefault="00955E62" w:rsidP="00955E62">
      <w:r>
        <w:t>Методы Рунге-Кутты (</w:t>
      </w:r>
      <w:proofErr w:type="spellStart"/>
      <w:r>
        <w:t>Runge-Kutta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, RK) — это одно из самых важных семейств численных методов для решения ОДУ. Их популярность обусловлена высокой точностью, устойчивостью и тем, что они являются явными (значение на следующем шаге вычисляется по известным значениям на предыдущих), что делает их реализацию относительно простой.</w:t>
      </w:r>
    </w:p>
    <w:p w14:paraId="592E1A4E" w14:textId="77777777" w:rsidR="00955E62" w:rsidRDefault="00955E62" w:rsidP="00955E62"/>
    <w:p w14:paraId="0DDAE522" w14:textId="7AD23009" w:rsidR="00955E62" w:rsidRDefault="00955E62" w:rsidP="00955E62">
      <w:pPr>
        <w:pStyle w:val="a5"/>
      </w:pPr>
      <w:r>
        <w:t xml:space="preserve"> 2. Теоретические основы методов Рунге-Кутты</w:t>
      </w:r>
    </w:p>
    <w:p w14:paraId="2194FBDB" w14:textId="77777777" w:rsidR="00955E62" w:rsidRDefault="00955E62" w:rsidP="00955E62">
      <w:r>
        <w:t>Идея методов Рунге-Кутты схожа с идеей метода Эйлера, но усовершенствована. Если в простейшем методе Эйлера мы делаем один "пробный шаг" в направлении производной, то в методах Рунге-Кутты делается несколько "пробных шагов" внутри одного шага интегрирования, и их результаты усредняются с определенными весами. Это позволяет значительно повысить точность.</w:t>
      </w:r>
    </w:p>
    <w:p w14:paraId="6B8EC45E" w14:textId="77777777" w:rsidR="00955E62" w:rsidRDefault="00955E62" w:rsidP="00955E62"/>
    <w:p w14:paraId="5F1032BF" w14:textId="77777777" w:rsidR="00955E62" w:rsidRDefault="00955E62" w:rsidP="00955E62">
      <w:r>
        <w:t>Пусть мы находимся в точке `(</w:t>
      </w:r>
      <w:proofErr w:type="spellStart"/>
      <w:r>
        <w:t>t_n</w:t>
      </w:r>
      <w:proofErr w:type="spellEnd"/>
      <w:r>
        <w:t xml:space="preserve">, </w:t>
      </w:r>
      <w:proofErr w:type="spellStart"/>
      <w:r>
        <w:t>y_n</w:t>
      </w:r>
      <w:proofErr w:type="spellEnd"/>
      <w:r>
        <w:t>)` и хотим найти значение `y_{n+1}` на шаге `h`.</w:t>
      </w:r>
    </w:p>
    <w:p w14:paraId="0B77B91C" w14:textId="77777777" w:rsidR="00955E62" w:rsidRDefault="00955E62" w:rsidP="00955E62"/>
    <w:p w14:paraId="0B0513FC" w14:textId="533E17C5" w:rsidR="00955E62" w:rsidRDefault="00955E62" w:rsidP="00955E62">
      <w:pPr>
        <w:pStyle w:val="a5"/>
      </w:pPr>
      <w:r>
        <w:t>2.1. Метод Рунге-Кутты 4-го порядка (RK4)</w:t>
      </w:r>
    </w:p>
    <w:p w14:paraId="5CDC4F7C" w14:textId="77777777" w:rsidR="00955E62" w:rsidRDefault="00955E62" w:rsidP="00955E62"/>
    <w:p w14:paraId="5A6130CA" w14:textId="77777777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t>Для численного решения задачи Коши:</w:t>
      </w:r>
    </w:p>
    <w:p w14:paraId="5D999B35" w14:textId="77777777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</w:p>
    <w:p w14:paraId="5F321759" w14:textId="59F51F2D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ascii="Arial" w:eastAsiaTheme="minorHAnsi" w:hAnsi="Arial" w:cs="Arial"/>
          <w:color w:val="auto"/>
          <w:spacing w:val="0"/>
          <w:sz w:val="24"/>
          <w:szCs w:val="24"/>
        </w:rPr>
        <w:drawing>
          <wp:inline distT="0" distB="0" distL="0" distR="0" wp14:anchorId="2BB9E3F4" wp14:editId="156AE2FB">
            <wp:extent cx="2095682" cy="541067"/>
            <wp:effectExtent l="0" t="0" r="0" b="0"/>
            <wp:docPr id="295604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04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E62">
        <w:rPr>
          <w:rFonts w:ascii="Arial" w:eastAsiaTheme="minorHAnsi" w:hAnsi="Arial" w:cs="Arial"/>
          <w:color w:val="auto"/>
          <w:spacing w:val="0"/>
          <w:sz w:val="24"/>
          <w:szCs w:val="24"/>
        </w:rPr>
        <w:t>​</w:t>
      </w:r>
    </w:p>
    <w:p w14:paraId="1FB6943D" w14:textId="77777777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t xml:space="preserve"> </w:t>
      </w:r>
    </w:p>
    <w:p w14:paraId="4B13A5E2" w14:textId="55752BCE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t xml:space="preserve">на одном шаге интегрирования </w:t>
      </w: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drawing>
          <wp:inline distT="0" distB="0" distL="0" distR="0" wp14:anchorId="0B1E605F" wp14:editId="2CFE4CBE">
            <wp:extent cx="1494367" cy="166040"/>
            <wp:effectExtent l="0" t="0" r="0" b="5715"/>
            <wp:docPr id="56942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22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748" cy="1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t xml:space="preserve"> вычисления производятся по следующим формулам:</w:t>
      </w:r>
    </w:p>
    <w:p w14:paraId="4BCFB23B" w14:textId="77777777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</w:p>
    <w:p w14:paraId="79F5672F" w14:textId="77777777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t>1. Первый пробный шаг</w:t>
      </w:r>
    </w:p>
    <w:p w14:paraId="6C4114AE" w14:textId="77777777" w:rsid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drawing>
          <wp:inline distT="0" distB="0" distL="0" distR="0" wp14:anchorId="760B3CD6" wp14:editId="39F1BA50">
            <wp:extent cx="1502833" cy="413824"/>
            <wp:effectExtent l="0" t="0" r="2540" b="5715"/>
            <wp:docPr id="1320469356" name="Рисунок 1" descr="Изображение выглядит как Шрифт, рукописный текст, каллиграфия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69356" name="Рисунок 1" descr="Изображение выглядит как Шрифт, рукописный текст, каллиграфия, типограф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312" cy="4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86E6" w14:textId="34DBB87B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t>2. Второй пробный шаг</w:t>
      </w:r>
    </w:p>
    <w:p w14:paraId="63FD0EF2" w14:textId="54FB2D7F" w:rsid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drawing>
          <wp:inline distT="0" distB="0" distL="0" distR="0" wp14:anchorId="430D514E" wp14:editId="46083CEC">
            <wp:extent cx="2010833" cy="519545"/>
            <wp:effectExtent l="0" t="0" r="8890" b="0"/>
            <wp:docPr id="1130375157" name="Рисунок 1" descr="Изображение выглядит как Шрифт, рукописный текс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75157" name="Рисунок 1" descr="Изображение выглядит как Шрифт, рукописный текст, линия, бел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594" cy="5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8568" w14:textId="4A4569EA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t>3. Третий пробный шаг</w:t>
      </w:r>
    </w:p>
    <w:p w14:paraId="7B433C67" w14:textId="77777777" w:rsid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drawing>
          <wp:inline distT="0" distB="0" distL="0" distR="0" wp14:anchorId="676CCEE2" wp14:editId="27AB87A2">
            <wp:extent cx="2324301" cy="647756"/>
            <wp:effectExtent l="0" t="0" r="0" b="0"/>
            <wp:docPr id="1009096845" name="Рисунок 1" descr="Изображение выглядит как Шрифт, рукописный текс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6845" name="Рисунок 1" descr="Изображение выглядит как Шрифт, рукописный текст, линия, 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EF54" w14:textId="7A7F288A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t>4. Четвертый пробный шаг</w:t>
      </w:r>
    </w:p>
    <w:p w14:paraId="2B9776F5" w14:textId="77777777" w:rsid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  <w:lang w:val="en-US"/>
        </w:rPr>
        <w:drawing>
          <wp:inline distT="0" distB="0" distL="0" distR="0" wp14:anchorId="2787F64A" wp14:editId="6CBB5644">
            <wp:extent cx="2160457" cy="457240"/>
            <wp:effectExtent l="0" t="0" r="0" b="0"/>
            <wp:docPr id="1508862301" name="Рисунок 1" descr="Изображение выглядит как Шрифт, рукописный текст, текст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2301" name="Рисунок 1" descr="Изображение выглядит как Шрифт, рукописный текст, текст, типограф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45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9E4D" w14:textId="74744567" w:rsidR="00955E62" w:rsidRPr="00955E62" w:rsidRDefault="00955E62" w:rsidP="00955E62">
      <w:pPr>
        <w:pStyle w:val="a5"/>
        <w:rPr>
          <w:rFonts w:eastAsiaTheme="minorHAnsi" w:cstheme="minorBidi"/>
          <w:color w:val="auto"/>
          <w:spacing w:val="0"/>
          <w:sz w:val="24"/>
          <w:szCs w:val="24"/>
        </w:rPr>
      </w:pPr>
      <w:r w:rsidRPr="00955E62">
        <w:rPr>
          <w:rFonts w:eastAsiaTheme="minorHAnsi" w:cstheme="minorBidi"/>
          <w:color w:val="auto"/>
          <w:spacing w:val="0"/>
          <w:sz w:val="24"/>
          <w:szCs w:val="24"/>
        </w:rPr>
        <w:t>5. Усреднение и получение решения</w:t>
      </w:r>
    </w:p>
    <w:p w14:paraId="7BB45F66" w14:textId="77777777" w:rsidR="00955E62" w:rsidRDefault="00955E62" w:rsidP="00955E62">
      <w:pPr>
        <w:pStyle w:val="a5"/>
      </w:pPr>
      <w:r w:rsidRPr="00955E62">
        <w:drawing>
          <wp:inline distT="0" distB="0" distL="0" distR="0" wp14:anchorId="313D120F" wp14:editId="51BCBA59">
            <wp:extent cx="2800593" cy="502964"/>
            <wp:effectExtent l="0" t="0" r="0" b="0"/>
            <wp:docPr id="683995525" name="Рисунок 1" descr="Изображение выглядит как Шрифт, текс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95525" name="Рисунок 1" descr="Изображение выглядит как Шрифт, текс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59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8539" w14:textId="56E3C975" w:rsidR="00955E62" w:rsidRDefault="00955E62" w:rsidP="00955E62">
      <w:pPr>
        <w:pStyle w:val="a5"/>
      </w:pPr>
      <w:r>
        <w:t xml:space="preserve">3. Реализация методов Рунге-Кутты в среде </w:t>
      </w:r>
      <w:proofErr w:type="spellStart"/>
      <w:r>
        <w:t>Julia</w:t>
      </w:r>
      <w:proofErr w:type="spellEnd"/>
    </w:p>
    <w:p w14:paraId="0AFDC8CE" w14:textId="06DEA996" w:rsidR="00955E62" w:rsidRDefault="00955E62" w:rsidP="00955E62">
      <w:r>
        <w:t>Ниже представлена реализация метода RK4.</w:t>
      </w:r>
    </w:p>
    <w:p w14:paraId="450DA314" w14:textId="77777777" w:rsidR="00955E62" w:rsidRDefault="00955E62" w:rsidP="00955E62">
      <w:r>
        <w:t>Определение функции метода Рунге-Кутты 4-го порядка (RK4)</w:t>
      </w:r>
    </w:p>
    <w:p w14:paraId="37362024" w14:textId="77777777" w:rsidR="00955E62" w:rsidRPr="00955E62" w:rsidRDefault="00955E62" w:rsidP="00955E62">
      <w:pPr>
        <w:rPr>
          <w:b/>
          <w:bCs/>
          <w:i/>
          <w:iCs/>
          <w:lang w:val="en-US"/>
        </w:rPr>
      </w:pPr>
      <w:r w:rsidRPr="00955E62">
        <w:rPr>
          <w:b/>
          <w:bCs/>
          <w:i/>
          <w:iCs/>
          <w:highlight w:val="yellow"/>
          <w:lang w:val="en-US"/>
        </w:rPr>
        <w:t xml:space="preserve">function runge_kutta_4(f, y0, </w:t>
      </w:r>
      <w:proofErr w:type="spellStart"/>
      <w:r w:rsidRPr="00955E62">
        <w:rPr>
          <w:b/>
          <w:bCs/>
          <w:i/>
          <w:iCs/>
          <w:highlight w:val="yellow"/>
          <w:lang w:val="en-US"/>
        </w:rPr>
        <w:t>tspan</w:t>
      </w:r>
      <w:proofErr w:type="spellEnd"/>
      <w:r w:rsidRPr="00955E62">
        <w:rPr>
          <w:b/>
          <w:bCs/>
          <w:i/>
          <w:iCs/>
          <w:highlight w:val="yellow"/>
          <w:lang w:val="en-US"/>
        </w:rPr>
        <w:t>, h)</w:t>
      </w:r>
    </w:p>
    <w:p w14:paraId="450D4C4B" w14:textId="77777777" w:rsidR="00955E62" w:rsidRPr="00955E62" w:rsidRDefault="00955E62" w:rsidP="00955E62">
      <w:pPr>
        <w:rPr>
          <w:lang w:val="en-US"/>
        </w:rPr>
      </w:pPr>
    </w:p>
    <w:p w14:paraId="2A34C1B3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lastRenderedPageBreak/>
        <w:t>```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julia</w:t>
      </w:r>
      <w:proofErr w:type="spellEnd"/>
    </w:p>
    <w:p w14:paraId="53AC6AB0" w14:textId="72DCAF84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using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Plots</w:t>
      </w:r>
      <w:proofErr w:type="spellEnd"/>
    </w:p>
    <w:p w14:paraId="1885BF13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"""</w:t>
      </w:r>
    </w:p>
    <w:p w14:paraId="5E000D46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Параметры:</w:t>
      </w:r>
    </w:p>
    <w:p w14:paraId="430A1A4F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f      - Правая часть ОДУ (функция f(t, y))</w:t>
      </w:r>
    </w:p>
    <w:p w14:paraId="75A02768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y0     - Начальное условие</w:t>
      </w:r>
    </w:p>
    <w:p w14:paraId="1C14B167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tspan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- Кортеж (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tuple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) с начальным и конечным временем (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t_start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t_end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)</w:t>
      </w:r>
    </w:p>
    <w:p w14:paraId="60E67031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h      - Шаг интегрирования</w:t>
      </w:r>
    </w:p>
    <w:p w14:paraId="036AF55A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</w:p>
    <w:p w14:paraId="3953203D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Возвращает:</w:t>
      </w:r>
    </w:p>
    <w:p w14:paraId="450893E2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t      - Вектор временных точек</w:t>
      </w:r>
    </w:p>
    <w:p w14:paraId="751E2921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y      - Вектор численного решения</w:t>
      </w:r>
    </w:p>
    <w:p w14:paraId="678A0660" w14:textId="03F921D0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"""</w:t>
      </w:r>
    </w:p>
    <w:p w14:paraId="352379A0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>t_start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>t_end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>tspan</w:t>
      </w:r>
      <w:proofErr w:type="spellEnd"/>
    </w:p>
    <w:p w14:paraId="2CFDC66B" w14:textId="70BA5873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t =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collect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t_start:h:t_end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)   Создание массива времени</w:t>
      </w:r>
    </w:p>
    <w:p w14:paraId="1EB1C1CD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n = length(t)</w:t>
      </w:r>
    </w:p>
    <w:p w14:paraId="2464A187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y = similar(t, Float64)</w:t>
      </w:r>
    </w:p>
    <w:p w14:paraId="43957988" w14:textId="37E01543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y[1] = y0   Записываем начальное условие</w:t>
      </w:r>
    </w:p>
    <w:p w14:paraId="586426CE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</w:p>
    <w:p w14:paraId="153182DB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i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in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1:n-1</w:t>
      </w:r>
    </w:p>
    <w:p w14:paraId="2775D31E" w14:textId="02869BC8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    k1 = h  f(t[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], y[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])</w:t>
      </w:r>
    </w:p>
    <w:p w14:paraId="6E30EB48" w14:textId="0112F60B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    k2 = h  f(t[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] + h/2, y[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] + k1/2)</w:t>
      </w:r>
    </w:p>
    <w:p w14:paraId="65BF0AA3" w14:textId="4F75A1D2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    k3 = h  f(t[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] + h/2, y[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] + k2/2)</w:t>
      </w:r>
    </w:p>
    <w:p w14:paraId="6D07F531" w14:textId="6ECDCB00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    k4 = h  f(t[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] + h, y[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] + k3)</w:t>
      </w:r>
    </w:p>
    <w:p w14:paraId="65563ACE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    </w:t>
      </w:r>
    </w:p>
    <w:p w14:paraId="381AE127" w14:textId="3C390DFE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    y[i+1] = y[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] + (k1 + 2k2 + 2k3 + k4) / 6</w:t>
      </w:r>
    </w:p>
    <w:p w14:paraId="7A3C79B8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end</w:t>
      </w:r>
    </w:p>
    <w:p w14:paraId="7D167EE7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630F55E2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t, y</w:t>
      </w:r>
    </w:p>
    <w:p w14:paraId="5E5EA394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6FB654DB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</w:p>
    <w:p w14:paraId="40E24B92" w14:textId="44087FD4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#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Пример: Решение уравнения y' = -2y, с точным решением y(t) =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exp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(-2t)</w:t>
      </w:r>
    </w:p>
    <w:p w14:paraId="4479FD2D" w14:textId="73DA91F3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f(t, y) = -2  y</w:t>
      </w:r>
    </w:p>
    <w:p w14:paraId="16F278B9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y0 = 1.0</w:t>
      </w:r>
    </w:p>
    <w:p w14:paraId="6F0E0EB8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tspan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= (0.0, 3.0)</w:t>
      </w:r>
    </w:p>
    <w:p w14:paraId="0957ADEC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h = 0.1</w:t>
      </w:r>
    </w:p>
    <w:p w14:paraId="03B7DAA1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</w:p>
    <w:p w14:paraId="3F4B0630" w14:textId="151CC022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lastRenderedPageBreak/>
        <w:t xml:space="preserve"> </w:t>
      </w:r>
      <w:r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>#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Вызов метода</w:t>
      </w:r>
    </w:p>
    <w:p w14:paraId="3C394604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t,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y_num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= runge_kutta_4(f, y0,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tspan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, h)</w:t>
      </w:r>
    </w:p>
    <w:p w14:paraId="7C3FD47A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</w:p>
    <w:p w14:paraId="37C74209" w14:textId="0B03A335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>#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Вычисление точного решения для сравнения</w:t>
      </w:r>
    </w:p>
    <w:p w14:paraId="723D1488" w14:textId="231E1ED3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y_exact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=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exp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.(-2  t)</w:t>
      </w:r>
    </w:p>
    <w:p w14:paraId="2C498744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</w:p>
    <w:p w14:paraId="1BD6F7E0" w14:textId="2598ED5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67D17"/>
          <w:kern w:val="0"/>
          <w:sz w:val="18"/>
          <w:szCs w:val="18"/>
          <w:lang w:val="en-US" w:eastAsia="ru-RU"/>
          <w14:ligatures w14:val="none"/>
        </w:rPr>
        <w:t>#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Построение графиков</w:t>
      </w:r>
    </w:p>
    <w:p w14:paraId="20EFFA62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plot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(t,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y_exact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label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="Точное решение",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linewidth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=2,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legend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=: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topright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)</w:t>
      </w:r>
    </w:p>
    <w:p w14:paraId="3165494F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scatter!(t,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y_num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, label="Численное решение (RK4)",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markersize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=3)</w:t>
      </w:r>
    </w:p>
    <w:p w14:paraId="15BA2F06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xlabel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!("Время, t")</w:t>
      </w:r>
    </w:p>
    <w:p w14:paraId="22AAAC0F" w14:textId="77777777" w:rsidR="00955E62" w:rsidRPr="00955E62" w:rsidRDefault="00955E62" w:rsidP="00955E62">
      <w:pPr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</w:pP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ylabel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!("y(t)")</w:t>
      </w:r>
    </w:p>
    <w:p w14:paraId="08977BBE" w14:textId="77777777" w:rsidR="00955E62" w:rsidRDefault="00955E62" w:rsidP="00955E62"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!("Сравнение численного</w:t>
      </w:r>
      <w:r>
        <w:t xml:space="preserve"> 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и точного решения")</w:t>
      </w:r>
    </w:p>
    <w:p w14:paraId="3672D5A8" w14:textId="77777777" w:rsidR="00955E62" w:rsidRDefault="00955E62" w:rsidP="00955E62">
      <w:r>
        <w:t>```</w:t>
      </w:r>
    </w:p>
    <w:p w14:paraId="6E7B5942" w14:textId="77777777" w:rsidR="00955E62" w:rsidRDefault="00955E62" w:rsidP="00955E62"/>
    <w:p w14:paraId="0B27155D" w14:textId="7BD956AD" w:rsidR="00955E62" w:rsidRDefault="00955E62" w:rsidP="00955E62">
      <w:pPr>
        <w:pStyle w:val="a5"/>
      </w:pPr>
      <w:r>
        <w:t xml:space="preserve">3.1. Использование встроенных средств </w:t>
      </w:r>
      <w:proofErr w:type="spellStart"/>
      <w:r>
        <w:t>Julia</w:t>
      </w:r>
      <w:proofErr w:type="spellEnd"/>
    </w:p>
    <w:p w14:paraId="756B4349" w14:textId="77777777" w:rsidR="00955E62" w:rsidRDefault="00955E62" w:rsidP="00955E62">
      <w:r>
        <w:t xml:space="preserve">Для практических расчетов удобнее использовать мощные встроенные </w:t>
      </w:r>
      <w:proofErr w:type="spellStart"/>
      <w:r>
        <w:t>солверы</w:t>
      </w:r>
      <w:proofErr w:type="spellEnd"/>
      <w:r>
        <w:t xml:space="preserve"> из пакета `</w:t>
      </w:r>
      <w:proofErr w:type="spellStart"/>
      <w:r>
        <w:t>DifferentialEquations.jl</w:t>
      </w:r>
      <w:proofErr w:type="spellEnd"/>
      <w:r>
        <w:t>`.</w:t>
      </w:r>
    </w:p>
    <w:p w14:paraId="2F0131B2" w14:textId="77777777" w:rsidR="00955E62" w:rsidRDefault="00955E62" w:rsidP="00955E62"/>
    <w:p w14:paraId="66A3B64A" w14:textId="31953469" w:rsidR="00955E62" w:rsidRPr="00955E62" w:rsidRDefault="00955E62" w:rsidP="0095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8"/>
          <w:szCs w:val="18"/>
          <w:lang w:eastAsia="ru-RU"/>
          <w14:ligatures w14:val="none"/>
        </w:rPr>
      </w:pPr>
      <w:r w:rsidRPr="00955E62">
        <w:rPr>
          <w:rFonts w:ascii="Courier New" w:eastAsia="Times New Roman" w:hAnsi="Courier New" w:cs="Courier New"/>
          <w:color w:val="0033B3"/>
          <w:kern w:val="0"/>
          <w:sz w:val="18"/>
          <w:szCs w:val="18"/>
          <w:lang w:eastAsia="ru-RU"/>
          <w14:ligatures w14:val="none"/>
        </w:rPr>
        <w:t>```</w:t>
      </w:r>
      <w:proofErr w:type="spellStart"/>
      <w:r w:rsidRPr="00955E62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18"/>
          <w:lang w:eastAsia="ru-RU"/>
          <w14:ligatures w14:val="none"/>
        </w:rPr>
        <w:t>julia</w:t>
      </w:r>
      <w:proofErr w:type="spellEnd"/>
      <w:r w:rsidRPr="00955E62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18"/>
          <w:lang w:eastAsia="ru-RU"/>
          <w14:ligatures w14:val="none"/>
        </w:rPr>
        <w:br/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#Если пакет не установлен, выполним: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  <w:t xml:space="preserve">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using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Pkg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;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Pkg.add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("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DifferentialEquations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")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using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DifferentialEquations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  <w:t xml:space="preserve">#Определяем задачу в форме, понятной для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солвера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ode_func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du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, u, p, t)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du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[1] = -2  u[1]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  <w:t>u0 = [1.0]                   # Начальное условие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tspan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= (0.0, 3.0)           #Интервал интегрирования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prob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=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ODEProblem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ode_func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, u0,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tspan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)  #Определение проблемы ОДУ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  <w:t xml:space="preserve"># Решение с помощью встроенного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солвера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Tsit5 (метод типа Рунге-Кутты 5-го порядка)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sol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 =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solve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prob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, Tsit5(),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reltol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=1e-8,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abstol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=1e-8)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  <w:t># Построение решения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plot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sol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label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 xml:space="preserve">="Решение Tsit5", </w:t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linewidth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=2)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xlabel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!("t")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ylabel</w:t>
      </w:r>
      <w:proofErr w:type="spellEnd"/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t>!("u(t)")</w:t>
      </w:r>
      <w:r w:rsidRPr="00955E62">
        <w:rPr>
          <w:rFonts w:ascii="Courier New" w:eastAsia="Times New Roman" w:hAnsi="Courier New" w:cs="Courier New"/>
          <w:color w:val="067D17"/>
          <w:kern w:val="0"/>
          <w:sz w:val="18"/>
          <w:szCs w:val="18"/>
          <w:lang w:eastAsia="ru-RU"/>
          <w14:ligatures w14:val="none"/>
        </w:rPr>
        <w:br/>
      </w:r>
      <w:r w:rsidRPr="00955E62">
        <w:rPr>
          <w:rFonts w:ascii="Courier New" w:eastAsia="Times New Roman" w:hAnsi="Courier New" w:cs="Courier New"/>
          <w:color w:val="0033B3"/>
          <w:kern w:val="0"/>
          <w:sz w:val="18"/>
          <w:szCs w:val="18"/>
          <w:lang w:eastAsia="ru-RU"/>
          <w14:ligatures w14:val="none"/>
        </w:rPr>
        <w:t>```</w:t>
      </w:r>
    </w:p>
    <w:p w14:paraId="0614825F" w14:textId="3B7D00CF" w:rsidR="00955E62" w:rsidRDefault="00955E62" w:rsidP="00955E62">
      <w:pPr>
        <w:pStyle w:val="a5"/>
      </w:pPr>
      <w:r>
        <w:t xml:space="preserve"> 4. Результаты</w:t>
      </w:r>
    </w:p>
    <w:p w14:paraId="5BDA2C89" w14:textId="77777777" w:rsidR="00955E62" w:rsidRDefault="00955E62" w:rsidP="00955E62"/>
    <w:p w14:paraId="6F3C5DCC" w14:textId="3CE1473A" w:rsidR="00955E62" w:rsidRDefault="00955E62" w:rsidP="00955E62">
      <w:r>
        <w:t xml:space="preserve">Реализованный метод RK4 и встроенный </w:t>
      </w:r>
      <w:proofErr w:type="spellStart"/>
      <w:r>
        <w:t>солвер</w:t>
      </w:r>
      <w:proofErr w:type="spellEnd"/>
      <w:r>
        <w:t xml:space="preserve"> `Tsit5` успешно решают тестовое уравнение `y' = -2y`. Визуальное сравнение с точным решением (рис. 1) показывает высокую точность метода RK4 даже при сравнительно большом шаге `h=0.1`. </w:t>
      </w:r>
      <w:r>
        <w:lastRenderedPageBreak/>
        <w:t>Использование специализированных библиотек, таких как `</w:t>
      </w:r>
      <w:proofErr w:type="spellStart"/>
      <w:r>
        <w:t>DifferentialEquations.jl</w:t>
      </w:r>
      <w:proofErr w:type="spellEnd"/>
      <w:r>
        <w:t>`, позволяет легко менять методы, контролировать точность и решать более сложные задачи (системы уравнений, жесткие задачи).</w:t>
      </w:r>
    </w:p>
    <w:p w14:paraId="3BD1FBF2" w14:textId="432D534B" w:rsidR="00955E62" w:rsidRDefault="00955E62" w:rsidP="00955E62">
      <w:pPr>
        <w:pStyle w:val="a5"/>
      </w:pPr>
      <w:r>
        <w:t xml:space="preserve"> 5. Заключение</w:t>
      </w:r>
    </w:p>
    <w:p w14:paraId="0800EADC" w14:textId="4C97E86D" w:rsidR="00955E62" w:rsidRDefault="00955E62" w:rsidP="00955E62">
      <w:r>
        <w:t xml:space="preserve">Методы Рунге-Кутты, в частности классический метод 4-го порядка, являются надежным и эффективным инструментом для численного интегрирования ОДУ. Их реализация на языке </w:t>
      </w:r>
      <w:proofErr w:type="spellStart"/>
      <w:r>
        <w:t>Julia</w:t>
      </w:r>
      <w:proofErr w:type="spellEnd"/>
      <w:r>
        <w:t xml:space="preserve"> оказывается интуитивно понятной и лаконичной. Сочетание простоты самостоятельной реализации для учебных целей и наличия высокопроизводительных профессиональных </w:t>
      </w:r>
      <w:proofErr w:type="spellStart"/>
      <w:r>
        <w:t>солверов</w:t>
      </w:r>
      <w:proofErr w:type="spellEnd"/>
      <w:r>
        <w:t xml:space="preserve"> делает экосистему </w:t>
      </w:r>
      <w:proofErr w:type="spellStart"/>
      <w:r>
        <w:t>Julia</w:t>
      </w:r>
      <w:proofErr w:type="spellEnd"/>
      <w:r>
        <w:t xml:space="preserve"> исключительно привлекательной для проведения научных вычислений в области математического моделирования.</w:t>
      </w:r>
    </w:p>
    <w:p w14:paraId="4E863F99" w14:textId="271CA600" w:rsidR="00955E62" w:rsidRPr="00955E62" w:rsidRDefault="00955E62" w:rsidP="00955E62">
      <w:pPr>
        <w:pStyle w:val="a5"/>
      </w:pPr>
      <w:r>
        <w:t>Список</w:t>
      </w:r>
      <w:r w:rsidRPr="00955E62">
        <w:rPr>
          <w:lang w:val="en-US"/>
        </w:rPr>
        <w:t xml:space="preserve"> </w:t>
      </w:r>
      <w:r>
        <w:t>литературы</w:t>
      </w:r>
    </w:p>
    <w:p w14:paraId="0F42AEE2" w14:textId="77777777" w:rsidR="00955E62" w:rsidRPr="00955E62" w:rsidRDefault="00955E62" w:rsidP="00955E62">
      <w:pPr>
        <w:rPr>
          <w:lang w:val="en-US"/>
        </w:rPr>
      </w:pPr>
      <w:r w:rsidRPr="00955E62">
        <w:rPr>
          <w:lang w:val="en-US"/>
        </w:rPr>
        <w:t xml:space="preserve">1. </w:t>
      </w:r>
      <w:proofErr w:type="spellStart"/>
      <w:r w:rsidRPr="00955E62">
        <w:rPr>
          <w:lang w:val="en-US"/>
        </w:rPr>
        <w:t>Hairer</w:t>
      </w:r>
      <w:proofErr w:type="spellEnd"/>
      <w:r w:rsidRPr="00955E62">
        <w:rPr>
          <w:lang w:val="en-US"/>
        </w:rPr>
        <w:t xml:space="preserve">, E., </w:t>
      </w:r>
      <w:proofErr w:type="spellStart"/>
      <w:r w:rsidRPr="00955E62">
        <w:rPr>
          <w:lang w:val="en-US"/>
        </w:rPr>
        <w:t>Nørsett</w:t>
      </w:r>
      <w:proofErr w:type="spellEnd"/>
      <w:r w:rsidRPr="00955E62">
        <w:rPr>
          <w:lang w:val="en-US"/>
        </w:rPr>
        <w:t xml:space="preserve">, S. P., &amp; </w:t>
      </w:r>
      <w:proofErr w:type="spellStart"/>
      <w:r w:rsidRPr="00955E62">
        <w:rPr>
          <w:lang w:val="en-US"/>
        </w:rPr>
        <w:t>Wanner</w:t>
      </w:r>
      <w:proofErr w:type="spellEnd"/>
      <w:r w:rsidRPr="00955E62">
        <w:rPr>
          <w:lang w:val="en-US"/>
        </w:rPr>
        <w:t xml:space="preserve">, G. (1993). Solving Ordinary Differential Equations I: </w:t>
      </w:r>
      <w:proofErr w:type="spellStart"/>
      <w:r w:rsidRPr="00955E62">
        <w:rPr>
          <w:lang w:val="en-US"/>
        </w:rPr>
        <w:t>Nonstiff</w:t>
      </w:r>
      <w:proofErr w:type="spellEnd"/>
      <w:r w:rsidRPr="00955E62">
        <w:rPr>
          <w:lang w:val="en-US"/>
        </w:rPr>
        <w:t xml:space="preserve"> Problems.</w:t>
      </w:r>
    </w:p>
    <w:p w14:paraId="0C3BCB41" w14:textId="77777777" w:rsidR="00955E62" w:rsidRPr="00955E62" w:rsidRDefault="00955E62" w:rsidP="00955E62">
      <w:pPr>
        <w:rPr>
          <w:lang w:val="en-US"/>
        </w:rPr>
      </w:pPr>
      <w:r w:rsidRPr="00955E62">
        <w:rPr>
          <w:lang w:val="en-US"/>
        </w:rPr>
        <w:t xml:space="preserve">2. Rackauckas, C., &amp; Nie, Q. (2017). </w:t>
      </w:r>
      <w:proofErr w:type="spellStart"/>
      <w:r w:rsidRPr="00955E62">
        <w:rPr>
          <w:lang w:val="en-US"/>
        </w:rPr>
        <w:t>DifferentialEquations.jl</w:t>
      </w:r>
      <w:proofErr w:type="spellEnd"/>
      <w:r w:rsidRPr="00955E62">
        <w:rPr>
          <w:lang w:val="en-US"/>
        </w:rPr>
        <w:t xml:space="preserve"> – A Performant and Feature-Rich Ecosystem for Solving Differential Equations in Julia.</w:t>
      </w:r>
    </w:p>
    <w:p w14:paraId="08535270" w14:textId="6CF12419" w:rsidR="00D70CCB" w:rsidRDefault="00955E62" w:rsidP="00955E62">
      <w:r>
        <w:t xml:space="preserve">3. Официальная документация по пакету </w:t>
      </w:r>
      <w:proofErr w:type="spellStart"/>
      <w:r>
        <w:t>DifferentialEquations.jl</w:t>
      </w:r>
      <w:proofErr w:type="spellEnd"/>
      <w:r>
        <w:t>.</w:t>
      </w:r>
    </w:p>
    <w:sectPr w:rsidR="00D70CC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CB"/>
    <w:rsid w:val="00256F26"/>
    <w:rsid w:val="004A004E"/>
    <w:rsid w:val="00930F62"/>
    <w:rsid w:val="00955E62"/>
    <w:rsid w:val="00D70CCB"/>
    <w:rsid w:val="00DA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6E21"/>
  <w15:chartTrackingRefBased/>
  <w15:docId w15:val="{7B63A496-37B1-406E-AEAF-2FCAB5A9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0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70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C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C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C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C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C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C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C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C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C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C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Коннова Татьяна Алексеевна</dc:creator>
  <cp:keywords/>
  <dc:description/>
  <cp:lastModifiedBy>Коннова Татьяна Алексеевна</cp:lastModifiedBy>
  <cp:revision>4</cp:revision>
  <dcterms:created xsi:type="dcterms:W3CDTF">2025-10-23T06:56:00Z</dcterms:created>
  <dcterms:modified xsi:type="dcterms:W3CDTF">2025-10-23T07:13:00Z</dcterms:modified>
</cp:coreProperties>
</file>