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8.png" ContentType="image/png"/>
  <Override PartName="/word/media/rId51.png" ContentType="image/png"/>
  <Override PartName="/word/media/rId56.png" ContentType="image/png"/>
  <Override PartName="/word/media/rId59.png" ContentType="image/png"/>
  <Override PartName="/word/media/rId79.png" ContentType="image/png"/>
  <Override PartName="/word/media/rId83.png" ContentType="image/png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научной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по</w:t>
      </w:r>
      <w:r>
        <w:t xml:space="preserve"> </w:t>
      </w:r>
      <w:r>
        <w:t xml:space="preserve">теме</w:t>
      </w:r>
    </w:p>
    <w:p>
      <w:pPr>
        <w:pStyle w:val="Subtitle"/>
      </w:pPr>
      <w:r>
        <w:t xml:space="preserve">«ИССЛЕДОВАНИЕ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КОНКУРЕНЦИИ</w:t>
      </w:r>
      <w:r>
        <w:t xml:space="preserve"> </w:t>
      </w:r>
      <w:r>
        <w:t xml:space="preserve">НЕСКОЛЬКИХ</w:t>
      </w:r>
      <w:r>
        <w:t xml:space="preserve"> </w:t>
      </w:r>
      <w:r>
        <w:t xml:space="preserve">ВИДОВ</w:t>
      </w:r>
      <w:r>
        <w:t xml:space="preserve"> </w:t>
      </w:r>
      <w:r>
        <w:t xml:space="preserve">ЗА</w:t>
      </w:r>
      <w:r>
        <w:t xml:space="preserve"> </w:t>
      </w:r>
      <w:r>
        <w:t xml:space="preserve">РЕСУРСЫ»</w:t>
      </w:r>
    </w:p>
    <w:p>
      <w:pPr>
        <w:pStyle w:val="Author"/>
      </w:pPr>
      <w:r>
        <w:t xml:space="preserve">Выполнила:</w:t>
      </w:r>
      <w:r>
        <w:t xml:space="preserve"> </w:t>
      </w:r>
      <w:r>
        <w:t xml:space="preserve">Коннова</w:t>
      </w:r>
      <w:r>
        <w:t xml:space="preserve"> </w:t>
      </w:r>
      <w:r>
        <w:t xml:space="preserve">Татьяна</w:t>
      </w:r>
      <w:r>
        <w:t xml:space="preserve"> </w:t>
      </w:r>
      <w:r>
        <w:t xml:space="preserve">Алекссевна,</w:t>
      </w:r>
      <w:r>
        <w:br/>
      </w:r>
      <w:r>
        <w:t xml:space="preserve">НПИбд-01-22,</w:t>
      </w:r>
      <w:r>
        <w:t xml:space="preserve"> </w:t>
      </w:r>
      <w:r>
        <w:t xml:space="preserve">1132221814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3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Исследование динамики системы конкуренции двух видов с использованием математического моделирования и компьютерной визуализации. Анализ различных режимов взаимодействия видов в зависимости от параметров конкуренции.</w:t>
      </w:r>
    </w:p>
    <w:bookmarkStart w:id="23" w:name="теоретическая-основа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Теоретическая основа</w:t>
      </w:r>
    </w:p>
    <w:p>
      <w:pPr>
        <w:pStyle w:val="FirstParagraph"/>
      </w:pPr>
      <w:r>
        <w:t xml:space="preserve">Модель основана на системе дифференциальных уравнений Лотки-Вольтерры для конкуренции двух видов: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</m:mr>
          </m:m>
        </m:oMath>
      </m:oMathPara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численности видов 1 и 2 (нормированные на ёмкость среды)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коэффициенты конкуренции, показывающие влияние одного вида на другой</w:t>
      </w:r>
    </w:p>
    <w:bookmarkStart w:id="20" w:name="Xfdbaf024e2c96a402102a5440d4cacee8a2ff93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Что значит данная модель и в каких случаях используется</w:t>
      </w:r>
    </w:p>
    <w:p>
      <w:pPr>
        <w:pStyle w:val="FirstParagraph"/>
      </w:pPr>
      <w:r>
        <w:t xml:space="preserve">Данная модель описывает динамику численности двух видов, конкурирующих за общие ресурсы.</w:t>
      </w:r>
      <w:r>
        <w:t xml:space="preserve"> </w:t>
      </w:r>
      <w:r>
        <w:t xml:space="preserve">Она является классической и широко используется в теоретической экологии. Наиболее известная модель конкурентных взаимодействий была предложена в 20-х годах итальянским математиком Вито Вольтерра и американским биологом Альфредом Лоткой.</w:t>
      </w:r>
      <w:r>
        <w:t xml:space="preserve"> </w:t>
      </w:r>
      <w:r>
        <w:t xml:space="preserve">Она представляет собой прямое обобщение логистического уравнения роста популяции на случай конкуренции двух видов за один ресурс.</w:t>
      </w:r>
      <w:r>
        <w:t xml:space="preserve"> </w:t>
      </w:r>
      <w:r>
        <w:t xml:space="preserve">Модель Лотки–Вольтерра для двух конкурентов и по сей день остается основной при анализе межвидовой конкуренции.</w:t>
      </w:r>
      <w:r>
        <w:t xml:space="preserve"> </w:t>
      </w:r>
      <w:r>
        <w:t xml:space="preserve">Модели межвидовой конкуренции применяются для предсказания динамики численности конкурирующих видов,</w:t>
      </w:r>
      <w:r>
        <w:t xml:space="preserve"> </w:t>
      </w:r>
      <w:r>
        <w:t xml:space="preserve">для оценки вероятности их сосуществования в долговременной перспективе, а также для анализа исходов экспериментального или природного вселения видов в новые сообщества.</w:t>
      </w:r>
    </w:p>
    <w:bookmarkEnd w:id="20"/>
    <w:bookmarkStart w:id="21" w:name="все-сущности-и-связи-в-модели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Все сущности и связи в модели</w:t>
      </w:r>
    </w:p>
    <w:p>
      <w:pPr>
        <w:pStyle w:val="FirstParagraph"/>
      </w:pPr>
      <w:r>
        <w:t xml:space="preserve">Модель описывает взаимовлияние двух популяций через их отрицательное воздействие друг на друга. В этой системе два вида x и y отрицательно влияют друг на друга, так как каждый из них потребляет один и тот же ресурс, необходимый другому виду. Это влияние учитывается с помощью дополнительных членов в логистических уравнениях. Связь между популяциями осуществляется через коэффициенты конкуренции a и b, которые показывают, насколько сильное угнетающее действие оказывает один вид на рост другого по сравнению с внутривидовой конкуренцией.</w:t>
      </w:r>
    </w:p>
    <w:bookmarkEnd w:id="21"/>
    <w:bookmarkStart w:id="22" w:name="переменные-и-коэффициенты-в-формулах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Переменные и коэффициенты в формулах</w:t>
      </w:r>
    </w:p>
    <w:p>
      <w:pPr>
        <w:pStyle w:val="FirstParagraph"/>
      </w:pPr>
      <w:r>
        <w:t xml:space="preserve">Классическое представление модели и описание параметров выглядит следующим образом. Рассмотрим систему двух логистических уравнений, описывающих конкуренцию двух видов за ресурсы:</w:t>
      </w:r>
    </w:p>
    <w:bookmarkEnd w:id="22"/>
    <w:bookmarkEnd w:id="23"/>
    <w:bookmarkStart w:id="32" w:name="математическая-модель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Математическая модель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x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r>
                          <m:t>y</m:t>
                        </m:r>
                      </m:num>
                      <m:den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</m:e>
                </m:d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y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  <m:r>
                  <m:t>y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y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  <m:r>
                          <m:t>x</m:t>
                        </m:r>
                      </m:num>
                      <m:den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</m:e>
                </m:d>
              </m:e>
            </m:mr>
          </m:m>
        </m:oMath>
      </m:oMathPara>
    </w:p>
    <w:bookmarkStart w:id="24" w:name="параметры-системы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Параметры системы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Численности видов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Скорости роста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Ёмкости среды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Влияние вида 2 на вид 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Влияние вида 1 на вид 2</w:t>
            </w:r>
          </w:p>
        </w:tc>
      </w:tr>
    </w:tbl>
    <w:p>
      <w:pPr>
        <w:pStyle w:val="BodyText"/>
      </w:pPr>
      <w:r>
        <w:t xml:space="preserve">Коэффициент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можно интерпретировать как меру влияния второго вида на первый в единицах влияния первого вида на самого себя. Например, если a=2, то это означает, что одна особь вида y подавляет рост популяции x так же, как две особи самого вида x.</w:t>
      </w:r>
    </w:p>
    <w:bookmarkEnd w:id="24"/>
    <w:bookmarkStart w:id="25" w:name="влияние-параметров-на-поведение-системы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Влияние параметров на поведение системы</w:t>
      </w:r>
    </w:p>
    <w:p>
      <w:pPr>
        <w:pStyle w:val="FirstParagraph"/>
      </w:pPr>
      <w:r>
        <w:t xml:space="preserve">Поведение системы и исход конкуренции критически зависят от соотношения коэффициентов конкуренции и ёмкостей среды.</w:t>
      </w:r>
    </w:p>
    <w:p>
      <w:pPr>
        <w:pStyle w:val="BodyText"/>
      </w:pPr>
      <w:r>
        <w:t xml:space="preserve">Анализ стационарных состояний системы показывает, что возможны четыре исхода конкуренции: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Вытеснение вида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видом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: это происходит, если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01"/>
        </w:numPr>
      </w:pPr>
      <w:r>
        <w:rPr>
          <w:b/>
          <w:bCs/>
        </w:rPr>
        <w:t xml:space="preserve">Вытеснение вида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видом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: это происходит, если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01"/>
        </w:numPr>
      </w:pPr>
      <w:r>
        <w:rPr>
          <w:b/>
          <w:bCs/>
        </w:rPr>
        <w:t xml:space="preserve">Неустойчивое сосуществование</w:t>
      </w:r>
      <w:r>
        <w:t xml:space="preserve"> </w:t>
      </w:r>
      <w:r>
        <w:t xml:space="preserve">(исход зависит от начальных численностей): если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01"/>
        </w:numPr>
      </w:pPr>
      <w:r>
        <w:rPr>
          <w:b/>
          <w:bCs/>
        </w:rPr>
        <w:t xml:space="preserve">Устойчивое сосуществование обоих видов</w:t>
      </w:r>
      <w:r>
        <w:t xml:space="preserve">: если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</w:p>
    <w:p>
      <w:pPr>
        <w:pStyle w:val="FirstParagraph"/>
      </w:pPr>
      <w:r>
        <w:t xml:space="preserve">Принцип конкурентного исключения Гаузе, сформулированный на основе экспериментов с инфузориями, находит свое математическое выражение в модели Лотки–Вольтерра. Устойчивое сосуществование двух видов в модели возможно лишь в том случае, когда внутривидовая конкуренция у каждого вида сильнее, чем межвидовая. То есть, когда каждый вид ограничивает сам себя сильнее, чем его ограничивает конкурент.</w:t>
      </w:r>
    </w:p>
    <w:bookmarkEnd w:id="25"/>
    <w:bookmarkStart w:id="26" w:name="аналитическое-описание-поведения-системы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Аналитическое описание поведения системы</w:t>
      </w:r>
    </w:p>
    <w:p>
      <w:pPr>
        <w:pStyle w:val="FirstParagraph"/>
      </w:pPr>
      <w:r>
        <w:t xml:space="preserve">Качественный анализ модели позволяет предсказать долгосрочный исход конкуренции.</w:t>
      </w:r>
      <w:r>
        <w:t xml:space="preserve"> </w:t>
      </w:r>
      <w:r>
        <w:t xml:space="preserve">### Анализ стационарных состояний</w:t>
      </w:r>
    </w:p>
    <w:p>
      <w:pPr>
        <w:pStyle w:val="BodyText"/>
      </w:pPr>
      <w:r>
        <w:t xml:space="preserve">Поведение системы (1) определяется свойствами ее стационарных точек. Неподвижные точки находятся из условий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Кроме тривиальной точки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и точек, соответствующих существованию только одного вида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существует четвертая стационарная точка — нетривиальное равновесие с положительными численностями обоих видов. Устойчивость этой точки и определяет возможность сосуществования.</w:t>
      </w:r>
    </w:p>
    <w:p>
      <w:pPr>
        <w:pStyle w:val="BodyText"/>
      </w:pPr>
      <w:r>
        <w:t xml:space="preserve">Графически условия сосуществования можно представить на фазовой плоскости. Изоклины нулевого роста — прямые линии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r>
          <m:t>y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21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 Взаимное расположение этих изоклин определяет, какая из стационарных точек будет устойчивым узлом, то есть к какому исходу придет система. Если изоклины пересекаются в первом квадранте так, что образуется устойчивый узел, то виды сосуществуют. Если же устойчивым узлом становится точка на одной из осей, то это означает вытеснение одного из видов.</w:t>
      </w:r>
    </w:p>
    <w:bookmarkEnd w:id="26"/>
    <w:bookmarkStart w:id="27" w:name="X3a3dfc6e30dd1603fd107e68188d2b58803ed3d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Общий вид модели и биологический смысл коэффициентов</w:t>
      </w:r>
    </w:p>
    <w:p>
      <w:pPr>
        <w:pStyle w:val="FirstParagraph"/>
      </w:pPr>
      <w:r>
        <w:t xml:space="preserve">Рассмотрим теперь стандартную модель конкуренции двух видов в форме Колмогорова: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 функции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гладкие и описывают удельные скорости роста популяций. В случае, когда конкуренция линейна, получаем: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мальтузианские коэффициенты,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— коэффициенты внутривидовой конкуренции,</w:t>
      </w:r>
      <w:r>
        <w:t xml:space="preserve"> </w:t>
      </w:r>
      <m:oMath>
        <m:sSub>
          <m:e>
            <m:r>
              <m:t>e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— коэффициенты межвидовой конкуренции.</w:t>
      </w:r>
    </w:p>
    <w:bookmarkEnd w:id="27"/>
    <w:bookmarkStart w:id="28" w:name="о-преимуществах-такой-параметризации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О преимуществах такой параметризации</w:t>
      </w:r>
    </w:p>
    <w:p>
      <w:pPr>
        <w:pStyle w:val="FirstParagraph"/>
      </w:pPr>
      <w:r>
        <w:t xml:space="preserve">Запись модели в форме с коэффициентами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обладает тем преимуществом, что она делает явной линейную структуру конкурентных взаимодействий. Коэффициент</w:t>
      </w:r>
      <w:r>
        <w:t xml:space="preserve"> </w:t>
      </w:r>
      <m:oMath>
        <m:sSub>
          <m:e>
            <m:r>
              <m:t>e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имеет смысл меры ингибиторного эффекта, который оказывает одна особь вида 2 на удельную скорость роста вида 1.</w:t>
      </w:r>
    </w:p>
    <w:bookmarkEnd w:id="28"/>
    <w:bookmarkStart w:id="29" w:name="анализ-условий-сосуществования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Анализ условий сосуществования</w:t>
      </w:r>
    </w:p>
    <w:p>
      <w:pPr>
        <w:pStyle w:val="FirstParagraph"/>
      </w:pPr>
      <w:r>
        <w:t xml:space="preserve">Условия устойчивого сосуществования двух видов в модели с параметрами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принимают особенно простой и симметричный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12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22</m:t>
                  </m:r>
                </m:sub>
              </m:sSub>
            </m:den>
          </m:f>
          <m:r>
            <m:rPr>
              <m:sty m:val="p"/>
            </m:rPr>
            <m:t>&lt;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&lt;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21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где выполнение этого двойного неравенства гарантирует возможность длительного сосуществования обоих видов.</w:t>
      </w:r>
    </w:p>
    <w:p>
      <w:pPr>
        <w:pStyle w:val="BodyText"/>
      </w:pPr>
      <w:r>
        <w:t xml:space="preserve">Эти неравенства имеют глубокий экологический смысл: для сосуществования необходимо, чтобы межвидовая конкуренция была достаточно слаба по сравнению с внутривидовой.</w:t>
      </w:r>
    </w:p>
    <w:bookmarkEnd w:id="29"/>
    <w:bookmarkStart w:id="30" w:name="X80c67550f663f0adf8cac8bdb8b1ebd2c8ab2a1"/>
    <w:p>
      <w:pPr>
        <w:pStyle w:val="Heading3"/>
      </w:pPr>
      <w:r>
        <w:rPr>
          <w:rStyle w:val="SectionNumber"/>
        </w:rPr>
        <w:t xml:space="preserve">1.2.7</w:t>
      </w:r>
      <w:r>
        <w:tab/>
      </w:r>
      <w:r>
        <w:t xml:space="preserve">Связь с ёмкостями среды и классическими параметрами</w:t>
      </w:r>
    </w:p>
    <w:p>
      <w:pPr>
        <w:pStyle w:val="FirstParagraph"/>
      </w:pPr>
      <w:r>
        <w:t xml:space="preserve">Параметры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непосредственно связаны с традиционными параметрами модели Вольтерры. Если ввести ёмкости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и коэффициенты конкуренции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12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21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11</m:t>
            </m:r>
          </m:sub>
        </m:sSub>
      </m:oMath>
      <w:r>
        <w:t xml:space="preserve">, то мы получим классическую форму модели конкуренции.</w:t>
      </w:r>
    </w:p>
    <w:bookmarkEnd w:id="30"/>
    <w:bookmarkStart w:id="31" w:name="физический-смысл-коэффициентов"/>
    <w:p>
      <w:pPr>
        <w:pStyle w:val="Heading3"/>
      </w:pPr>
      <w:r>
        <w:rPr>
          <w:rStyle w:val="SectionNumber"/>
        </w:rPr>
        <w:t xml:space="preserve">1.2.8</w:t>
      </w:r>
      <w:r>
        <w:tab/>
      </w:r>
      <w:r>
        <w:t xml:space="preserve">Физический смысл коэффициентов</w:t>
      </w:r>
    </w:p>
    <w:p>
      <w:pPr>
        <w:pStyle w:val="FirstParagraph"/>
      </w:pPr>
      <w:r>
        <w:t xml:space="preserve">Коэффициенты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имеют размерность [1/(особь × время)] и могут быть непосредственно измерены в экспериментах. Например,</w:t>
      </w:r>
      <w:r>
        <w:t xml:space="preserve"> </w:t>
      </w:r>
      <m:oMath>
        <m:sSub>
          <m:e>
            <m:r>
              <m:t>e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показывает, насколько уменьшится удельная скорость роста вида 1 при добавлении одной особи вида 2.</w:t>
      </w:r>
    </w:p>
    <w:bookmarkEnd w:id="31"/>
    <w:bookmarkEnd w:id="32"/>
    <w:bookmarkStart w:id="34" w:name="методика-исследования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Методика исследования</w:t>
      </w:r>
    </w:p>
    <w:bookmarkStart w:id="33" w:name="реализация-математической-модели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1. Реализация математической модели</w:t>
      </w:r>
    </w:p>
    <w:p>
      <w:pPr>
        <w:pStyle w:val="FirstParagraph"/>
      </w:pPr>
      <w:r>
        <w:t xml:space="preserve">Для численного решения системы использован метод Эйлера. Шаг интегрирования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, время моделирования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20.0</m:t>
        </m:r>
      </m:oMath>
      <w:r>
        <w:t xml:space="preserve"> </w:t>
      </w:r>
      <w:r>
        <w:t xml:space="preserve">единиц.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competition_system1</w:t>
      </w:r>
      <w:r>
        <w:rPr>
          <w:rStyle w:val="NormalTok"/>
        </w:rPr>
        <w:t xml:space="preserve">(x, p)</w:t>
      </w:r>
      <w:r>
        <w:br/>
      </w:r>
      <w:r>
        <w:rPr>
          <w:rStyle w:val="NormalTok"/>
        </w:rPr>
        <w:t xml:space="preserve">    e1, 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u1, 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du1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u2)</w:t>
      </w:r>
      <w:r>
        <w:br/>
      </w:r>
      <w:r>
        <w:rPr>
          <w:rStyle w:val="NormalTok"/>
        </w:rPr>
        <w:t xml:space="preserve">    du2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[du1, du2]</w:t>
      </w:r>
      <w:r>
        <w:br/>
      </w:r>
      <w:r>
        <w:rPr>
          <w:rStyle w:val="KeywordTok"/>
        </w:rPr>
        <w:t xml:space="preserve">end</w:t>
      </w:r>
    </w:p>
    <w:bookmarkEnd w:id="33"/>
    <w:bookmarkEnd w:id="34"/>
    <w:bookmarkStart w:id="55" w:name="численное-интегрирование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2. Численное интегрирование</w:t>
      </w:r>
    </w:p>
    <w:p>
      <w:pPr>
        <w:pStyle w:val="FirstParagraph"/>
      </w:pPr>
      <w:r>
        <w:t xml:space="preserve">Реализована функция</w:t>
      </w:r>
      <w:r>
        <w:t xml:space="preserve"> </w:t>
      </w:r>
      <w:r>
        <w:rPr>
          <w:rStyle w:val="VerbatimChar"/>
        </w:rPr>
        <w:t xml:space="preserve">solve_competition</w:t>
      </w:r>
      <w:r>
        <w:t xml:space="preserve">, которая выполняет численное интегрирование системы методом Эйлера: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solve_competition</w:t>
      </w:r>
      <w:r>
        <w:rPr>
          <w:rStyle w:val="NormalTok"/>
        </w:rPr>
        <w:t xml:space="preserve">(u0, e1, e2, 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dt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(times)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(n_steps,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</w:t>
      </w:r>
      <w:r>
        <w:br/>
      </w:r>
      <w:r>
        <w:rPr>
          <w:rStyle w:val="NormalTok"/>
        </w:rPr>
        <w:t xml:space="preserve">        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competition_system1</w:t>
      </w:r>
      <w:r>
        <w:rPr>
          <w:rStyle w:val="NormalTok"/>
        </w:rPr>
        <w:t xml:space="preserve">(U[i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(e1, e2))</w:t>
      </w:r>
      <w:r>
        <w:br/>
      </w:r>
      <w:r>
        <w:rPr>
          <w:rStyle w:val="NormalTok"/>
        </w:rPr>
        <w:t xml:space="preserve">        U[i,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du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times, U</w:t>
      </w:r>
      <w:r>
        <w:br/>
      </w:r>
      <w:r>
        <w:rPr>
          <w:rStyle w:val="KeywordTok"/>
        </w:rPr>
        <w:t xml:space="preserve">end</w:t>
      </w:r>
    </w:p>
    <w:p>
      <w:pPr>
        <w:pStyle w:val="CaptionedFigure"/>
      </w:pPr>
      <w:r>
        <w:drawing>
          <wp:inline>
            <wp:extent cx="5334000" cy="3343701"/>
            <wp:effectExtent b="0" l="0" r="0" t="0"/>
            <wp:docPr descr="Динамика популяций при устойчивом сосуществовании" title="" id="36" name="Picture"/>
            <a:graphic>
              <a:graphicData uri="http://schemas.openxmlformats.org/drawingml/2006/picture">
                <pic:pic>
                  <pic:nvPicPr>
                    <pic:cNvPr descr="image/img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Динамика популяций при устойчивом сосуществовании</w:t>
      </w:r>
    </w:p>
    <w:p>
      <w:pPr>
        <w:pStyle w:val="CaptionedFigure"/>
      </w:pPr>
      <w:r>
        <w:drawing>
          <wp:inline>
            <wp:extent cx="5334000" cy="5060641"/>
            <wp:effectExtent b="0" l="0" r="0" t="0"/>
            <wp:docPr descr="Фазовый портрет. Устойчивое сосуществование" title="" id="39" name="Picture"/>
            <a:graphic>
              <a:graphicData uri="http://schemas.openxmlformats.org/drawingml/2006/picture">
                <pic:pic>
                  <pic:nvPicPr>
                    <pic:cNvPr descr="image/img_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0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Фазовый портрет. Устойчивое сосуществование</w:t>
      </w:r>
    </w:p>
    <w:bookmarkStart w:id="47" w:name="сценарий-2-победа-вида-1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Сценарий 2: Победа вида 1</w:t>
      </w:r>
    </w:p>
    <w:p>
      <w:pPr>
        <w:pStyle w:val="FirstParagraph"/>
      </w:pPr>
      <w:r>
        <w:rPr>
          <w:b/>
          <w:bCs/>
        </w:rPr>
        <w:t xml:space="preserve">Параметры: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1.2</m:t>
        </m:r>
      </m:oMath>
    </w:p>
    <w:p>
      <w:pPr>
        <w:pStyle w:val="BodyText"/>
      </w:pPr>
      <w:r>
        <w:rPr>
          <w:b/>
          <w:bCs/>
        </w:rPr>
        <w:t xml:space="preserve">Условие: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1</m:t>
        </m:r>
      </m:oMath>
    </w:p>
    <w:p>
      <w:pPr>
        <w:pStyle w:val="BodyText"/>
      </w:pPr>
      <w:r>
        <w:t xml:space="preserve">Вид 2 полностью вытесняется, вид 1 достигает максимальной численности. Равновесие системы: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. Фазовый портрет показывает, что все траектории сходятся к точке на оси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aptionedFigure"/>
      </w:pPr>
      <w:r>
        <w:drawing>
          <wp:inline>
            <wp:extent cx="5334000" cy="5112519"/>
            <wp:effectExtent b="0" l="0" r="0" t="0"/>
            <wp:docPr descr="Фазовый портрет. Победа вида 1" title="" id="42" name="Picture"/>
            <a:graphic>
              <a:graphicData uri="http://schemas.openxmlformats.org/drawingml/2006/picture">
                <pic:pic>
                  <pic:nvPicPr>
                    <pic:cNvPr descr="image/img_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2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Фазовый портрет. Победа вида 1</w:t>
      </w:r>
    </w:p>
    <w:p>
      <w:pPr>
        <w:pStyle w:val="CaptionedFigure"/>
      </w:pPr>
      <w:r>
        <w:drawing>
          <wp:inline>
            <wp:extent cx="5334000" cy="3332328"/>
            <wp:effectExtent b="0" l="0" r="0" t="0"/>
            <wp:docPr descr="Динамика популяций. Победа вида 1." title="" id="45" name="Picture"/>
            <a:graphic>
              <a:graphicData uri="http://schemas.openxmlformats.org/drawingml/2006/picture">
                <pic:pic>
                  <pic:nvPicPr>
                    <pic:cNvPr descr="image/img_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2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Динамика популяций. Победа вида 1.</w:t>
      </w:r>
    </w:p>
    <w:bookmarkEnd w:id="47"/>
    <w:bookmarkStart w:id="54" w:name="сценарий-3-победа-вида-2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Сценарий 3: Победа вида 2</w:t>
      </w:r>
    </w:p>
    <w:p>
      <w:pPr>
        <w:pStyle w:val="FirstParagraph"/>
      </w:pPr>
      <w:r>
        <w:rPr>
          <w:b/>
          <w:bCs/>
        </w:rPr>
        <w:t xml:space="preserve">Параметры: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</m:oMath>
    </w:p>
    <w:p>
      <w:pPr>
        <w:pStyle w:val="BodyText"/>
      </w:pPr>
      <w:r>
        <w:rPr>
          <w:b/>
          <w:bCs/>
        </w:rPr>
        <w:t xml:space="preserve">Условие: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1</m:t>
        </m:r>
      </m:oMath>
    </w:p>
    <w:p>
      <w:pPr>
        <w:pStyle w:val="BodyText"/>
      </w:pPr>
      <w:r>
        <w:t xml:space="preserve">Вид 1 полностью вытесняется, вид 2 достигает максимальной численности. Равновесие системы: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Траектории сходятся к точке на оси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CaptionedFigure"/>
      </w:pPr>
      <w:r>
        <w:drawing>
          <wp:inline>
            <wp:extent cx="5334000" cy="3335671"/>
            <wp:effectExtent b="0" l="0" r="0" t="0"/>
            <wp:docPr descr="Динамика популяций. Победа вида 2" title="" id="49" name="Picture"/>
            <a:graphic>
              <a:graphicData uri="http://schemas.openxmlformats.org/drawingml/2006/picture">
                <pic:pic>
                  <pic:nvPicPr>
                    <pic:cNvPr descr="image/img_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5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Динамика популяций. Победа вида 2</w:t>
      </w:r>
    </w:p>
    <w:p>
      <w:pPr>
        <w:pStyle w:val="CaptionedFigure"/>
      </w:pPr>
      <w:r>
        <w:drawing>
          <wp:inline>
            <wp:extent cx="5334000" cy="5137225"/>
            <wp:effectExtent b="0" l="0" r="0" t="0"/>
            <wp:docPr descr="Фазовый портрет. Победа вида 2" title="" id="52" name="Picture"/>
            <a:graphic>
              <a:graphicData uri="http://schemas.openxmlformats.org/drawingml/2006/picture">
                <pic:pic>
                  <pic:nvPicPr>
                    <pic:cNvPr descr="image/img_5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7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Фазовый портрет. Победа вида 2</w:t>
      </w:r>
    </w:p>
    <w:bookmarkEnd w:id="54"/>
    <w:bookmarkEnd w:id="55"/>
    <w:bookmarkStart w:id="62" w:name="анимированные-представления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Анимированные представления</w:t>
      </w:r>
    </w:p>
    <w:p>
      <w:pPr>
        <w:pStyle w:val="FirstParagraph"/>
      </w:pPr>
      <w:r>
        <w:t xml:space="preserve">Созданы две анимации для наглядной демонстрации динамики системы: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Анимация одной траектории</w:t>
      </w:r>
      <w:r>
        <w:t xml:space="preserve"> </w:t>
      </w:r>
      <w:r>
        <w:t xml:space="preserve">- показывает синхронную эволюцию временных рядов и фазового портрета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Анимация нескольких траекторий</w:t>
      </w:r>
      <w:r>
        <w:t xml:space="preserve"> </w:t>
      </w:r>
      <w:r>
        <w:t xml:space="preserve">- демонстрирует зависимость конечного состояния от начальных условий</w:t>
      </w:r>
    </w:p>
    <w:p>
      <w:pPr>
        <w:pStyle w:val="CaptionedFigure"/>
      </w:pPr>
      <w:r>
        <w:drawing>
          <wp:inline>
            <wp:extent cx="5334000" cy="2079555"/>
            <wp:effectExtent b="0" l="0" r="0" t="0"/>
            <wp:docPr descr="Фазовый портрет и динамика популяций системы конкуренции в зависимости от разных начальных условий нескольких видов" title="" id="57" name="Picture"/>
            <a:graphic>
              <a:graphicData uri="http://schemas.openxmlformats.org/drawingml/2006/picture">
                <pic:pic>
                  <pic:nvPicPr>
                    <pic:cNvPr descr="image/img_6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Фазовый портрет и динамика популяций системы конкуренции в зависимости от разных начальных условий нескольких видов</w:t>
      </w:r>
    </w:p>
    <w:p>
      <w:pPr>
        <w:pStyle w:val="CaptionedFigure"/>
      </w:pPr>
      <w:r>
        <w:drawing>
          <wp:inline>
            <wp:extent cx="5334000" cy="2129619"/>
            <wp:effectExtent b="0" l="0" r="0" t="0"/>
            <wp:docPr descr="Динамика популяций и фазовый портрет системы конкуренции двух видов. Устойчивое сосуществование" title="" id="60" name="Picture"/>
            <a:graphic>
              <a:graphicData uri="http://schemas.openxmlformats.org/drawingml/2006/picture">
                <pic:pic>
                  <pic:nvPicPr>
                    <pic:cNvPr descr="image/img_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9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Динамика популяций и фазовый портрет системы конкуренции двух видов. Устойчивое сосуществование</w:t>
      </w:r>
    </w:p>
    <w:bookmarkEnd w:id="62"/>
    <w:bookmarkEnd w:id="63"/>
    <w:bookmarkStart w:id="72" w:name="X8061b67e0c427dc00806328d8dfaafc7f3e3cf3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Исследование и построение имитационной модели</w:t>
      </w:r>
    </w:p>
    <w:bookmarkStart w:id="64" w:name="постановка-задач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Для исследования динамики системы конкуренции двух видов была разработана имитационная модель на языке программирования Julia. Модель основана на системе дифференциальных уравнений Лотки-Вольтерры: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x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r>
                          <m:t>y</m:t>
                        </m:r>
                      </m:num>
                      <m:den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</m:e>
                </m:d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y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  <m:r>
                  <m:t>y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y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  <m:r>
                          <m:t>x</m:t>
                        </m:r>
                      </m:num>
                      <m:den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</m:e>
                </m:d>
              </m:e>
            </m:mr>
          </m:m>
        </m:oMath>
      </m:oMathPara>
    </w:p>
    <w:bookmarkEnd w:id="64"/>
    <w:bookmarkStart w:id="71" w:name="методы-исследования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Методы исследования</w:t>
      </w:r>
    </w:p>
    <w:bookmarkStart w:id="65" w:name="численное-интегрирование-1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1. Численное интегрирование</w:t>
      </w:r>
    </w:p>
    <w:p>
      <w:pPr>
        <w:pStyle w:val="FirstParagraph"/>
      </w:pPr>
      <w:r>
        <w:t xml:space="preserve">Для решения системы дифференциальных уравнений использован метод Эйлера с фиксированным шагом интегрирования. Реализована функция численного интегрирования: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solve_competition</w:t>
      </w:r>
      <w:r>
        <w:rPr>
          <w:rStyle w:val="NormalTok"/>
        </w:rPr>
        <w:t xml:space="preserve">(u0, e1, e2, 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dt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(times)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(n_steps,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</w:t>
      </w:r>
      <w:r>
        <w:br/>
      </w:r>
      <w:r>
        <w:rPr>
          <w:rStyle w:val="NormalTok"/>
        </w:rPr>
        <w:t xml:space="preserve">        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competition_system1</w:t>
      </w:r>
      <w:r>
        <w:rPr>
          <w:rStyle w:val="NormalTok"/>
        </w:rPr>
        <w:t xml:space="preserve">(U[i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(e1, e2))</w:t>
      </w:r>
      <w:r>
        <w:br/>
      </w:r>
      <w:r>
        <w:rPr>
          <w:rStyle w:val="NormalTok"/>
        </w:rPr>
        <w:t xml:space="preserve">        U[i,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du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times, U</w:t>
      </w:r>
      <w:r>
        <w:br/>
      </w:r>
      <w:r>
        <w:rPr>
          <w:rStyle w:val="KeywordTok"/>
        </w:rPr>
        <w:t xml:space="preserve">end</w:t>
      </w:r>
    </w:p>
    <w:bookmarkEnd w:id="65"/>
    <w:bookmarkStart w:id="66" w:name="параметризация-модели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2. Параметризация модели</w:t>
      </w:r>
    </w:p>
    <w:p>
      <w:pPr>
        <w:pStyle w:val="FirstParagraph"/>
      </w:pPr>
      <w:r>
        <w:t xml:space="preserve">Были исследованы различные комбинации параметров конкуренции для выявления основных режимов системы: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Коэффициенты конкуренции</w:t>
      </w:r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варьировались в диапазоне [0.1, 2.0]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Начальные условия</w:t>
      </w:r>
      <w:r>
        <w:t xml:space="preserve">: исследованы различные начальные численности видов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Время моделирования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единиц времени с шагом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0.1</m:t>
        </m:r>
      </m:oMath>
    </w:p>
    <w:bookmarkEnd w:id="66"/>
    <w:bookmarkStart w:id="67" w:name="визуализация-результатов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3. Визуализация результатов</w:t>
      </w:r>
    </w:p>
    <w:p>
      <w:pPr>
        <w:pStyle w:val="FirstParagraph"/>
      </w:pPr>
      <w:r>
        <w:t xml:space="preserve">Разработаны функции для комплексной визуализации динамики системы: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Фазовые портреты</w:t>
      </w:r>
      <w:r>
        <w:t xml:space="preserve"> </w:t>
      </w:r>
      <w:r>
        <w:t xml:space="preserve">- отображение траекторий в пространстве состояний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Временные ряды</w:t>
      </w:r>
      <w:r>
        <w:t xml:space="preserve"> </w:t>
      </w:r>
      <w:r>
        <w:t xml:space="preserve">- динамика численностей видов во времени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Анимации</w:t>
      </w:r>
      <w:r>
        <w:t xml:space="preserve"> </w:t>
      </w:r>
      <w:r>
        <w:t xml:space="preserve">- интерактивное представление эволюции системы</w:t>
      </w:r>
    </w:p>
    <w:bookmarkEnd w:id="67"/>
    <w:bookmarkStart w:id="68" w:name="реализация-имитационной-модели"/>
    <w:p>
      <w:pPr>
        <w:pStyle w:val="Heading3"/>
      </w:pPr>
      <w:r>
        <w:rPr>
          <w:rStyle w:val="SectionNumber"/>
        </w:rPr>
        <w:t xml:space="preserve">2.2.4</w:t>
      </w:r>
      <w:r>
        <w:tab/>
      </w:r>
      <w:r>
        <w:t xml:space="preserve">Реализация имитационной модели</w:t>
      </w:r>
    </w:p>
    <w:bookmarkEnd w:id="68"/>
    <w:bookmarkStart w:id="69" w:name="основная-система-уравнений"/>
    <w:p>
      <w:pPr>
        <w:pStyle w:val="Heading3"/>
      </w:pPr>
      <w:r>
        <w:rPr>
          <w:rStyle w:val="SectionNumber"/>
        </w:rPr>
        <w:t xml:space="preserve">2.2.5</w:t>
      </w:r>
      <w:r>
        <w:tab/>
      </w:r>
      <w:r>
        <w:t xml:space="preserve">Основная система уравнений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competition_system1</w:t>
      </w:r>
      <w:r>
        <w:rPr>
          <w:rStyle w:val="NormalTok"/>
        </w:rPr>
        <w:t xml:space="preserve">(x, p)</w:t>
      </w:r>
      <w:r>
        <w:br/>
      </w:r>
      <w:r>
        <w:rPr>
          <w:rStyle w:val="NormalTok"/>
        </w:rPr>
        <w:t xml:space="preserve">    e1, 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u1, 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du1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u2)</w:t>
      </w:r>
      <w:r>
        <w:br/>
      </w:r>
      <w:r>
        <w:rPr>
          <w:rStyle w:val="NormalTok"/>
        </w:rPr>
        <w:t xml:space="preserve">    du2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[du1, du2]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Описание функции: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Назначение</w:t>
      </w:r>
      <w:r>
        <w:t xml:space="preserve">: Вычисляет правые части системы дифференциальных уравнений Лотки-Вольтерры для конкуренции двух видов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Входные параметры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- вектор текущих численностей видов [u₁, u₂]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</w:t>
      </w:r>
      <w:r>
        <w:t xml:space="preserve"> </w:t>
      </w:r>
      <w:r>
        <w:t xml:space="preserve">- кортеж параметров (e₁, e₂), где e₁, e₂ - коэффициенты конкуренции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Выходные данные</w:t>
      </w:r>
      <w:r>
        <w:t xml:space="preserve">: Вектор производных [du₁/dt, du₂/dt]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Математическая основа</w:t>
      </w:r>
      <w:r>
        <w:t xml:space="preserve">: Моделирует логистический рост с учетом межвидовой конкуренции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Биологический смысл</w:t>
      </w:r>
      <w:r>
        <w:t xml:space="preserve">: Каждый вид растет по логистическому закону, но скорость роста уменьшается в связи с конкуренцией со стороны другого вида</w:t>
      </w:r>
    </w:p>
    <w:bookmarkEnd w:id="69"/>
    <w:bookmarkStart w:id="70" w:name="функция-анализа-устойчивости"/>
    <w:p>
      <w:pPr>
        <w:pStyle w:val="Heading3"/>
      </w:pPr>
      <w:r>
        <w:rPr>
          <w:rStyle w:val="SectionNumber"/>
        </w:rPr>
        <w:t xml:space="preserve">2.2.6</w:t>
      </w:r>
      <w:r>
        <w:tab/>
      </w:r>
      <w:r>
        <w:t xml:space="preserve">Функция анализа устойчивости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analyze_stability</w:t>
      </w:r>
      <w:r>
        <w:rPr>
          <w:rStyle w:val="NormalTok"/>
        </w:rPr>
        <w:t xml:space="preserve">(e1, e2)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"Устойчивое сосуществование"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e1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e2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"Победа вида 1"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e1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"Победа вида 2"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"Неустойчивое сосуществование"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Описание функции: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Назначение</w:t>
      </w:r>
      <w:r>
        <w:t xml:space="preserve">: Определение типа равновесия системы на основе параметров конкуренции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Критерии устойчивости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e₁ &lt; 1 и e₂ &lt; 1: оба вида слабо влияют друг на друга - сосуществование</w:t>
      </w:r>
    </w:p>
    <w:p>
      <w:pPr>
        <w:pStyle w:val="Compact"/>
        <w:numPr>
          <w:ilvl w:val="1"/>
          <w:numId w:val="1008"/>
        </w:numPr>
      </w:pPr>
      <w:r>
        <w:t xml:space="preserve">e₁ &lt; 1 и e₂ &gt; 1: вид 2 сильно угнетает вид 1 - победа вида 2</w:t>
      </w:r>
    </w:p>
    <w:p>
      <w:pPr>
        <w:pStyle w:val="Compact"/>
        <w:numPr>
          <w:ilvl w:val="1"/>
          <w:numId w:val="1008"/>
        </w:numPr>
      </w:pPr>
      <w:r>
        <w:t xml:space="preserve">e₁ &gt; 1 и e₂ &lt; 1: вид 1 сильно угнетает вид 2 - победа вида 1</w:t>
      </w:r>
    </w:p>
    <w:p>
      <w:pPr>
        <w:pStyle w:val="Compact"/>
        <w:numPr>
          <w:ilvl w:val="1"/>
          <w:numId w:val="1008"/>
        </w:numPr>
      </w:pPr>
      <w:r>
        <w:t xml:space="preserve">e₁ &gt; 1 и e₂ &gt; 1: сильная взаимная конкуренция - неустойчивость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Теоретическое обоснование</w:t>
      </w:r>
      <w:r>
        <w:t xml:space="preserve">: Критерии основаны на анализе собственных чисел матрицы Якоби системы</w:t>
      </w:r>
    </w:p>
    <w:bookmarkEnd w:id="70"/>
    <w:bookmarkEnd w:id="71"/>
    <w:bookmarkEnd w:id="72"/>
    <w:bookmarkStart w:id="93" w:name="математические-основы-модел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Математические основы модели</w:t>
      </w:r>
    </w:p>
    <w:bookmarkStart w:id="73" w:name="система-дифференциальных-уравнений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Система дифференциальных уравнений</w:t>
      </w:r>
    </w:p>
    <w:p>
      <w:pPr>
        <w:pStyle w:val="FirstParagraph"/>
      </w:pPr>
      <w:r>
        <w:t xml:space="preserve">Модель описывается системой: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</m:mr>
          </m:m>
        </m:oMath>
      </m:oMathPara>
    </w:p>
    <w:p>
      <w:pPr>
        <w:pStyle w:val="FirstParagraph"/>
      </w:pPr>
      <w:r>
        <w:rPr>
          <w:b/>
          <w:bCs/>
        </w:rPr>
        <w:t xml:space="preserve">Компоненты уравнений: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Логистический рост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- рост с ограничением по ресурсам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Межвидовая конкуренция</w:t>
      </w:r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i</m:t>
            </m:r>
          </m:sub>
        </m:sSub>
        <m:sSub>
          <m:e>
            <m:r>
              <m:t>u</m:t>
            </m:r>
          </m:e>
          <m:sub>
            <m:r>
              <m:t>i</m:t>
            </m:r>
          </m:sub>
        </m:sSub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- угнетение роста в связи с конкуренцией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Нормированные переменные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- относительные численности</w:t>
      </w:r>
    </w:p>
    <w:bookmarkEnd w:id="73"/>
    <w:bookmarkStart w:id="74" w:name="стационарные-точки-систем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Стационарные точки системы</w:t>
      </w:r>
    </w:p>
    <w:p>
      <w:pPr>
        <w:pStyle w:val="FirstParagraph"/>
      </w:pPr>
      <w:r>
        <w:t xml:space="preserve">Система имеет четыре стационарные точки: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- вымирание обоих видов</w:t>
      </w:r>
      <w:r>
        <w:br/>
      </w:r>
    </w:p>
    <w:p>
      <w:pPr>
        <w:pStyle w:val="Compact"/>
        <w:numPr>
          <w:ilvl w:val="0"/>
          <w:numId w:val="1010"/>
        </w:numPr>
      </w:pP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- победа вида 1</w:t>
      </w:r>
      <w:r>
        <w:br/>
      </w:r>
    </w:p>
    <w:p>
      <w:pPr>
        <w:pStyle w:val="Compact"/>
        <w:numPr>
          <w:ilvl w:val="0"/>
          <w:numId w:val="1010"/>
        </w:numPr>
      </w:pP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- победа вида 2</w:t>
      </w:r>
      <w:r>
        <w:br/>
      </w:r>
    </w:p>
    <w:p>
      <w:pPr>
        <w:pStyle w:val="Compact"/>
        <w:numPr>
          <w:ilvl w:val="0"/>
          <w:numId w:val="1010"/>
        </w:numPr>
      </w:pP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e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e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e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e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e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e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</m:oMath>
      <w:r>
        <w:t xml:space="preserve"> </w:t>
      </w:r>
      <w:r>
        <w:t xml:space="preserve">- сосуществование</w:t>
      </w:r>
    </w:p>
    <w:bookmarkEnd w:id="74"/>
    <w:bookmarkStart w:id="87" w:name="сценарии-исследования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Сценарии исследования</w:t>
      </w:r>
    </w:p>
    <w:bookmarkStart w:id="78" w:name="сценарий-1-устойчивое-сосуществование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Сценарий 1: Устойчивое сосуществование</w:t>
      </w:r>
    </w:p>
    <w:p>
      <w:pPr>
        <w:pStyle w:val="FirstParagraph"/>
      </w:pPr>
      <w:r>
        <w:rPr>
          <w:b/>
          <w:bCs/>
        </w:rPr>
        <w:t xml:space="preserve">Параметры</w:t>
      </w:r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0.4</m:t>
        </m:r>
      </m:oMath>
      <w:r>
        <w:br/>
      </w:r>
      <w:r>
        <w:rPr>
          <w:b/>
          <w:bCs/>
        </w:rPr>
        <w:t xml:space="preserve">Результат</w:t>
      </w:r>
      <w:r>
        <w:t xml:space="preserve">: Оба вида достигают стабильного равновесия с ненулевыми численностями</w:t>
      </w:r>
    </w:p>
    <w:p>
      <w:pPr>
        <w:pStyle w:val="CaptionedFigure"/>
      </w:pPr>
      <w:r>
        <w:drawing>
          <wp:inline>
            <wp:extent cx="5334000" cy="4148666"/>
            <wp:effectExtent b="0" l="0" r="0" t="0"/>
            <wp:docPr descr="Сценарий 1: Устойчивое сосуществование" title="" id="76" name="Picture"/>
            <a:graphic>
              <a:graphicData uri="http://schemas.openxmlformats.org/drawingml/2006/picture">
                <pic:pic>
                  <pic:nvPicPr>
                    <pic:cNvPr descr="image/сoexistenc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Сценарий 1: Устойчивое сосуществование</w:t>
      </w:r>
    </w:p>
    <w:bookmarkEnd w:id="78"/>
    <w:bookmarkStart w:id="82" w:name="сценарий-2-победа-вида-1-1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Сценарий 2: Победа вида 1</w:t>
      </w:r>
    </w:p>
    <w:p>
      <w:pPr>
        <w:pStyle w:val="FirstParagraph"/>
      </w:pPr>
      <w:r>
        <w:rPr>
          <w:b/>
          <w:bCs/>
        </w:rPr>
        <w:t xml:space="preserve">Параметры</w:t>
      </w:r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1.2</m:t>
        </m:r>
      </m:oMath>
      <w:r>
        <w:br/>
      </w:r>
      <w:r>
        <w:rPr>
          <w:b/>
          <w:bCs/>
        </w:rPr>
        <w:t xml:space="preserve">Результат</w:t>
      </w:r>
      <w:r>
        <w:t xml:space="preserve">: Вид 2 вытесняется, вид 1 достигает максимальной численности</w:t>
      </w:r>
    </w:p>
    <w:p>
      <w:pPr>
        <w:pStyle w:val="CaptionedFigure"/>
      </w:pPr>
      <w:r>
        <w:drawing>
          <wp:inline>
            <wp:extent cx="5334000" cy="4148666"/>
            <wp:effectExtent b="0" l="0" r="0" t="0"/>
            <wp:docPr descr="Сценарий 2: Победа вида 1" title="" id="80" name="Picture"/>
            <a:graphic>
              <a:graphicData uri="http://schemas.openxmlformats.org/drawingml/2006/picture">
                <pic:pic>
                  <pic:nvPicPr>
                    <pic:cNvPr descr="image/species1_win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Сценарий 2: Победа вида 1</w:t>
      </w:r>
    </w:p>
    <w:bookmarkEnd w:id="82"/>
    <w:bookmarkStart w:id="86" w:name="сценарий-3-победа-вида-2-1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Сценарий 3: Победа вида 2</w:t>
      </w:r>
    </w:p>
    <w:p>
      <w:pPr>
        <w:pStyle w:val="FirstParagraph"/>
      </w:pPr>
      <w:r>
        <w:rPr>
          <w:b/>
          <w:bCs/>
        </w:rPr>
        <w:t xml:space="preserve">Параметры</w:t>
      </w:r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</m:oMath>
      <w:r>
        <w:br/>
      </w:r>
      <w:r>
        <w:rPr>
          <w:b/>
          <w:bCs/>
        </w:rPr>
        <w:t xml:space="preserve">Результат</w:t>
      </w:r>
      <w:r>
        <w:t xml:space="preserve">: Вид 1 вытесняется, вид 2 доминирует в системе</w:t>
      </w:r>
    </w:p>
    <w:p>
      <w:pPr>
        <w:pStyle w:val="CaptionedFigure"/>
      </w:pPr>
      <w:r>
        <w:drawing>
          <wp:inline>
            <wp:extent cx="5334000" cy="4148666"/>
            <wp:effectExtent b="0" l="0" r="0" t="0"/>
            <wp:docPr descr="Сценарий 3: Победа вида 2" title="" id="84" name="Picture"/>
            <a:graphic>
              <a:graphicData uri="http://schemas.openxmlformats.org/drawingml/2006/picture">
                <pic:pic>
                  <pic:nvPicPr>
                    <pic:cNvPr descr="image/species2_win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Сценарий 3: Победа вида 2</w:t>
      </w:r>
    </w:p>
    <w:bookmarkEnd w:id="86"/>
    <w:bookmarkEnd w:id="87"/>
    <w:bookmarkStart w:id="90" w:name="визуализация-и-анимация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Визуализация и анимация</w:t>
      </w:r>
    </w:p>
    <w:bookmarkStart w:id="88" w:name="анимация-одной-траектории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Анимация одной траектории</w:t>
      </w:r>
    </w:p>
    <w:p>
      <w:pPr>
        <w:pStyle w:val="FirstParagraph"/>
      </w:pPr>
      <w:r>
        <w:t xml:space="preserve">Демонстрирует синхронную эволюцию временных рядов и фазового портрета для заданных начальных условий.</w:t>
      </w:r>
    </w:p>
    <w:bookmarkEnd w:id="88"/>
    <w:bookmarkStart w:id="89" w:name="анимация-нескольких-траекторий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Анимация нескольких траекторий</w:t>
      </w:r>
    </w:p>
    <w:p>
      <w:pPr>
        <w:pStyle w:val="FirstParagraph"/>
      </w:pPr>
      <w:r>
        <w:t xml:space="preserve">Показывает зависимость конечного состояния системы от различных начальных численностей видов.</w:t>
      </w:r>
    </w:p>
    <w:bookmarkEnd w:id="89"/>
    <w:bookmarkEnd w:id="90"/>
    <w:bookmarkStart w:id="91" w:name="анализ-результатов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Анализ результатов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Валидация модели</w:t>
      </w:r>
      <w:r>
        <w:t xml:space="preserve">: Результаты численного моделирования соответствуют теоретическим предсказаниям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Чувствительность системы</w:t>
      </w:r>
      <w:r>
        <w:t xml:space="preserve">: Выявлена высокая чувствительность исхода конкуренции к малым изменениям коэффициентов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Устойчивость решений</w:t>
      </w:r>
      <w:r>
        <w:t xml:space="preserve">: Метод Эйлера показал достаточную точность для качественного анализа динамики</w:t>
      </w:r>
    </w:p>
    <w:bookmarkEnd w:id="91"/>
    <w:bookmarkStart w:id="92" w:name="X137f6e60cf05466aba443031233f8becffde29b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Заключение по имитационному моделированию</w:t>
      </w:r>
    </w:p>
    <w:p>
      <w:pPr>
        <w:pStyle w:val="FirstParagraph"/>
      </w:pPr>
      <w:r>
        <w:t xml:space="preserve">Построенная имитационная модель позволяет:</w:t>
      </w:r>
    </w:p>
    <w:p>
      <w:pPr>
        <w:pStyle w:val="Compact"/>
        <w:numPr>
          <w:ilvl w:val="0"/>
          <w:numId w:val="1012"/>
        </w:numPr>
      </w:pPr>
      <w:r>
        <w:t xml:space="preserve">Исследовать динамику системы при различных параметрах</w:t>
      </w:r>
    </w:p>
    <w:p>
      <w:pPr>
        <w:pStyle w:val="Compact"/>
        <w:numPr>
          <w:ilvl w:val="0"/>
          <w:numId w:val="1012"/>
        </w:numPr>
      </w:pPr>
      <w:r>
        <w:t xml:space="preserve">Визуализировать фазовые портреты и временные ряды</w:t>
      </w:r>
    </w:p>
    <w:p>
      <w:pPr>
        <w:pStyle w:val="Compact"/>
        <w:numPr>
          <w:ilvl w:val="0"/>
          <w:numId w:val="1012"/>
        </w:numPr>
      </w:pPr>
      <w:r>
        <w:t xml:space="preserve">Анализировать устойчивость стационарных состояний</w:t>
      </w:r>
    </w:p>
    <w:p>
      <w:pPr>
        <w:pStyle w:val="Compact"/>
        <w:numPr>
          <w:ilvl w:val="0"/>
          <w:numId w:val="1012"/>
        </w:numPr>
      </w:pPr>
      <w:r>
        <w:t xml:space="preserve">Прогнозировать исход межвидовой конкуренции</w:t>
      </w:r>
    </w:p>
    <w:bookmarkEnd w:id="92"/>
    <w:bookmarkEnd w:id="93"/>
    <w:bookmarkStart w:id="9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Классификация режимов конкуренции:</w:t>
      </w:r>
    </w:p>
    <w:p>
      <w:pPr>
        <w:pStyle w:val="Compact"/>
        <w:numPr>
          <w:ilvl w:val="1"/>
          <w:numId w:val="1014"/>
        </w:numPr>
      </w:pPr>
      <w:r>
        <w:t xml:space="preserve">Устойчивое сосуществование: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1</m:t>
        </m:r>
      </m:oMath>
    </w:p>
    <w:p>
      <w:pPr>
        <w:pStyle w:val="Compact"/>
        <w:numPr>
          <w:ilvl w:val="1"/>
          <w:numId w:val="1014"/>
        </w:numPr>
      </w:pPr>
      <w:r>
        <w:t xml:space="preserve">Победа вида 1: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1"/>
          <w:numId w:val="1014"/>
        </w:numPr>
      </w:pPr>
      <w:r>
        <w:t xml:space="preserve">Победа вида 2: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1</m:t>
        </m:r>
      </m:oMath>
    </w:p>
    <w:p>
      <w:pPr>
        <w:numPr>
          <w:ilvl w:val="0"/>
          <w:numId w:val="1013"/>
        </w:numPr>
      </w:pPr>
      <w:r>
        <w:t xml:space="preserve">Метод Эйлера показал достаточную точность для качественного анализа динамики системы</w:t>
      </w:r>
    </w:p>
    <w:p>
      <w:pPr>
        <w:numPr>
          <w:ilvl w:val="0"/>
          <w:numId w:val="1013"/>
        </w:numPr>
      </w:pPr>
      <w:r>
        <w:t xml:space="preserve">Визуализация является мощным инструментом для понимания поведения нелинейных динамических систем</w:t>
      </w:r>
    </w:p>
    <w:p>
      <w:pPr>
        <w:numPr>
          <w:ilvl w:val="0"/>
          <w:numId w:val="1013"/>
        </w:numPr>
      </w:pPr>
      <w:r>
        <w:t xml:space="preserve">Модель позволяет прогнозировать исход межвидовой конкуренции и определять условия сосуществования видов</w:t>
      </w:r>
    </w:p>
    <w:bookmarkEnd w:id="94"/>
    <w:bookmarkStart w:id="95" w:name="заключ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Проведенное исследование подтвердило теоретические предсказания модели конкуренции Лотки-Вольтерры за ресурсы.</w:t>
      </w:r>
    </w:p>
    <w:bookmarkEnd w:id="95"/>
    <w:bookmarkStart w:id="96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[1] Julia Documentation: https://docs.julialang.org/en/v1/</w:t>
      </w:r>
    </w:p>
    <w:p>
      <w:pPr>
        <w:pStyle w:val="BodyText"/>
      </w:pPr>
      <w:r>
        <w:t xml:space="preserve">[2] Ризниченко Г.Ю. Лекции по математическим моделям в биологии. — М.-Ижевск: Институт компьютерных исследований, 2011. — 560 с.</w:t>
      </w:r>
    </w:p>
    <w:p>
      <w:pPr>
        <w:pStyle w:val="BodyText"/>
      </w:pPr>
      <w:r>
        <w:t xml:space="preserve">[3] Одум Ю. Основы экологии. — М.: Мир, 1975. — 740 с.</w:t>
      </w:r>
    </w:p>
    <w:p>
      <w:pPr>
        <w:pStyle w:val="BodyText"/>
      </w:pPr>
      <w:r>
        <w:t xml:space="preserve">[4] Базыкин А.Д. Математическая биофизика взаимодействующих популяций. — М.: Наука, 1985. — 181 с.</w:t>
      </w:r>
    </w:p>
    <w:p>
      <w:pPr>
        <w:pStyle w:val="BodyText"/>
      </w:pPr>
      <w:r>
        <w:t xml:space="preserve">[5] Свирежев Ю.М., Логофет Д.О. Устойчивость биологических сообществ. — М.: Наука, 1978. — 352 с.</w:t>
      </w:r>
    </w:p>
    <w:p>
      <w:pPr>
        <w:pStyle w:val="BodyText"/>
      </w:pPr>
      <w:r>
        <w:t xml:space="preserve">[6] Мюррей Дж. Математическая биология. I. Введение. — М.-Ижевск: Институт компьютерных исследований, 2009. — 776 с.</w:t>
      </w:r>
    </w:p>
    <w:p>
      <w:pPr>
        <w:pStyle w:val="BodyText"/>
      </w:pPr>
      <w:r>
        <w:t xml:space="preserve">[7] Гилпин М. Теория структуры сообществ // Теоретическая экология. Принципы и применения. — М.: Мир, 1981. — С. 129-154.</w:t>
      </w:r>
    </w:p>
    <w:p>
      <w:pPr>
        <w:pStyle w:val="BodyText"/>
      </w:pPr>
      <w:r>
        <w:t xml:space="preserve">[8] Розенберг Г.С., Мозговой Д.П., Голубков М.Б. Экология. Элементы теоретических конструкций современной экологии. — Самара: Самарский научный центр РАН, 1999. — 396 с.</w:t>
      </w:r>
    </w:p>
    <w:p>
      <w:pPr>
        <w:pStyle w:val="BodyText"/>
      </w:pPr>
      <w:r>
        <w:t xml:space="preserve">[9] Пианка Э. Эволюционная экология. — М.: Мир, 1981. — 399 с.</w:t>
      </w:r>
    </w:p>
    <w:p>
      <w:pPr>
        <w:pStyle w:val="BodyText"/>
      </w:pPr>
      <w:r>
        <w:t xml:space="preserve">[10] Братусь А.С., Новожилов А.С., Платонов А.П. Динамические системы и модели биологии. — М.: Физматлит, 2010. — 400 с.</w:t>
      </w:r>
    </w:p>
    <w:p>
      <w:pPr>
        <w:pStyle w:val="BodyText"/>
      </w:pPr>
      <w:r>
        <w:t xml:space="preserve">[11] Стейни К. Теория популяционной биологии // Математика в биологии. — М.: Мир, 1979. — С. 189-216.</w:t>
      </w:r>
    </w:p>
    <w:p>
      <w:pPr>
        <w:pStyle w:val="BodyText"/>
      </w:pPr>
      <w:r>
        <w:t xml:space="preserve">[12] Базыкин А.Д. Нелинейная динамика взаимодействующих популяций. — М.-Ижевск: Институт компьютерных исследований, 2003. — 368 с.</w:t>
      </w:r>
    </w:p>
    <w:p>
      <w:pPr>
        <w:pStyle w:val="BodyText"/>
      </w:pPr>
      <w:r>
        <w:t xml:space="preserve">[13] Volterra V. Leçons sur la théorie mathématique de la lutte pour la vie. — Paris: Gauthier-Villars, 1931. — 214 p.</w:t>
      </w:r>
    </w:p>
    <w:p>
      <w:pPr>
        <w:pStyle w:val="BodyText"/>
      </w:pPr>
      <w:r>
        <w:t xml:space="preserve">[14] Lotka A.J. Elements of Physical Biology. — Baltimore: Williams &amp; Wilkins, 1925. — 460 p.</w:t>
      </w:r>
    </w:p>
    <w:p>
      <w:pPr>
        <w:pStyle w:val="BodyText"/>
      </w:pPr>
      <w:r>
        <w:t xml:space="preserve">[15] Gause G.F. The Struggle for Existence. — Baltimore: Williams &amp; Wilkins, 1934. — 163 p.</w:t>
      </w:r>
    </w:p>
    <w:p>
      <w:pPr>
        <w:pStyle w:val="BodyText"/>
      </w:pPr>
      <w:r>
        <w:t xml:space="preserve">[16] Hutchinson G.E. The Ecological Theater and the Evolutionary Play. — New Haven: Yale University Press, 1965. — 139 p.</w:t>
      </w:r>
    </w:p>
    <w:p>
      <w:pPr>
        <w:pStyle w:val="BodyText"/>
      </w:pPr>
      <w:r>
        <w:t xml:space="preserve">[17] May R.M. Stability and Complexity in Model Ecosystems. — Princeton: Princeton University Press, 1973. — 265 p.</w:t>
      </w:r>
    </w:p>
    <w:p>
      <w:pPr>
        <w:pStyle w:val="BodyText"/>
      </w:pPr>
      <w:r>
        <w:t xml:space="preserve">[18] MacArthur R.H. Geographical Ecology: Patterns in the Distribution of Species. — New York: Harper &amp; Row, 1972. — 269 p.</w:t>
      </w:r>
    </w:p>
    <w:p>
      <w:pPr>
        <w:pStyle w:val="BodyText"/>
      </w:pPr>
      <w:r>
        <w:t xml:space="preserve">[19] Vandermeer J.H. Elementary Mathematical Ecology. — New York: John Wiley &amp; Sons, 1981. — 294 p.</w:t>
      </w:r>
    </w:p>
    <w:p>
      <w:pPr>
        <w:pStyle w:val="BodyText"/>
      </w:pPr>
      <w:r>
        <w:t xml:space="preserve">[20] Yodzis P. Introduction to Theoretical Ecology. — New York: Harper &amp; Row, 1989. — 384 p.</w:t>
      </w:r>
    </w:p>
    <w:p>
      <w:pPr>
        <w:pStyle w:val="BodyText"/>
      </w:pPr>
      <w:r>
        <w:t xml:space="preserve">[21] Roughgarden J. Theory of Population Genetics and Evolutionary Ecology: An Introduction. — New York: Macmillan, 1979. — 634 p.</w:t>
      </w:r>
    </w:p>
    <w:p>
      <w:pPr>
        <w:pStyle w:val="BodyText"/>
      </w:pPr>
      <w:r>
        <w:t xml:space="preserve">[22] Kot M. Elements of Mathematical Ecology. — Cambridge: Cambridge University Press, 2001. — 453 p.</w:t>
      </w:r>
    </w:p>
    <w:p>
      <w:pPr>
        <w:pStyle w:val="BodyText"/>
      </w:pPr>
      <w:r>
        <w:t xml:space="preserve">[23] Малинецкий Г.Г., Потапов А.Б. Современные проблемы нелинейной динамики. — М.: УРСС, 2000. — 336 с.</w:t>
      </w:r>
    </w:p>
    <w:p>
      <w:pPr>
        <w:pStyle w:val="BodyText"/>
      </w:pPr>
      <w:r>
        <w:t xml:space="preserve">[24] Тихонов А.Н., Самарский А.А. Уравнения математической физики. — М.: Наука, 1972. — 735 с.</w:t>
      </w:r>
    </w:p>
    <w:p>
      <w:pPr>
        <w:pStyle w:val="BodyText"/>
      </w:pPr>
      <w:r>
        <w:t xml:space="preserve">[25] Арнольд В.И. Обыкновенные дифференциальные уравнения. — М.: Наука, 1975. — 240 с.</w:t>
      </w:r>
    </w:p>
    <w:p>
      <w:pPr>
        <w:pStyle w:val="BodyText"/>
      </w:pPr>
      <w:r>
        <w:t xml:space="preserve">[26] Романковский В.И., Кузнецов Д.И. Методы анализа нелинейных динамических моделей. — М.-Ижевск: Институт компьютерных исследований, 2011. — 366 с.</w:t>
      </w:r>
    </w:p>
    <w:p>
      <w:pPr>
        <w:pStyle w:val="BodyText"/>
      </w:pPr>
      <w:r>
        <w:t xml:space="preserve">[27] Стёгний В.Н. Основы математической биологии. — Киев: Выща школа, 1987. — 295 с.</w:t>
      </w:r>
    </w:p>
    <w:p>
      <w:pPr>
        <w:pStyle w:val="BodyText"/>
      </w:pPr>
      <w:r>
        <w:t xml:space="preserve">[28] Полуэктов Р.А., Пых Ю.А., Швытов И.А. Динамические модели экологических систем. — Л.: Гидрометеоиздат, 1980. — 288 с.</w:t>
      </w:r>
    </w:p>
    <w:p>
      <w:pPr>
        <w:pStyle w:val="BodyText"/>
      </w:pPr>
      <w:r>
        <w:t xml:space="preserve">[29] Ахромеева Т.С., Курдюмов С.П., Малинецкий Г.Г., Самарский А.А. Нестационарные структуры и диффузионный хаос. — М.: Наука, 1992. — 544 с.</w:t>
      </w:r>
    </w:p>
    <w:p>
      <w:pPr>
        <w:pStyle w:val="BodyText"/>
      </w:pPr>
      <w:r>
        <w:t xml:space="preserve">[30] Лосев К.С. Экологические проблемы и перспективы устойчивого развития России в XXI веке. — М.: Космосинформ, 2001. — 400 с.</w:t>
      </w:r>
    </w:p>
    <w:p>
      <w:pPr>
        <w:pStyle w:val="BodyText"/>
      </w:pPr>
      <w:r>
        <w:t xml:space="preserve">[31] Швилов К.К. Математическое моделирование в экологии. — М.: Изд-во МГУ, 1993. — 200 с.</w:t>
      </w:r>
    </w:p>
    <w:p>
      <w:pPr>
        <w:pStyle w:val="BodyText"/>
      </w:pPr>
      <w:r>
        <w:t xml:space="preserve">[32] Hirsch M.W., Smale S., Devaney R.L. Differential Equations, Dynamical Systems, and an Introduction to Chaos. — Academic Press, 2004. — 431 p.</w:t>
      </w:r>
    </w:p>
    <w:p>
      <w:pPr>
        <w:pStyle w:val="BodyText"/>
      </w:pPr>
      <w:r>
        <w:t xml:space="preserve">[33] Strogatz S.H. Nonlinear Dynamics and Chaos: With Applications to Physics, Biology, Chemistry, and Engineering. — Westview Press, 1994. — 498 p.</w:t>
      </w:r>
    </w:p>
    <w:p>
      <w:pPr>
        <w:pStyle w:val="BodyText"/>
      </w:pPr>
      <w:r>
        <w:t xml:space="preserve">[34] Guckenheimer J., Holmes P. Nonlinear Oscillations, Dynamical Systems, and Bifurcations of Vector Fields. — New York: Springer, 1983. — 459 p.</w:t>
      </w:r>
    </w:p>
    <w:p>
      <w:pPr>
        <w:pStyle w:val="BodyText"/>
      </w:pPr>
      <w:r>
        <w:t xml:space="preserve">[35] Kuznetsov Yu.A. Elements of Applied Bifurcation Theory. — New York: Springer, 1998. — 591 p.</w:t>
      </w:r>
    </w:p>
    <w:p>
      <w:pPr>
        <w:pStyle w:val="BodyText"/>
      </w:pPr>
      <w:r>
        <w:t xml:space="preserve">[36] Hofbauer J., Sigmund K. Evolutionary Games and Population Dynamics. — Cambridge: Cambridge University Press, 1998. — 323 p.</w:t>
      </w:r>
    </w:p>
    <w:p>
      <w:pPr>
        <w:pStyle w:val="BodyText"/>
      </w:pPr>
      <w:r>
        <w:t xml:space="preserve">[37] Chesson P. Mechanisms of Maintenance of Species Diversity // Annual Review of Ecology and Systematics. — 2000. — Vol. 31. — P. 343-366.</w:t>
      </w:r>
    </w:p>
    <w:p>
      <w:pPr>
        <w:pStyle w:val="BodyText"/>
      </w:pPr>
      <w:r>
        <w:t xml:space="preserve">[38] Tilman D. Resource Competition and Community Structure. — Princeton: Princeton University Press, 1982. — 296 p.</w:t>
      </w:r>
    </w:p>
    <w:p>
      <w:pPr>
        <w:pStyle w:val="BodyText"/>
      </w:pPr>
      <w:r>
        <w:t xml:space="preserve">[39] Hsu S.B., Hubbell S.P., Waltman P. A Contribution to the Theory of Competing Predators // Ecological Monographs. — 1978. — Vol. 48, № 3. — P. 337-349.</w:t>
      </w:r>
    </w:p>
    <w:p>
      <w:pPr>
        <w:pStyle w:val="BodyText"/>
      </w:pPr>
      <w:r>
        <w:t xml:space="preserve">[40] Armstrong R.A., McGehee R. Competitive Exclusion // The American Naturalist. — 1980. — Vol. 115, № 2. — P. 151-170.</w:t>
      </w:r>
    </w:p>
    <w:p>
      <w:pPr>
        <w:pStyle w:val="BodyText"/>
      </w:pPr>
      <w:r>
        <w:t xml:space="preserve">[41] Gruntfest Yu., Arditi R., Dombrovsky Ya. A Model of Species Coexistence Based on Population-Dependent Rates of Population Growth // Ecological Modelling. — 1997. — Vol. 104, № 2-3. — P. 177-191.</w:t>
      </w:r>
    </w:p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научной работе по теме</dc:title>
  <dc:creator>Выполнила: Коннова Татьяна Алекссевна, НПИбд-01-22, 1132221814</dc:creator>
  <dc:language>ru-RU</dc:language>
  <cp:keywords/>
  <dcterms:created xsi:type="dcterms:W3CDTF">2025-11-16T21:15:20Z</dcterms:created>
  <dcterms:modified xsi:type="dcterms:W3CDTF">2025-11-16T21:15:20Z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«ИССЛЕДОВАНИЕ СИСТЕМЫ КОНКУРЕНЦИИ НЕСКОЛЬКИХ ВИДОВ ЗА РЕСУРСЫ»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