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10.jpeg" ContentType="image/jpe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jpeg" ContentType="image/jpeg"/>
  <Override PartName="/word/media/image13.jpeg" ContentType="image/jpeg"/>
  <Override PartName="/word/media/image9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Лабораторная работа №7</w:t>
      </w:r>
    </w:p>
    <w:p>
      <w:pPr>
        <w:pStyle w:val="Style14"/>
        <w:rPr/>
      </w:pPr>
      <w:r>
        <w:rPr/>
        <w:t>Арифметические операции в NASM.</w:t>
      </w:r>
    </w:p>
    <w:p>
      <w:pPr>
        <w:pStyle w:val="Author"/>
        <w:rPr/>
      </w:pPr>
      <w:r>
        <w:rPr/>
        <w:t>Татьяна Алексеевна Коннова, НПИбд-01-22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420_3008454844">
            <w:r>
              <w:rPr/>
              <w:t>1 Цель работы</w:t>
              <w:tab/>
              <w:t>1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422_3008454844">
            <w:r>
              <w:rPr/>
              <w:t>1.1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424_3008454844">
            <w:r>
              <w:rPr/>
              <w:t>2 7.3.2. Выполнение арифметических операций в NASM</w:t>
              <w:tab/>
              <w:t>7</w:t>
            </w:r>
          </w:hyperlink>
        </w:p>
        <w:p>
          <w:pPr>
            <w:pStyle w:val="11"/>
            <w:rPr/>
          </w:pPr>
          <w:hyperlink w:anchor="__RefHeading___Toc426_3008454844">
            <w:r>
              <w:rPr/>
              <w:t>3 Самостоятельная работа</w:t>
              <w:tab/>
              <w:t>9</w:t>
            </w:r>
          </w:hyperlink>
        </w:p>
        <w:p>
          <w:pPr>
            <w:pStyle w:val="11"/>
            <w:rPr/>
          </w:pPr>
          <w:hyperlink w:anchor="__RefHeading___Toc428_3008454844">
            <w:r>
              <w:rPr/>
              <w:t>4 Выводы</w:t>
              <w:tab/>
              <w:t>11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420_3008454844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r>
        <w:rPr/>
        <w:t>Освоение арифметических инструкций языка ассемблера NASM. ## Задание Выполнить операции с помощью ассемблера</w:t>
      </w:r>
    </w:p>
    <w:p>
      <w:pPr>
        <w:pStyle w:val="2"/>
        <w:rPr/>
      </w:pPr>
      <w:bookmarkStart w:id="2" w:name="__RefHeading___Toc422_3008454844"/>
      <w:bookmarkStart w:id="3" w:name="выполнение-лабораторной-работы"/>
      <w:bookmarkEnd w:id="2"/>
      <w:r>
        <w:rPr>
          <w:rStyle w:val="SectionNumber"/>
        </w:rPr>
        <w:t>1.1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3"/>
        </w:numPr>
        <w:rPr/>
      </w:pPr>
      <w:r>
        <w:rPr/>
        <w:t>Создаем каталог для программам лабораторной работы No 7, перейдем в него и создаем файл lab7-1.asm: mkdir ~/work/arch-pc/lab07 cd ~/work/arch-pc/lab07 touch lab7-1.asm</w:t>
      </w:r>
    </w:p>
    <w:p>
      <w:pPr>
        <w:pStyle w:val="FirstParagraph"/>
        <w:rPr/>
      </w:pPr>
      <w:r>
        <w:rPr/>
        <w:t>(рис. 1)</w:t>
      </w:r>
    </w:p>
    <w:p>
      <w:pPr>
        <w:pStyle w:val="CaptionedFigure"/>
        <w:rPr/>
      </w:pPr>
      <w:bookmarkStart w:id="4" w:name="fig%3A001"/>
      <w:r>
        <w:rPr/>
        <w:drawing>
          <wp:inline distT="0" distB="0" distL="0" distR="0">
            <wp:extent cx="5334000" cy="212725"/>
            <wp:effectExtent l="0" t="0" r="0" b="0"/>
            <wp:docPr id="1" name="Picture" descr="Рис. 1: to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touch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Рис. 1: touch</w:t>
      </w:r>
    </w:p>
    <w:p>
      <w:pPr>
        <w:pStyle w:val="Compact"/>
        <w:numPr>
          <w:ilvl w:val="0"/>
          <w:numId w:val="14"/>
        </w:numPr>
        <w:rPr/>
      </w:pPr>
      <w:r>
        <w:rPr/>
        <w:t>Рассмотрим примеры программ вывода символьных и численных значе- ний. Программы будут выводить значения записанные в регистр eax. Введите в файл lab7-1.asm текст программы из листинга 7.1. В данной про- грамме в регистр eax записывается символ 6 (mov eax,‘6’), в регистр ebx символ 4 (mov ebx,‘4’). Далее к значению в регистре eax прибавляем зна- чение регистра ebx (add eax,ebx, результат сложения запишется в регистр eax). Далее выводим результат. Так как для работы функции sprintLF в регистр eax должен быть записан адрес, необходимо использовать дополнительную переменную. Для этого запишем значение регистра eax в переменную buf1 (mov [buf1],eax), а затем запишем адрес переменной buf1 в регистр eax (mov eax,buf1) и вызовем функцию sprintLF</w:t>
      </w:r>
    </w:p>
    <w:p>
      <w:pPr>
        <w:pStyle w:val="FirstParagraph"/>
        <w:rPr/>
      </w:pPr>
      <w:r>
        <w:rPr/>
        <w:t>(рис. 2)</w:t>
      </w:r>
    </w:p>
    <w:p>
      <w:pPr>
        <w:pStyle w:val="CaptionedFigure"/>
        <w:rPr/>
      </w:pPr>
      <w:bookmarkStart w:id="5" w:name="fig%3A002"/>
      <w:r>
        <w:rPr/>
        <w:drawing>
          <wp:inline distT="0" distB="0" distL="0" distR="0">
            <wp:extent cx="4635500" cy="6921500"/>
            <wp:effectExtent l="0" t="0" r="0" b="0"/>
            <wp:docPr id="2" name="Изображение1" descr="Рис. 2: lab7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Рис. 2: lab7-1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692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Рис. 2: lab7-1</w:t>
      </w:r>
    </w:p>
    <w:p>
      <w:pPr>
        <w:pStyle w:val="Style9"/>
        <w:rPr/>
      </w:pPr>
      <w:r>
        <w:rPr/>
        <w:t>В данном случае при выводе значения регистра eax мы ожидаем увидеть число 10. Однако результатом будет символ j. Это происходит потому, что код символа 6 равен 00110110 в двоичном представлении (или 54 в десятичном представлении), а код символа 4 – 00110100 (52). Команда add eax,ebx запишет в регистр eax сумму кодов – 01101010 (106), что в свою очередь является кодом символа j</w:t>
      </w:r>
    </w:p>
    <w:p>
      <w:pPr>
        <w:pStyle w:val="Style9"/>
        <w:rPr/>
      </w:pPr>
      <w:r>
        <w:rPr/>
        <w:t>(рис. 3)</w:t>
      </w:r>
    </w:p>
    <w:p>
      <w:pPr>
        <w:pStyle w:val="CaptionedFigure"/>
        <w:rPr/>
      </w:pPr>
      <w:bookmarkStart w:id="6" w:name="fig%3A003"/>
      <w:r>
        <w:rPr/>
        <w:drawing>
          <wp:inline distT="0" distB="0" distL="0" distR="0">
            <wp:extent cx="5334000" cy="767080"/>
            <wp:effectExtent l="0" t="0" r="0" b="0"/>
            <wp:docPr id="3" name="Изображение2" descr="Рис. 3: Output 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Рис. 3: Output j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Рис. 3: Output j</w:t>
      </w:r>
    </w:p>
    <w:p>
      <w:pPr>
        <w:pStyle w:val="Compact"/>
        <w:numPr>
          <w:ilvl w:val="0"/>
          <w:numId w:val="15"/>
        </w:numPr>
        <w:rPr/>
      </w:pPr>
      <w:r>
        <w:rPr/>
        <w:t>Далее изменим текст программы и вместо символов, запишем в реги- стры числа. Исправим текст программы (Листинг 1) следующим образом:</w:t>
      </w:r>
    </w:p>
    <w:p>
      <w:pPr>
        <w:pStyle w:val="FirstParagraph"/>
        <w:rPr/>
      </w:pPr>
      <w:r>
        <w:rPr/>
        <w:t>mov eax,‘6’ mov ebx,‘4’ на строки mov eax,6 mov ebx,4</w:t>
      </w:r>
    </w:p>
    <w:p>
      <w:pPr>
        <w:pStyle w:val="Style9"/>
        <w:rPr/>
      </w:pPr>
      <w:r>
        <w:rPr/>
        <w:t>Как и в предыдущем случае при исполнении программы мы не получим число</w:t>
      </w:r>
    </w:p>
    <w:p>
      <w:pPr>
        <w:pStyle w:val="Style9"/>
        <w:rPr/>
      </w:pPr>
      <w:r>
        <w:rPr/>
        <w:t>(рис. 4)</w:t>
      </w:r>
    </w:p>
    <w:p>
      <w:pPr>
        <w:pStyle w:val="CaptionedFigure"/>
        <w:rPr/>
      </w:pPr>
      <w:bookmarkStart w:id="7" w:name="fig%3A004"/>
      <w:r>
        <w:rPr/>
        <w:drawing>
          <wp:inline distT="0" distB="0" distL="0" distR="0">
            <wp:extent cx="4876800" cy="7315200"/>
            <wp:effectExtent l="0" t="0" r="0" b="0"/>
            <wp:docPr id="4" name="Изображение3" descr="Рис. 4: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Рис. 4: Output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Рис. 4: Output</w:t>
      </w:r>
    </w:p>
    <w:p>
      <w:pPr>
        <w:pStyle w:val="Style9"/>
        <w:rPr/>
      </w:pPr>
      <w:r>
        <w:rPr/>
        <w:t>(рис. 5)</w:t>
      </w:r>
    </w:p>
    <w:p>
      <w:pPr>
        <w:pStyle w:val="CaptionedFigure"/>
        <w:rPr/>
      </w:pPr>
      <w:bookmarkStart w:id="8" w:name="fig%3A005"/>
      <w:r>
        <w:rPr/>
        <w:drawing>
          <wp:inline distT="0" distB="0" distL="0" distR="0">
            <wp:extent cx="5334000" cy="1130935"/>
            <wp:effectExtent l="0" t="0" r="0" b="0"/>
            <wp:docPr id="5" name="Изображение4" descr="Рис. 5: Output_pr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Рис. 5: Output_pro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Рис. 5: Output_prog</w:t>
      </w:r>
    </w:p>
    <w:p>
      <w:pPr>
        <w:pStyle w:val="Compact"/>
        <w:numPr>
          <w:ilvl w:val="0"/>
          <w:numId w:val="16"/>
        </w:numPr>
        <w:rPr/>
      </w:pPr>
      <w:r>
        <w:rPr/>
        <w:t>В данном случае выводится символ с кодом 10. Пользуясь таблицей ASCII определим какому символу соответствует код 10.</w:t>
      </w:r>
    </w:p>
    <w:p>
      <w:pPr>
        <w:pStyle w:val="FirstParagraph"/>
        <w:rPr/>
      </w:pPr>
      <w:r>
        <w:rPr/>
        <w:t>line feed, LF — «подача бумаги на строку») — управляющий символ ASCII ( 0x0A , 10 в десятичной системе счисления, при выводе которого курсор перемещается на следующую строку.</w:t>
      </w:r>
    </w:p>
    <w:p>
      <w:pPr>
        <w:pStyle w:val="Style9"/>
        <w:rPr/>
      </w:pPr>
      <w:r>
        <w:rPr/>
        <w:t>(рис. 6)</w:t>
      </w:r>
    </w:p>
    <w:p>
      <w:pPr>
        <w:pStyle w:val="CaptionedFigure"/>
        <w:rPr/>
      </w:pPr>
      <w:bookmarkStart w:id="9" w:name="fig%3A006"/>
      <w:r>
        <w:rPr/>
        <w:drawing>
          <wp:inline distT="0" distB="0" distL="0" distR="0">
            <wp:extent cx="5334000" cy="808355"/>
            <wp:effectExtent l="0" t="0" r="0" b="0"/>
            <wp:docPr id="6" name="Изображение5" descr="Рис. 6: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Рис. 6: Outpu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Рис. 6: Output</w:t>
      </w:r>
    </w:p>
    <w:p>
      <w:pPr>
        <w:pStyle w:val="Style9"/>
        <w:rPr/>
      </w:pPr>
      <w:r>
        <w:rPr/>
        <w:t>(рис. 7)</w:t>
      </w:r>
    </w:p>
    <w:p>
      <w:pPr>
        <w:pStyle w:val="CaptionedFigure"/>
        <w:rPr/>
      </w:pPr>
      <w:bookmarkStart w:id="10" w:name="fig%3A007"/>
      <w:r>
        <w:rPr/>
        <w:drawing>
          <wp:inline distT="0" distB="0" distL="0" distR="0">
            <wp:extent cx="5334000" cy="771525"/>
            <wp:effectExtent l="0" t="0" r="0" b="0"/>
            <wp:docPr id="7" name="Изображение6" descr="Рис. 7: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Рис. 7: Outpu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Рис. 7: Output</w:t>
      </w:r>
    </w:p>
    <w:p>
      <w:pPr>
        <w:pStyle w:val="Compact"/>
        <w:numPr>
          <w:ilvl w:val="0"/>
          <w:numId w:val="17"/>
        </w:numPr>
        <w:rPr/>
      </w:pPr>
      <w:r>
        <w:rPr/>
        <w:t>Как отмечалось выше, для работы с числами в файле in_out.asm реализова- ны подпрограммы для преобразования ASCII символов в числа и обратно. Преобразуем текст программы из Листинга 7.1 с использованием этих функций. Создаем файл lab7-2.asm в каталоге ~/work/arch-pc/lab07 и введим в него текст программы из листинга 7.2. touch ~/work/arch-pc/lab07/lab7-2.asm</w:t>
      </w:r>
    </w:p>
    <w:p>
      <w:pPr>
        <w:pStyle w:val="FirstParagraph"/>
        <w:rPr/>
      </w:pPr>
      <w:r>
        <w:rPr/>
        <w:t>Создаем исполняемый файл и запускаем его В результате работы программы мы получим число 106. В данном случае, как и в первом, команда add складывает коды символов ‘6’ и ‘4’ (54+52=106). Однако, в отличии от программы из листинга 7.1, функция iprintLF позволяет вывести число, а не символ, кодом которого является это число.</w:t>
      </w:r>
    </w:p>
    <w:p>
      <w:pPr>
        <w:pStyle w:val="Style9"/>
        <w:rPr/>
      </w:pPr>
      <w:r>
        <w:rPr/>
        <w:t>(рис. 8)</w:t>
      </w:r>
    </w:p>
    <w:p>
      <w:pPr>
        <w:pStyle w:val="CaptionedFigure"/>
        <w:rPr/>
      </w:pPr>
      <w:bookmarkStart w:id="11" w:name="fig%3A012"/>
      <w:r>
        <w:rPr/>
        <w:drawing>
          <wp:inline distT="0" distB="0" distL="0" distR="0">
            <wp:extent cx="4546600" cy="4851400"/>
            <wp:effectExtent l="0" t="0" r="0" b="0"/>
            <wp:docPr id="8" name="Изображение7" descr="Рис. 8: LAB7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Рис. 8: LAB7-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p>
      <w:pPr>
        <w:pStyle w:val="ImageCaption"/>
        <w:rPr/>
      </w:pPr>
      <w:r>
        <w:rPr/>
        <w:t>Рис. 8: LAB7-2</w:t>
      </w:r>
    </w:p>
    <w:p>
      <w:pPr>
        <w:pStyle w:val="Style9"/>
        <w:rPr/>
      </w:pPr>
      <w:r>
        <w:rPr/>
        <w:t>(рис. 9)</w:t>
      </w:r>
    </w:p>
    <w:p>
      <w:pPr>
        <w:pStyle w:val="CaptionedFigure"/>
        <w:rPr/>
      </w:pPr>
      <w:bookmarkStart w:id="12" w:name="fig%3A013"/>
      <w:r>
        <w:rPr/>
        <w:drawing>
          <wp:inline distT="0" distB="0" distL="0" distR="0">
            <wp:extent cx="5334000" cy="1115695"/>
            <wp:effectExtent l="0" t="0" r="0" b="0"/>
            <wp:docPr id="9" name="Изображение8" descr="Рис. 9: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Рис. 9: Output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r>
        <w:rPr/>
        <w:t>Рис. 9: Output</w:t>
      </w:r>
    </w:p>
    <w:p>
      <w:pPr>
        <w:pStyle w:val="Compact"/>
        <w:numPr>
          <w:ilvl w:val="0"/>
          <w:numId w:val="18"/>
        </w:numPr>
        <w:rPr/>
      </w:pPr>
      <w:r>
        <w:rPr/>
        <w:t>Аналогично предыдущему примеру изменим символы на числа. Заменим строки</w:t>
      </w:r>
    </w:p>
    <w:p>
      <w:pPr>
        <w:pStyle w:val="FirstParagraph"/>
        <w:rPr/>
      </w:pPr>
      <w:r>
        <w:rPr/>
        <w:t>mov eax,‘6’ mov ebx,‘4’ на строки mov eax,6 mov ebx,4</w:t>
      </w:r>
    </w:p>
    <w:p>
      <w:pPr>
        <w:pStyle w:val="Style9"/>
        <w:rPr/>
      </w:pPr>
      <w:r>
        <w:rPr/>
        <w:t>Создаем исполняемый файл и запускаем его. Заменяем функцию iprintLF на iprint. Создаем исполняемый файл и запускаем его.</w:t>
      </w:r>
    </w:p>
    <w:p>
      <w:pPr>
        <w:pStyle w:val="Style9"/>
        <w:rPr/>
      </w:pPr>
      <w:r>
        <w:rPr/>
        <w:t>(рис. 10)</w:t>
      </w:r>
    </w:p>
    <w:p>
      <w:pPr>
        <w:pStyle w:val="CaptionedFigure"/>
        <w:rPr/>
      </w:pPr>
      <w:bookmarkStart w:id="13" w:name="fig%3A014"/>
      <w:r>
        <w:rPr/>
        <w:drawing>
          <wp:inline distT="0" distB="0" distL="0" distR="0">
            <wp:extent cx="4597400" cy="4813300"/>
            <wp:effectExtent l="0" t="0" r="0" b="0"/>
            <wp:docPr id="10" name="Изображение9" descr="Рис. 10: I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Рис. 10: Iprint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>
      <w:pPr>
        <w:pStyle w:val="ImageCaption"/>
        <w:rPr/>
      </w:pPr>
      <w:bookmarkStart w:id="14" w:name="цель-работы"/>
      <w:bookmarkStart w:id="15" w:name="выполнение-лабораторной-работы"/>
      <w:r>
        <w:rPr/>
        <w:t>Рис. 10: Iprint</w:t>
      </w:r>
      <w:bookmarkEnd w:id="14"/>
      <w:bookmarkEnd w:id="15"/>
    </w:p>
    <w:p>
      <w:pPr>
        <w:pStyle w:val="1"/>
        <w:rPr/>
      </w:pPr>
      <w:bookmarkStart w:id="16" w:name="__RefHeading___Toc424_3008454844"/>
      <w:bookmarkStart w:id="17" w:name="X8c0a1c151545696051e31eb8f7e02c7d54dd7c6"/>
      <w:bookmarkEnd w:id="16"/>
      <w:r>
        <w:rPr>
          <w:rStyle w:val="SectionNumber"/>
        </w:rPr>
        <w:t>2</w:t>
      </w:r>
      <w:r>
        <w:rPr/>
        <w:tab/>
        <w:t>7.3.2. Выполнение арифметических операций в NASM</w:t>
      </w:r>
    </w:p>
    <w:p>
      <w:pPr>
        <w:pStyle w:val="Compact"/>
        <w:numPr>
          <w:ilvl w:val="0"/>
          <w:numId w:val="19"/>
        </w:numPr>
        <w:rPr/>
      </w:pPr>
      <w:r>
        <w:rPr/>
        <w:t>В качестве примера выполнения арифметических операций в NASM при- ведем программу вычисления арифметического выражения f(x) = (5 * 2 + 3)/3. Создаем файл lab7-3.asm в каталоге ~/work/arch-pc/lab07: touch ~/work/arch-pc/lab07/lab7-3.asm Внимательно изучаем текст программы из листинга 7.3 и вводим в lab7-3.asm.</w:t>
      </w:r>
    </w:p>
    <w:p>
      <w:pPr>
        <w:pStyle w:val="FirstParagraph"/>
        <w:rPr/>
      </w:pPr>
      <w:r>
        <w:rPr/>
        <w:t>(рис. 11)</w:t>
      </w:r>
    </w:p>
    <w:p>
      <w:pPr>
        <w:pStyle w:val="CaptionedFigure"/>
        <w:rPr/>
      </w:pPr>
      <w:bookmarkStart w:id="18" w:name="fig%3A015"/>
      <w:r>
        <w:rPr/>
        <w:drawing>
          <wp:inline distT="0" distB="0" distL="0" distR="0">
            <wp:extent cx="5334000" cy="5001895"/>
            <wp:effectExtent l="0" t="0" r="0" b="0"/>
            <wp:docPr id="11" name="Изображение10" descr="Рис. 11: Expere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0" descr="Рис. 11: Experession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r>
        <w:rPr/>
        <w:t>Рис. 11: Experession</w:t>
      </w:r>
    </w:p>
    <w:p>
      <w:pPr>
        <w:pStyle w:val="Compact"/>
        <w:numPr>
          <w:ilvl w:val="0"/>
          <w:numId w:val="20"/>
        </w:numPr>
        <w:rPr/>
      </w:pPr>
      <w:r>
        <w:rPr/>
        <w:t>Какие строки листинга 7.4 отвечают за вывод на экран сообщения ‘Ваш вариант:’?</w:t>
      </w:r>
    </w:p>
    <w:p>
      <w:pPr>
        <w:pStyle w:val="FirstParagraph"/>
        <w:rPr/>
      </w:pPr>
      <w:r>
        <w:rPr/>
        <w:t>mov eax, rem</w:t>
      </w:r>
    </w:p>
    <w:p>
      <w:pPr>
        <w:pStyle w:val="Style9"/>
        <w:rPr/>
      </w:pPr>
      <w:r>
        <w:rPr/>
        <w:t>call sprint</w:t>
      </w:r>
    </w:p>
    <w:p>
      <w:pPr>
        <w:pStyle w:val="Normal"/>
        <w:numPr>
          <w:ilvl w:val="0"/>
          <w:numId w:val="21"/>
        </w:numPr>
        <w:rPr/>
      </w:pPr>
      <w:r>
        <w:rPr/>
        <w:t>Для чего используется следующие инструкции? nasm mov ecx, x mov edx, 80 call sread Подобное необходимо затем, чтобы мы ввели посыл не более 80 символьных значений в переменную х</w:t>
      </w:r>
    </w:p>
    <w:p>
      <w:pPr>
        <w:pStyle w:val="Normal"/>
        <w:numPr>
          <w:ilvl w:val="0"/>
          <w:numId w:val="22"/>
        </w:numPr>
        <w:rPr/>
      </w:pPr>
      <w:r>
        <w:rPr/>
        <w:t>Для чего используется инструкция “call atoi”? Чтобы работать не с символами из ASCII работающей по порядковым номерам, а с числами, то есть с реальными цифрами.</w:t>
      </w:r>
    </w:p>
    <w:p>
      <w:pPr>
        <w:pStyle w:val="Normal"/>
        <w:numPr>
          <w:ilvl w:val="0"/>
          <w:numId w:val="23"/>
        </w:numPr>
        <w:rPr/>
      </w:pPr>
      <w:r>
        <w:rPr/>
        <w:t>Какие строки листинга 7.4 отвечают за вычисления варианта?</w:t>
      </w:r>
    </w:p>
    <w:p>
      <w:pPr>
        <w:pStyle w:val="FirstParagraph"/>
        <w:rPr/>
      </w:pPr>
      <w:r>
        <w:rPr/>
        <w:t>xor edx,edx</w:t>
      </w:r>
    </w:p>
    <w:p>
      <w:pPr>
        <w:pStyle w:val="Style9"/>
        <w:rPr/>
      </w:pPr>
      <w:r>
        <w:rPr/>
        <w:t>mov ebx,20</w:t>
      </w:r>
    </w:p>
    <w:p>
      <w:pPr>
        <w:pStyle w:val="Style9"/>
        <w:rPr/>
      </w:pPr>
      <w:r>
        <w:rPr/>
        <w:t>div ebx</w:t>
      </w:r>
    </w:p>
    <w:p>
      <w:pPr>
        <w:pStyle w:val="Style9"/>
        <w:rPr/>
      </w:pPr>
      <w:r>
        <w:rPr/>
        <w:t>inc edx</w:t>
      </w:r>
    </w:p>
    <w:p>
      <w:pPr>
        <w:pStyle w:val="Compact"/>
        <w:numPr>
          <w:ilvl w:val="0"/>
          <w:numId w:val="24"/>
        </w:numPr>
        <w:rPr/>
      </w:pPr>
      <w:r>
        <w:rPr/>
        <w:t>В какой регистр записывается остаток от деления при выполнении ин- струкции “div ebx”?</w:t>
      </w:r>
    </w:p>
    <w:p>
      <w:pPr>
        <w:pStyle w:val="FirstParagraph"/>
        <w:rPr/>
      </w:pPr>
      <w:r>
        <w:rPr/>
        <w:t>edx</w:t>
      </w:r>
    </w:p>
    <w:p>
      <w:pPr>
        <w:pStyle w:val="Normal"/>
        <w:numPr>
          <w:ilvl w:val="0"/>
          <w:numId w:val="25"/>
        </w:numPr>
        <w:rPr/>
      </w:pPr>
      <w:r>
        <w:rPr/>
        <w:t>Для чего используется инструкция “inc edx”? Чтобы провести требуемую операцию по нахождению остатка от 20 и прибавления единицы. В частности, последнего.</w:t>
      </w:r>
    </w:p>
    <w:p>
      <w:pPr>
        <w:pStyle w:val="Normal"/>
        <w:numPr>
          <w:ilvl w:val="0"/>
          <w:numId w:val="26"/>
        </w:numPr>
        <w:rPr/>
      </w:pPr>
      <w:r>
        <w:rPr/>
        <w:t>Какие строки листинга 7.4 отвечают за вывод на экран результата вычислений?</w:t>
      </w:r>
    </w:p>
    <w:p>
      <w:pPr>
        <w:pStyle w:val="FirstParagraph"/>
        <w:rPr/>
      </w:pPr>
      <w:bookmarkStart w:id="19" w:name="X8c0a1c151545696051e31eb8f7e02c7d54dd7c6"/>
      <w:r>
        <w:rPr/>
        <w:t>mov eax,edx call iprintLF</w:t>
      </w:r>
      <w:bookmarkEnd w:id="19"/>
    </w:p>
    <w:p>
      <w:pPr>
        <w:pStyle w:val="1"/>
        <w:rPr/>
      </w:pPr>
      <w:bookmarkStart w:id="20" w:name="__RefHeading___Toc426_3008454844"/>
      <w:bookmarkStart w:id="21" w:name="самостоятельная-работа"/>
      <w:bookmarkEnd w:id="20"/>
      <w:r>
        <w:rPr>
          <w:rStyle w:val="SectionNumber"/>
        </w:rPr>
        <w:t>3</w:t>
      </w:r>
      <w:r>
        <w:rPr/>
        <w:tab/>
        <w:t>Самостоятельная работа</w:t>
      </w:r>
    </w:p>
    <w:p>
      <w:pPr>
        <w:pStyle w:val="FirstParagraph"/>
        <w:rPr/>
      </w:pPr>
      <w:r>
        <w:rPr/>
        <w:t>Выполним самостоятельное задание, следуя инструкции. Произведем вычисления 19 функции, воспользовавшись ассемблером.</w:t>
      </w:r>
    </w:p>
    <w:p>
      <w:pPr>
        <w:pStyle w:val="Style9"/>
        <w:rPr/>
      </w:pPr>
      <w:r>
        <w:rPr/>
        <w:t>(рис. 12)</w:t>
      </w:r>
    </w:p>
    <w:p>
      <w:pPr>
        <w:pStyle w:val="CaptionedFigure"/>
        <w:rPr/>
      </w:pPr>
      <w:bookmarkStart w:id="22" w:name="fig%3A016"/>
      <w:r>
        <w:rPr/>
        <w:drawing>
          <wp:inline distT="0" distB="0" distL="0" distR="0">
            <wp:extent cx="5334000" cy="6068695"/>
            <wp:effectExtent l="0" t="0" r="0" b="0"/>
            <wp:docPr id="12" name="Изображение11" descr="Рис. 12: Varia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1" descr="Рис. 12: Varian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6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  <w:rPr/>
      </w:pPr>
      <w:r>
        <w:rPr/>
        <w:t>Рис. 12: Variant</w:t>
      </w:r>
    </w:p>
    <w:p>
      <w:pPr>
        <w:pStyle w:val="Style9"/>
        <w:rPr/>
      </w:pPr>
      <w:r>
        <w:rPr/>
        <w:t>(рис. 13)</w:t>
      </w:r>
    </w:p>
    <w:p>
      <w:pPr>
        <w:pStyle w:val="CaptionedFigure"/>
        <w:rPr/>
      </w:pPr>
      <w:bookmarkStart w:id="23" w:name="fig%3A017"/>
      <w:r>
        <w:rPr/>
        <w:drawing>
          <wp:inline distT="0" distB="0" distL="0" distR="0">
            <wp:extent cx="5334000" cy="1341755"/>
            <wp:effectExtent l="0" t="0" r="0" b="0"/>
            <wp:docPr id="13" name="Изображение12" descr="Рис. 13: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2" descr="Рис. 13: Zadani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  <w:rPr/>
      </w:pPr>
      <w:bookmarkStart w:id="24" w:name="самостоятельная-работа"/>
      <w:r>
        <w:rPr/>
        <w:t>Рис. 13: Zadanie</w:t>
      </w:r>
      <w:bookmarkEnd w:id="24"/>
    </w:p>
    <w:p>
      <w:pPr>
        <w:pStyle w:val="1"/>
        <w:rPr/>
      </w:pPr>
      <w:bookmarkStart w:id="25" w:name="__RefHeading___Toc428_3008454844"/>
      <w:bookmarkStart w:id="26" w:name="выводы"/>
      <w:bookmarkEnd w:id="25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27" w:name="выводы"/>
      <w:r>
        <w:rPr/>
        <w:t>Освоение арифметических инструкций языка ассемблера NASM.</w:t>
      </w:r>
      <w:bookmarkEnd w:id="27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"/>
    <w:lvlOverride w:ilvl="0">
      <w:startOverride w:val="1"/>
    </w:lvlOverride>
  </w:num>
  <w:num w:numId="14">
    <w:abstractNumId w:val="2"/>
    <w:lvlOverride w:ilvl="0">
      <w:startOverride w:val="2"/>
    </w:lvlOverride>
  </w:num>
  <w:num w:numId="15">
    <w:abstractNumId w:val="3"/>
    <w:lvlOverride w:ilvl="0">
      <w:startOverride w:val="3"/>
    </w:lvlOverride>
  </w:num>
  <w:num w:numId="16">
    <w:abstractNumId w:val="4"/>
    <w:lvlOverride w:ilvl="0">
      <w:startOverride w:val="10"/>
    </w:lvlOverride>
  </w:num>
  <w:num w:numId="17">
    <w:abstractNumId w:val="5"/>
    <w:lvlOverride w:ilvl="0">
      <w:startOverride w:val="4"/>
    </w:lvlOverride>
  </w:num>
  <w:num w:numId="18">
    <w:abstractNumId w:val="6"/>
    <w:lvlOverride w:ilvl="0">
      <w:startOverride w:val="5"/>
    </w:lvlOverride>
  </w:num>
  <w:num w:numId="19">
    <w:abstractNumId w:val="7"/>
    <w:lvlOverride w:ilvl="0">
      <w:startOverride w:val="6"/>
    </w:lvlOverride>
  </w:num>
  <w:num w:numId="20">
    <w:abstractNumId w:val="1"/>
    <w:lvlOverride w:ilvl="0">
      <w:startOverride w:val="1"/>
    </w:lvlOverride>
  </w:num>
  <w:num w:numId="21">
    <w:abstractNumId w:val="2"/>
    <w:lvlOverride w:ilvl="0">
      <w:startOverride w:val="2"/>
    </w:lvlOverride>
  </w:num>
  <w:num w:numId="22">
    <w:abstractNumId w:val="2"/>
  </w:num>
  <w:num w:numId="23">
    <w:abstractNumId w:val="2"/>
  </w:num>
  <w:num w:numId="24">
    <w:abstractNumId w:val="6"/>
    <w:lvlOverride w:ilvl="0">
      <w:startOverride w:val="5"/>
    </w:lvlOverride>
  </w:num>
  <w:num w:numId="25">
    <w:abstractNumId w:val="7"/>
    <w:lvlOverride w:ilvl="0">
      <w:startOverride w:val="6"/>
    </w:lvlOverride>
  </w:num>
  <w:num w:numId="26">
    <w:abstractNumId w:val="7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LibreOffice/7.3.1.3$Linux_X86_64 LibreOffice_project/30$Build-3</Application>
  <AppVersion>15.0000</AppVersion>
  <Pages>11</Pages>
  <Words>752</Words>
  <Characters>4264</Characters>
  <CharactersWithSpaces>4934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2022-11-26T14:03:29Z</dcterms:created>
  <dc:creator>Татьяна Алексеевна Коннова, НПИбд-01-22</dc:creator>
  <dc:description/>
  <dc:language>ru-RU</dc:language>
  <cp:lastModifiedBy/>
  <dcterms:modified xsi:type="dcterms:W3CDTF">2022-11-26T17:17:40Z</dcterms:modified>
  <cp:revision>1</cp:revision>
  <dc:subject/>
  <dc:title>Лабораторная работа №7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Арифметические операции в NASM.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Table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