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sz w:val="32"/>
          <w:szCs w:val="32"/>
        </w:rPr>
        <w:t xml:space="preserve">TOBB ETÜ</w:t>
      </w:r>
    </w:p>
    <w:p>
      <w:pPr>
        <w:spacing w:after="200"/>
        <w:jc w:val="center"/>
      </w:pPr>
      <w:r>
        <w:rPr>
          <w:sz w:val="24"/>
          <w:szCs w:val="24"/>
        </w:rPr>
        <w:t xml:space="preserve">Economy &amp; Technology University</w:t>
      </w:r>
    </w:p>
    <w:p>
      <w:pPr>
        <w:spacing w:after="400"/>
        <w:jc w:val="center"/>
      </w:pPr>
      <w:r>
        <w:rPr>
          <w:b/>
          <w:bCs/>
          <w:sz w:val="24"/>
          <w:szCs w:val="24"/>
        </w:rPr>
        <w:t xml:space="preserve">BIL 495 / YAP 495</w:t>
      </w:r>
    </w:p>
    <w:p>
      <w:pPr>
        <w:pStyle w:val="Title"/>
      </w:pPr>
      <w:r>
        <w:t xml:space="preserve">Software Requirements Specification (SRS)</w:t>
      </w:r>
    </w:p>
    <w:p>
      <w:pPr>
        <w:spacing w:after="400"/>
        <w:jc w:val="center"/>
      </w:pPr>
      <w:r>
        <w:rPr>
          <w:i/>
          <w:iCs/>
          <w:sz w:val="20"/>
          <w:szCs w:val="20"/>
        </w:rPr>
        <w:t xml:space="preserve">Reference: IEEE 830-1998 / ISO/IEC/IEEE 29148:2018</w:t>
      </w:r>
    </w:p>
    <w:p>
      <w:pPr>
        <w:pStyle w:val="Heading1"/>
      </w:pPr>
      <w:r>
        <w:t xml:space="preserve">Document Control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tcPr>
          <w:p>
            <w:r>
              <w:rPr>
                <w:b/>
                <w:bCs/>
              </w:rPr>
              <w:t xml:space="preserve">Document Title</w:t>
            </w:r>
          </w:p>
        </w:tc>
        <w:tc>
          <w:tcPr>
            <w:tcW w:type="dxa" w:w="5860"/>
            <w:tcBorders>
              <w:top w:val="single" w:color="999999" w:sz="1"/>
              <w:left w:val="single" w:color="999999" w:sz="1"/>
              <w:bottom w:val="single" w:color="999999" w:sz="1"/>
              <w:right w:val="single" w:color="999999" w:sz="1"/>
            </w:tcBorders>
          </w:tcPr>
          <w:p>
            <w:r>
              <w:t xml:space="preserve">Software Requirements Specification</w:t>
            </w:r>
          </w:p>
        </w:tc>
      </w:tr>
      <w:tr>
        <w:tc>
          <w:tcPr>
            <w:tcBorders>
              <w:top w:val="single" w:color="999999" w:sz="1"/>
              <w:left w:val="single" w:color="999999" w:sz="1"/>
              <w:bottom w:val="single" w:color="999999" w:sz="1"/>
              <w:right w:val="single" w:color="999999" w:sz="1"/>
            </w:tcBorders>
          </w:tcPr>
          <w:p>
            <w:r>
              <w:rPr>
                <w:b/>
                <w:bCs/>
              </w:rPr>
              <w:t xml:space="preserve">Document ID</w:t>
            </w:r>
          </w:p>
        </w:tc>
        <w:tc>
          <w:tcPr>
            <w:tcBorders>
              <w:top w:val="single" w:color="999999" w:sz="1"/>
              <w:left w:val="single" w:color="999999" w:sz="1"/>
              <w:bottom w:val="single" w:color="999999" w:sz="1"/>
              <w:right w:val="single" w:color="999999" w:sz="1"/>
            </w:tcBorders>
          </w:tcPr>
          <w:p>
            <w:r>
              <w:t xml:space="preserve">SRS-AICG-2025-001</w:t>
            </w:r>
          </w:p>
        </w:tc>
      </w:tr>
      <w:tr>
        <w:tc>
          <w:tcPr>
            <w:tcBorders>
              <w:top w:val="single" w:color="999999" w:sz="1"/>
              <w:left w:val="single" w:color="999999" w:sz="1"/>
              <w:bottom w:val="single" w:color="999999" w:sz="1"/>
              <w:right w:val="single" w:color="999999" w:sz="1"/>
            </w:tcBorders>
          </w:tcPr>
          <w:p>
            <w:r>
              <w:rPr>
                <w:b/>
                <w:bCs/>
              </w:rPr>
              <w:t xml:space="preserve">Prepared By</w:t>
            </w:r>
          </w:p>
        </w:tc>
        <w:tc>
          <w:tcPr>
            <w:tcBorders>
              <w:top w:val="single" w:color="999999" w:sz="1"/>
              <w:left w:val="single" w:color="999999" w:sz="1"/>
              <w:bottom w:val="single" w:color="999999" w:sz="1"/>
              <w:right w:val="single" w:color="999999" w:sz="1"/>
            </w:tcBorders>
          </w:tcPr>
          <w:p>
            <w:r>
              <w:t xml:space="preserve">KoRN Project Team</w:t>
            </w:r>
          </w:p>
        </w:tc>
      </w:tr>
      <w:tr>
        <w:tc>
          <w:tcPr>
            <w:tcBorders>
              <w:top w:val="single" w:color="999999" w:sz="1"/>
              <w:left w:val="single" w:color="999999" w:sz="1"/>
              <w:bottom w:val="single" w:color="999999" w:sz="1"/>
              <w:right w:val="single" w:color="999999" w:sz="1"/>
            </w:tcBorders>
          </w:tcPr>
          <w:p>
            <w:r>
              <w:rPr>
                <w:b/>
                <w:bCs/>
              </w:rPr>
              <w:t xml:space="preserve">Preparation Date</w:t>
            </w:r>
          </w:p>
        </w:tc>
        <w:tc>
          <w:tcPr>
            <w:tcBorders>
              <w:top w:val="single" w:color="999999" w:sz="1"/>
              <w:left w:val="single" w:color="999999" w:sz="1"/>
              <w:bottom w:val="single" w:color="999999" w:sz="1"/>
              <w:right w:val="single" w:color="999999" w:sz="1"/>
            </w:tcBorders>
          </w:tcPr>
          <w:p>
            <w:r>
              <w:t xml:space="preserve">27.12.2025</w:t>
            </w:r>
          </w:p>
        </w:tc>
      </w:tr>
      <w:tr>
        <w:tc>
          <w:tcPr>
            <w:tcBorders>
              <w:top w:val="single" w:color="999999" w:sz="1"/>
              <w:left w:val="single" w:color="999999" w:sz="1"/>
              <w:bottom w:val="single" w:color="999999" w:sz="1"/>
              <w:right w:val="single" w:color="999999" w:sz="1"/>
            </w:tcBorders>
          </w:tcPr>
          <w:p>
            <w:r>
              <w:rPr>
                <w:b/>
                <w:bCs/>
              </w:rPr>
              <w:t xml:space="preserve">Version</w:t>
            </w:r>
          </w:p>
        </w:tc>
        <w:tc>
          <w:tcPr>
            <w:tcBorders>
              <w:top w:val="single" w:color="999999" w:sz="1"/>
              <w:left w:val="single" w:color="999999" w:sz="1"/>
              <w:bottom w:val="single" w:color="999999" w:sz="1"/>
              <w:right w:val="single" w:color="999999" w:sz="1"/>
            </w:tcBorders>
          </w:tcPr>
          <w:p>
            <w:r>
              <w:t xml:space="preserve">1.0</w:t>
            </w:r>
          </w:p>
        </w:tc>
      </w:tr>
      <w:tr>
        <w:tc>
          <w:tcPr>
            <w:tcBorders>
              <w:top w:val="single" w:color="999999" w:sz="1"/>
              <w:left w:val="single" w:color="999999" w:sz="1"/>
              <w:bottom w:val="single" w:color="999999" w:sz="1"/>
              <w:right w:val="single" w:color="999999" w:sz="1"/>
            </w:tcBorders>
          </w:tcPr>
          <w:p>
            <w:r>
              <w:rPr>
                <w:b/>
                <w:bCs/>
              </w:rPr>
              <w:t xml:space="preserve">Reference Standards</w:t>
            </w:r>
          </w:p>
        </w:tc>
        <w:tc>
          <w:tcPr>
            <w:tcBorders>
              <w:top w:val="single" w:color="999999" w:sz="1"/>
              <w:left w:val="single" w:color="999999" w:sz="1"/>
              <w:bottom w:val="single" w:color="999999" w:sz="1"/>
              <w:right w:val="single" w:color="999999" w:sz="1"/>
            </w:tcBorders>
          </w:tcPr>
          <w:p>
            <w:r>
              <w:t xml:space="preserve">IEEE 830-1998, ISO/IEC/IEEE 29148:2018, ISO/IEC 25010</w:t>
            </w:r>
          </w:p>
        </w:tc>
      </w:tr>
    </w:tbl>
    <w:p>
      <w:pPr>
        <w:pStyle w:val="Heading1"/>
      </w:pPr>
      <w:r>
        <w:t xml:space="preserve">1. Introduction</w:t>
      </w:r>
    </w:p>
    <w:p>
      <w:pPr>
        <w:pStyle w:val="Heading2"/>
      </w:pPr>
      <w:r>
        <w:t xml:space="preserve">1.1 Purpose</w:t>
      </w:r>
    </w:p>
    <w:p>
      <w:pPr>
        <w:spacing w:after="200"/>
      </w:pPr>
      <w:r>
        <w:t xml:space="preserve">This Software Requirements Specification (SRS) document defines the functional and non-functional requirements for the AI-Based Adaptive Course Generator system. The document serves as a comprehensive reference for the development team, project stakeholders, and quality assurance personnel. It establishes the basis for agreement between customers and developers on what the software product will do, and provides a foundation for software validation and verification.</w:t>
      </w:r>
    </w:p>
    <w:p>
      <w:pPr>
        <w:pStyle w:val="Heading2"/>
      </w:pPr>
      <w:r>
        <w:t xml:space="preserve">1.2 Scope</w:t>
      </w:r>
    </w:p>
    <w:p>
      <w:pPr>
        <w:spacing w:after="200"/>
      </w:pPr>
      <w:r>
        <w:t xml:space="preserve">The AI-Based Adaptive Course Generator is an AI-driven web platform designed to dynamically generate educational lessons, quizzes, and adaptive assessments based on user input and learning performance. The system leverages Large Language Models (LLMs) and semantic retrieval techniques to create personalized learning experiences.</w:t>
      </w:r>
    </w:p>
    <w:p>
      <w:pPr>
        <w:spacing w:after="100"/>
      </w:pPr>
      <w:r>
        <w:rPr>
          <w:b/>
          <w:bCs/>
        </w:rPr>
        <w:t xml:space="preserve">Key capabilities include:</w:t>
      </w:r>
    </w:p>
    <w:p>
      <w:pPr>
        <w:pStyle w:val="ListParagraph"/>
        <w:numPr>
          <w:ilvl w:val="0"/>
          <w:numId w:val="2"/>
        </w:numPr>
      </w:pPr>
      <w:r>
        <w:t xml:space="preserve">Dynamic lesson generation from user-specified topics</w:t>
      </w:r>
    </w:p>
    <w:p>
      <w:pPr>
        <w:pStyle w:val="ListParagraph"/>
        <w:numPr>
          <w:ilvl w:val="0"/>
          <w:numId w:val="2"/>
        </w:numPr>
      </w:pPr>
      <w:r>
        <w:t xml:space="preserve">Automatic quiz and assessment creation based on lesson content</w:t>
      </w:r>
    </w:p>
    <w:p>
      <w:pPr>
        <w:pStyle w:val="ListParagraph"/>
        <w:numPr>
          <w:ilvl w:val="0"/>
          <w:numId w:val="2"/>
        </w:numPr>
      </w:pPr>
      <w:r>
        <w:t xml:space="preserve">Adaptive learning progression using EMA-based mastery tracking</w:t>
      </w:r>
    </w:p>
    <w:p>
      <w:pPr>
        <w:pStyle w:val="ListParagraph"/>
        <w:numPr>
          <w:ilvl w:val="0"/>
          <w:numId w:val="2"/>
        </w:numPr>
      </w:pPr>
      <w:r>
        <w:t xml:space="preserve">Semantic retrieval of contextual information from educational datasets</w:t>
      </w:r>
    </w:p>
    <w:p>
      <w:pPr>
        <w:pStyle w:val="ListParagraph"/>
        <w:numPr>
          <w:ilvl w:val="0"/>
          <w:numId w:val="2"/>
        </w:numPr>
        <w:spacing w:after="200"/>
      </w:pPr>
      <w:r>
        <w:t xml:space="preserve">Session-based user interaction without persistent personal data storage</w:t>
      </w:r>
    </w:p>
    <w:p>
      <w:pPr>
        <w:pStyle w:val="Heading2"/>
      </w:pPr>
      <w:r>
        <w:t xml:space="preserve">1.3 Definitions, Acronyms, Abbreviations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E8E8E8"/>
          </w:tcPr>
          <w:p>
            <w:r>
              <w:rPr>
                <w:b/>
                <w:bCs/>
              </w:rPr>
              <w:t xml:space="preserve">Term</w:t>
            </w:r>
          </w:p>
        </w:tc>
        <w:tc>
          <w:tcPr>
            <w:tcW w:type="dxa" w:w="6860"/>
            <w:tcBorders>
              <w:top w:val="single" w:color="999999" w:sz="1"/>
              <w:left w:val="single" w:color="999999" w:sz="1"/>
              <w:bottom w:val="single" w:color="999999" w:sz="1"/>
              <w:right w:val="single" w:color="999999" w:sz="1"/>
            </w:tcBorders>
            <w:shd w:fill="E8E8E8"/>
          </w:tcPr>
          <w:p>
            <w:r>
              <w:rPr>
                <w:b/>
                <w:bCs/>
              </w:rPr>
              <w:t xml:space="preserve">Definition</w:t>
            </w:r>
          </w:p>
        </w:tc>
      </w:tr>
      <w:tr>
        <w:tc>
          <w:tcPr>
            <w:tcBorders>
              <w:top w:val="single" w:color="999999" w:sz="1"/>
              <w:left w:val="single" w:color="999999" w:sz="1"/>
              <w:bottom w:val="single" w:color="999999" w:sz="1"/>
              <w:right w:val="single" w:color="999999" w:sz="1"/>
            </w:tcBorders>
          </w:tcPr>
          <w:p>
            <w:r>
              <w:t xml:space="preserve">LLM</w:t>
            </w:r>
          </w:p>
        </w:tc>
        <w:tc>
          <w:tcPr>
            <w:tcBorders>
              <w:top w:val="single" w:color="999999" w:sz="1"/>
              <w:left w:val="single" w:color="999999" w:sz="1"/>
              <w:bottom w:val="single" w:color="999999" w:sz="1"/>
              <w:right w:val="single" w:color="999999" w:sz="1"/>
            </w:tcBorders>
          </w:tcPr>
          <w:p>
            <w:r>
              <w:t xml:space="preserve">Large Language Model - AI model for natural language processing</w:t>
            </w:r>
          </w:p>
        </w:tc>
      </w:tr>
      <w:tr>
        <w:tc>
          <w:tcPr>
            <w:tcBorders>
              <w:top w:val="single" w:color="999999" w:sz="1"/>
              <w:left w:val="single" w:color="999999" w:sz="1"/>
              <w:bottom w:val="single" w:color="999999" w:sz="1"/>
              <w:right w:val="single" w:color="999999" w:sz="1"/>
            </w:tcBorders>
          </w:tcPr>
          <w:p>
            <w:r>
              <w:t xml:space="preserve">EMA</w:t>
            </w:r>
          </w:p>
        </w:tc>
        <w:tc>
          <w:tcPr>
            <w:tcBorders>
              <w:top w:val="single" w:color="999999" w:sz="1"/>
              <w:left w:val="single" w:color="999999" w:sz="1"/>
              <w:bottom w:val="single" w:color="999999" w:sz="1"/>
              <w:right w:val="single" w:color="999999" w:sz="1"/>
            </w:tcBorders>
          </w:tcPr>
          <w:p>
            <w:r>
              <w:t xml:space="preserve">Exponential Moving Average - Algorithm for mastery score calculation</w:t>
            </w:r>
          </w:p>
        </w:tc>
      </w:tr>
      <w:tr>
        <w:tc>
          <w:tcPr>
            <w:tcBorders>
              <w:top w:val="single" w:color="999999" w:sz="1"/>
              <w:left w:val="single" w:color="999999" w:sz="1"/>
              <w:bottom w:val="single" w:color="999999" w:sz="1"/>
              <w:right w:val="single" w:color="999999" w:sz="1"/>
            </w:tcBorders>
          </w:tcPr>
          <w:p>
            <w:r>
              <w:t xml:space="preserve">FAISS</w:t>
            </w:r>
          </w:p>
        </w:tc>
        <w:tc>
          <w:tcPr>
            <w:tcBorders>
              <w:top w:val="single" w:color="999999" w:sz="1"/>
              <w:left w:val="single" w:color="999999" w:sz="1"/>
              <w:bottom w:val="single" w:color="999999" w:sz="1"/>
              <w:right w:val="single" w:color="999999" w:sz="1"/>
            </w:tcBorders>
          </w:tcPr>
          <w:p>
            <w:r>
              <w:t xml:space="preserve">Facebook AI Similarity Search - Vector database for semantic retrieval</w:t>
            </w:r>
          </w:p>
        </w:tc>
      </w:tr>
      <w:tr>
        <w:tc>
          <w:tcPr>
            <w:tcBorders>
              <w:top w:val="single" w:color="999999" w:sz="1"/>
              <w:left w:val="single" w:color="999999" w:sz="1"/>
              <w:bottom w:val="single" w:color="999999" w:sz="1"/>
              <w:right w:val="single" w:color="999999" w:sz="1"/>
            </w:tcBorders>
          </w:tcPr>
          <w:p>
            <w:r>
              <w:t xml:space="preserve">API</w:t>
            </w:r>
          </w:p>
        </w:tc>
        <w:tc>
          <w:tcPr>
            <w:tcBorders>
              <w:top w:val="single" w:color="999999" w:sz="1"/>
              <w:left w:val="single" w:color="999999" w:sz="1"/>
              <w:bottom w:val="single" w:color="999999" w:sz="1"/>
              <w:right w:val="single" w:color="999999" w:sz="1"/>
            </w:tcBorders>
          </w:tcPr>
          <w:p>
            <w:r>
              <w:t xml:space="preserve">Application Programming Interface</w:t>
            </w:r>
          </w:p>
        </w:tc>
      </w:tr>
      <w:tr>
        <w:tc>
          <w:tcPr>
            <w:tcBorders>
              <w:top w:val="single" w:color="999999" w:sz="1"/>
              <w:left w:val="single" w:color="999999" w:sz="1"/>
              <w:bottom w:val="single" w:color="999999" w:sz="1"/>
              <w:right w:val="single" w:color="999999" w:sz="1"/>
            </w:tcBorders>
          </w:tcPr>
          <w:p>
            <w:r>
              <w:t xml:space="preserve">MVP</w:t>
            </w:r>
          </w:p>
        </w:tc>
        <w:tc>
          <w:tcPr>
            <w:tcBorders>
              <w:top w:val="single" w:color="999999" w:sz="1"/>
              <w:left w:val="single" w:color="999999" w:sz="1"/>
              <w:bottom w:val="single" w:color="999999" w:sz="1"/>
              <w:right w:val="single" w:color="999999" w:sz="1"/>
            </w:tcBorders>
          </w:tcPr>
          <w:p>
            <w:r>
              <w:t xml:space="preserve">Minimum Viable Product</w:t>
            </w:r>
          </w:p>
        </w:tc>
      </w:tr>
    </w:tbl>
    <w:p>
      <w:pPr>
        <w:pStyle w:val="Heading2"/>
      </w:pPr>
      <w:r>
        <w:t xml:space="preserve">1.4 References</w:t>
      </w:r>
    </w:p>
    <w:p>
      <w:pPr>
        <w:pStyle w:val="ListParagraph"/>
        <w:numPr>
          <w:ilvl w:val="0"/>
          <w:numId w:val="2"/>
        </w:numPr>
      </w:pPr>
      <w:r>
        <w:t xml:space="preserve">IEEE 830-1998 - Recommended Practice for Software Requirements Specifications</w:t>
      </w:r>
    </w:p>
    <w:p>
      <w:pPr>
        <w:pStyle w:val="ListParagraph"/>
        <w:numPr>
          <w:ilvl w:val="0"/>
          <w:numId w:val="2"/>
        </w:numPr>
      </w:pPr>
      <w:r>
        <w:t xml:space="preserve">ISO/IEC/IEEE 29148:2018 - Systems and Software Engineering - Requirements Engineering</w:t>
      </w:r>
    </w:p>
    <w:p>
      <w:pPr>
        <w:pStyle w:val="ListParagraph"/>
        <w:numPr>
          <w:ilvl w:val="0"/>
          <w:numId w:val="2"/>
        </w:numPr>
      </w:pPr>
      <w:r>
        <w:t xml:space="preserve">ISO/IEC 25010:2011 - Systems and Software Quality Requirements and Evaluation</w:t>
      </w:r>
    </w:p>
    <w:p>
      <w:pPr>
        <w:pStyle w:val="ListParagraph"/>
        <w:numPr>
          <w:ilvl w:val="0"/>
          <w:numId w:val="2"/>
        </w:numPr>
      </w:pPr>
      <w:r>
        <w:t xml:space="preserve">IEEE 42010 - Systems and Software Engineering - Architecture Description</w:t>
      </w:r>
    </w:p>
    <w:p>
      <w:pPr>
        <w:pStyle w:val="ListParagraph"/>
        <w:numPr>
          <w:ilvl w:val="0"/>
          <w:numId w:val="2"/>
        </w:numPr>
        <w:spacing w:after="200"/>
      </w:pPr>
      <w:r>
        <w:t xml:space="preserve">System Architecture Document (SAD) - AI-Based Adaptive Course Generator</w:t>
      </w:r>
    </w:p>
    <w:p>
      <w:pPr>
        <w:pStyle w:val="Heading2"/>
      </w:pPr>
      <w:r>
        <w:t xml:space="preserve">1.5 Overview</w:t>
      </w:r>
    </w:p>
    <w:p>
      <w:pPr>
        <w:spacing w:after="200"/>
      </w:pPr>
      <w:r>
        <w:t xml:space="preserve">This document is organized into four main sections: Section 1 provides an introduction to the project. Section 2 describes the overall system context and product description. Section 3 details the specific functional and non-functional requirements. Section 4 contains appendices with supporting information including traceability matrices.</w:t>
      </w:r>
    </w:p>
    <w:p>
      <w:pPr>
        <w:pStyle w:val="Heading1"/>
      </w:pPr>
      <w:r>
        <w:t xml:space="preserve">2. Overall Description</w:t>
      </w:r>
    </w:p>
    <w:p>
      <w:pPr>
        <w:pStyle w:val="Heading2"/>
      </w:pPr>
      <w:r>
        <w:t xml:space="preserve">2.1 Product Perspective</w:t>
      </w:r>
    </w:p>
    <w:p>
      <w:pPr>
        <w:spacing w:after="200"/>
      </w:pPr>
      <w:r>
        <w:t xml:space="preserve">The AI-Based Adaptive Course Generator is a standalone web-based educational application that integrates with external AI services and open educational datasets. The system operates within a layered architecture comprising Presentation (Streamlit), Application (FastAPI), Model Adapter, and Data layers (SQLite + FAISS).</w:t>
      </w:r>
    </w:p>
    <w:p>
      <w:pPr>
        <w:spacing w:after="100"/>
      </w:pPr>
      <w:r>
        <w:rPr>
          <w:b/>
          <w:bCs/>
        </w:rPr>
        <w:t xml:space="preserve">System Boundary - Included:</w:t>
      </w:r>
    </w:p>
    <w:p>
      <w:pPr>
        <w:pStyle w:val="ListParagraph"/>
        <w:numPr>
          <w:ilvl w:val="0"/>
          <w:numId w:val="2"/>
        </w:numPr>
      </w:pPr>
      <w:r>
        <w:t xml:space="preserve">Lesson and quiz generation logic</w:t>
      </w:r>
    </w:p>
    <w:p>
      <w:pPr>
        <w:pStyle w:val="ListParagraph"/>
        <w:numPr>
          <w:ilvl w:val="0"/>
          <w:numId w:val="2"/>
        </w:numPr>
      </w:pPr>
      <w:r>
        <w:t xml:space="preserve">Adaptive feedback mechanism</w:t>
      </w:r>
    </w:p>
    <w:p>
      <w:pPr>
        <w:pStyle w:val="ListParagraph"/>
        <w:numPr>
          <w:ilvl w:val="0"/>
          <w:numId w:val="2"/>
        </w:numPr>
      </w:pPr>
      <w:r>
        <w:t xml:space="preserve">Web-based user interface</w:t>
      </w:r>
    </w:p>
    <w:p>
      <w:pPr>
        <w:pStyle w:val="ListParagraph"/>
        <w:numPr>
          <w:ilvl w:val="0"/>
          <w:numId w:val="2"/>
        </w:numPr>
        <w:spacing w:after="200"/>
      </w:pPr>
      <w:r>
        <w:t xml:space="preserve">Session-based data handling</w:t>
      </w:r>
    </w:p>
    <w:p>
      <w:pPr>
        <w:pStyle w:val="Heading2"/>
      </w:pPr>
      <w:r>
        <w:t xml:space="preserve">2.2 Product Functions</w:t>
      </w:r>
    </w:p>
    <w:p>
      <w:pPr>
        <w:spacing w:after="100"/>
      </w:pPr>
      <w:r>
        <w:t xml:space="preserve">The system provides the following major functions:</w:t>
      </w:r>
    </w:p>
    <w:p>
      <w:pPr>
        <w:pStyle w:val="ListParagraph"/>
        <w:numPr>
          <w:ilvl w:val="0"/>
          <w:numId w:val="2"/>
        </w:numPr>
      </w:pPr>
      <w:r>
        <w:rPr>
          <w:b/>
          <w:bCs/>
        </w:rPr>
        <w:t xml:space="preserve">Topic-Based Lesson Generation: </w:t>
      </w:r>
      <w:r>
        <w:t xml:space="preserve">Users enter a topic or upload content, and the system generates structured educational lessons using LLM technology.</w:t>
      </w:r>
    </w:p>
    <w:p>
      <w:pPr>
        <w:pStyle w:val="ListParagraph"/>
        <w:numPr>
          <w:ilvl w:val="0"/>
          <w:numId w:val="2"/>
        </w:numPr>
      </w:pPr>
      <w:r>
        <w:rPr>
          <w:b/>
          <w:bCs/>
        </w:rPr>
        <w:t xml:space="preserve">Automatic Quiz Creation: </w:t>
      </w:r>
      <w:r>
        <w:t xml:space="preserve">The system automatically generates quizzes covering different cognitive levels based on lesson content.</w:t>
      </w:r>
    </w:p>
    <w:p>
      <w:pPr>
        <w:pStyle w:val="ListParagraph"/>
        <w:numPr>
          <w:ilvl w:val="0"/>
          <w:numId w:val="2"/>
        </w:numPr>
      </w:pPr>
      <w:r>
        <w:rPr>
          <w:b/>
          <w:bCs/>
        </w:rPr>
        <w:t xml:space="preserve">Adaptive Learning: </w:t>
      </w:r>
      <w:r>
        <w:t xml:space="preserve">Using EMA-based mastery tracking, the system adapts content difficulty based on user performance.</w:t>
      </w:r>
    </w:p>
    <w:p>
      <w:pPr>
        <w:pStyle w:val="ListParagraph"/>
        <w:numPr>
          <w:ilvl w:val="0"/>
          <w:numId w:val="2"/>
        </w:numPr>
        <w:spacing w:after="200"/>
      </w:pPr>
      <w:r>
        <w:rPr>
          <w:b/>
          <w:bCs/>
        </w:rPr>
        <w:t xml:space="preserve">Personalized Feedback: </w:t>
      </w:r>
      <w:r>
        <w:t xml:space="preserve">The system provides detailed feedback on quiz responses to support learning.</w:t>
      </w:r>
    </w:p>
    <w:p>
      <w:pPr>
        <w:pStyle w:val="Heading2"/>
      </w:pPr>
      <w:r>
        <w:t xml:space="preserve">2.3 User Characteristics</w:t>
      </w:r>
    </w:p>
    <w:p>
      <w:pPr>
        <w:spacing w:after="100"/>
      </w:pPr>
      <w:r>
        <w:t xml:space="preserve">The target users of this system include:</w:t>
      </w:r>
    </w:p>
    <w:p>
      <w:pPr>
        <w:pStyle w:val="ListParagraph"/>
        <w:numPr>
          <w:ilvl w:val="0"/>
          <w:numId w:val="2"/>
        </w:numPr>
      </w:pPr>
      <w:r>
        <w:rPr>
          <w:b/>
          <w:bCs/>
        </w:rPr>
        <w:t xml:space="preserve">Students: </w:t>
      </w:r>
      <w:r>
        <w:t xml:space="preserve">Individuals seeking to learn new topics or reinforce existing knowledge through personalized, adaptive lessons.</w:t>
      </w:r>
    </w:p>
    <w:p>
      <w:pPr>
        <w:pStyle w:val="ListParagraph"/>
        <w:numPr>
          <w:ilvl w:val="0"/>
          <w:numId w:val="2"/>
        </w:numPr>
      </w:pPr>
      <w:r>
        <w:rPr>
          <w:b/>
          <w:bCs/>
        </w:rPr>
        <w:t xml:space="preserve">Self-Learners: </w:t>
      </w:r>
      <w:r>
        <w:t xml:space="preserve">Lifelong learners who want to explore subjects at their own pace with AI-generated educational content.</w:t>
      </w:r>
    </w:p>
    <w:p>
      <w:pPr>
        <w:pStyle w:val="ListParagraph"/>
        <w:numPr>
          <w:ilvl w:val="0"/>
          <w:numId w:val="2"/>
        </w:numPr>
        <w:spacing w:after="200"/>
      </w:pPr>
      <w:r>
        <w:rPr>
          <w:b/>
          <w:bCs/>
        </w:rPr>
        <w:t xml:space="preserve">Educators: </w:t>
      </w:r>
      <w:r>
        <w:t xml:space="preserve">Teachers and instructors who may use the system to supplement their teaching materials.</w:t>
      </w:r>
    </w:p>
    <w:p>
      <w:pPr>
        <w:pStyle w:val="Heading2"/>
      </w:pPr>
      <w:r>
        <w:t xml:space="preserve">2.4 Constraints</w:t>
      </w:r>
    </w:p>
    <w:p>
      <w:pPr>
        <w:spacing w:after="100"/>
      </w:pPr>
      <w:r>
        <w:rPr>
          <w:b/>
          <w:bCs/>
        </w:rPr>
        <w:t xml:space="preserve">Technical Constraints:</w:t>
      </w:r>
    </w:p>
    <w:p>
      <w:pPr>
        <w:pStyle w:val="ListParagraph"/>
        <w:numPr>
          <w:ilvl w:val="0"/>
          <w:numId w:val="2"/>
        </w:numPr>
      </w:pPr>
      <w:r>
        <w:t xml:space="preserve">Dependency on external LLM API services (OpenAI) for content generation</w:t>
      </w:r>
    </w:p>
    <w:p>
      <w:pPr>
        <w:pStyle w:val="ListParagraph"/>
        <w:numPr>
          <w:ilvl w:val="0"/>
          <w:numId w:val="2"/>
        </w:numPr>
      </w:pPr>
      <w:r>
        <w:t xml:space="preserve">Single-node deployment architecture limiting horizontal scaling</w:t>
      </w:r>
    </w:p>
    <w:p>
      <w:pPr>
        <w:pStyle w:val="ListParagraph"/>
        <w:numPr>
          <w:ilvl w:val="0"/>
          <w:numId w:val="2"/>
        </w:numPr>
        <w:spacing w:after="100"/>
      </w:pPr>
      <w:r>
        <w:t xml:space="preserve">Browser compatibility requirements for Streamlit interface</w:t>
      </w:r>
    </w:p>
    <w:p>
      <w:pPr>
        <w:spacing w:after="100"/>
      </w:pPr>
      <w:r>
        <w:rPr>
          <w:b/>
          <w:bCs/>
        </w:rPr>
        <w:t xml:space="preserve">Economic Constraints:</w:t>
      </w:r>
    </w:p>
    <w:p>
      <w:pPr>
        <w:pStyle w:val="ListParagraph"/>
        <w:numPr>
          <w:ilvl w:val="0"/>
          <w:numId w:val="2"/>
        </w:numPr>
      </w:pPr>
      <w:r>
        <w:t xml:space="preserve">API cost management requiring prompt caching strategy</w:t>
      </w:r>
    </w:p>
    <w:p>
      <w:pPr>
        <w:pStyle w:val="ListParagraph"/>
        <w:numPr>
          <w:ilvl w:val="0"/>
          <w:numId w:val="2"/>
        </w:numPr>
        <w:spacing w:after="100"/>
      </w:pPr>
      <w:r>
        <w:t xml:space="preserve">Limited budget for cloud infrastructure</w:t>
      </w:r>
    </w:p>
    <w:p>
      <w:pPr>
        <w:spacing w:after="100"/>
      </w:pPr>
      <w:r>
        <w:rPr>
          <w:b/>
          <w:bCs/>
        </w:rPr>
        <w:t xml:space="preserve">Legal and Ethical Constraints:</w:t>
      </w:r>
    </w:p>
    <w:p>
      <w:pPr>
        <w:pStyle w:val="ListParagraph"/>
        <w:numPr>
          <w:ilvl w:val="0"/>
          <w:numId w:val="2"/>
        </w:numPr>
      </w:pPr>
      <w:r>
        <w:t xml:space="preserve">GDPR/KVKK compliance for data protection</w:t>
      </w:r>
    </w:p>
    <w:p>
      <w:pPr>
        <w:pStyle w:val="ListParagraph"/>
        <w:numPr>
          <w:ilvl w:val="0"/>
          <w:numId w:val="2"/>
        </w:numPr>
        <w:spacing w:after="200"/>
      </w:pPr>
      <w:r>
        <w:t xml:space="preserve">Content accuracy verification to prevent AI hallucinations</w:t>
      </w:r>
    </w:p>
    <w:p>
      <w:pPr>
        <w:pStyle w:val="Heading2"/>
      </w:pPr>
      <w:r>
        <w:t xml:space="preserve">2.5 Assumptions and Dependencies</w:t>
      </w:r>
    </w:p>
    <w:p>
      <w:pPr>
        <w:spacing w:after="100"/>
      </w:pPr>
      <w:r>
        <w:rPr>
          <w:b/>
          <w:bCs/>
        </w:rPr>
        <w:t xml:space="preserve">Assumptions:</w:t>
      </w:r>
    </w:p>
    <w:p>
      <w:pPr>
        <w:pStyle w:val="ListParagraph"/>
        <w:numPr>
          <w:ilvl w:val="0"/>
          <w:numId w:val="2"/>
        </w:numPr>
      </w:pPr>
      <w:r>
        <w:t xml:space="preserve">Users have stable internet connectivity</w:t>
      </w:r>
    </w:p>
    <w:p>
      <w:pPr>
        <w:pStyle w:val="ListParagraph"/>
        <w:numPr>
          <w:ilvl w:val="0"/>
          <w:numId w:val="2"/>
        </w:numPr>
      </w:pPr>
      <w:r>
        <w:t xml:space="preserve">Users have modern web browsers supporting JavaScript</w:t>
      </w:r>
    </w:p>
    <w:p>
      <w:pPr>
        <w:pStyle w:val="ListParagraph"/>
        <w:numPr>
          <w:ilvl w:val="0"/>
          <w:numId w:val="2"/>
        </w:numPr>
        <w:spacing w:after="100"/>
      </w:pPr>
      <w:r>
        <w:t xml:space="preserve">OpenAI API remains available and compatible</w:t>
      </w:r>
    </w:p>
    <w:p>
      <w:pPr>
        <w:spacing w:after="100"/>
      </w:pPr>
      <w:r>
        <w:rPr>
          <w:b/>
          <w:bCs/>
        </w:rPr>
        <w:t xml:space="preserve">Dependencies:</w:t>
      </w:r>
    </w:p>
    <w:p>
      <w:pPr>
        <w:pStyle w:val="ListParagraph"/>
        <w:numPr>
          <w:ilvl w:val="0"/>
          <w:numId w:val="2"/>
        </w:numPr>
      </w:pPr>
      <w:r>
        <w:t xml:space="preserve">OpenAI API for LLM services</w:t>
      </w:r>
    </w:p>
    <w:p>
      <w:pPr>
        <w:pStyle w:val="ListParagraph"/>
        <w:numPr>
          <w:ilvl w:val="0"/>
          <w:numId w:val="2"/>
        </w:numPr>
      </w:pPr>
      <w:r>
        <w:t xml:space="preserve">FAISS library for vector similarity search</w:t>
      </w:r>
    </w:p>
    <w:p>
      <w:pPr>
        <w:pStyle w:val="ListParagraph"/>
        <w:numPr>
          <w:ilvl w:val="0"/>
          <w:numId w:val="2"/>
        </w:numPr>
      </w:pPr>
      <w:r>
        <w:t xml:space="preserve">Streamlit framework for UI</w:t>
      </w:r>
    </w:p>
    <w:p>
      <w:pPr>
        <w:pStyle w:val="ListParagraph"/>
        <w:numPr>
          <w:ilvl w:val="0"/>
          <w:numId w:val="2"/>
        </w:numPr>
        <w:spacing w:after="200"/>
      </w:pPr>
      <w:r>
        <w:t xml:space="preserve">FastAPI framework for backend services</w:t>
      </w:r>
    </w:p>
    <w:p>
      <w:pPr>
        <w:pStyle w:val="Heading1"/>
      </w:pPr>
      <w:r>
        <w:t xml:space="preserve">3. Specific Requirements</w:t>
      </w:r>
    </w:p>
    <w:p>
      <w:pPr>
        <w:pStyle w:val="Heading2"/>
      </w:pPr>
      <w:r>
        <w:t xml:space="preserve">3.1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Borders>
              <w:top w:val="single" w:color="999999" w:sz="1"/>
              <w:left w:val="single" w:color="999999" w:sz="1"/>
              <w:bottom w:val="single" w:color="999999" w:sz="1"/>
              <w:right w:val="single" w:color="999999" w:sz="1"/>
            </w:tcBorders>
            <w:shd w:fill="E8E8E8"/>
          </w:tcPr>
          <w:p>
            <w:r>
              <w:rPr>
                <w:b/>
                <w:bCs/>
              </w:rPr>
              <w:t xml:space="preserve">ID</w:t>
            </w:r>
          </w:p>
        </w:tc>
        <w:tc>
          <w:tcPr>
            <w:tcBorders>
              <w:top w:val="single" w:color="999999" w:sz="1"/>
              <w:left w:val="single" w:color="999999" w:sz="1"/>
              <w:bottom w:val="single" w:color="999999" w:sz="1"/>
              <w:right w:val="single" w:color="999999" w:sz="1"/>
            </w:tcBorders>
            <w:shd w:fill="E8E8E8"/>
          </w:tcPr>
          <w:p>
            <w:r>
              <w:rPr>
                <w:b/>
                <w:bCs/>
              </w:rPr>
              <w:t xml:space="preserve">Requirement</w:t>
            </w:r>
          </w:p>
        </w:tc>
        <w:tc>
          <w:tcPr>
            <w:tcBorders>
              <w:top w:val="single" w:color="999999" w:sz="1"/>
              <w:left w:val="single" w:color="999999" w:sz="1"/>
              <w:bottom w:val="single" w:color="999999" w:sz="1"/>
              <w:right w:val="single" w:color="999999" w:sz="1"/>
            </w:tcBorders>
            <w:shd w:fill="E8E8E8"/>
          </w:tcPr>
          <w:p>
            <w:r>
              <w:rPr>
                <w:b/>
                <w:bCs/>
              </w:rPr>
              <w:t xml:space="preserve">Description</w:t>
            </w:r>
          </w:p>
        </w:tc>
      </w:tr>
      <w:tr>
        <w:tc>
          <w:tcPr>
            <w:tcBorders>
              <w:top w:val="single" w:color="999999" w:sz="1"/>
              <w:left w:val="single" w:color="999999" w:sz="1"/>
              <w:bottom w:val="single" w:color="999999" w:sz="1"/>
              <w:right w:val="single" w:color="999999" w:sz="1"/>
            </w:tcBorders>
          </w:tcPr>
          <w:p>
            <w:r>
              <w:t xml:space="preserve">FR-001</w:t>
            </w:r>
          </w:p>
        </w:tc>
        <w:tc>
          <w:tcPr>
            <w:tcBorders>
              <w:top w:val="single" w:color="999999" w:sz="1"/>
              <w:left w:val="single" w:color="999999" w:sz="1"/>
              <w:bottom w:val="single" w:color="999999" w:sz="1"/>
              <w:right w:val="single" w:color="999999" w:sz="1"/>
            </w:tcBorders>
          </w:tcPr>
          <w:p>
            <w:r>
              <w:t xml:space="preserve">Topic Input</w:t>
            </w:r>
          </w:p>
        </w:tc>
        <w:tc>
          <w:tcPr>
            <w:tcBorders>
              <w:top w:val="single" w:color="999999" w:sz="1"/>
              <w:left w:val="single" w:color="999999" w:sz="1"/>
              <w:bottom w:val="single" w:color="999999" w:sz="1"/>
              <w:right w:val="single" w:color="999999" w:sz="1"/>
            </w:tcBorders>
          </w:tcPr>
          <w:p>
            <w:r>
              <w:t xml:space="preserve">The system shall accept topic input from users via text field or content upload.</w:t>
            </w:r>
          </w:p>
        </w:tc>
      </w:tr>
      <w:tr>
        <w:tc>
          <w:tcPr>
            <w:tcBorders>
              <w:top w:val="single" w:color="999999" w:sz="1"/>
              <w:left w:val="single" w:color="999999" w:sz="1"/>
              <w:bottom w:val="single" w:color="999999" w:sz="1"/>
              <w:right w:val="single" w:color="999999" w:sz="1"/>
            </w:tcBorders>
          </w:tcPr>
          <w:p>
            <w:r>
              <w:t xml:space="preserve">FR-002</w:t>
            </w:r>
          </w:p>
        </w:tc>
        <w:tc>
          <w:tcPr>
            <w:tcBorders>
              <w:top w:val="single" w:color="999999" w:sz="1"/>
              <w:left w:val="single" w:color="999999" w:sz="1"/>
              <w:bottom w:val="single" w:color="999999" w:sz="1"/>
              <w:right w:val="single" w:color="999999" w:sz="1"/>
            </w:tcBorders>
          </w:tcPr>
          <w:p>
            <w:r>
              <w:t xml:space="preserve">Lesson Generation</w:t>
            </w:r>
          </w:p>
        </w:tc>
        <w:tc>
          <w:tcPr>
            <w:tcBorders>
              <w:top w:val="single" w:color="999999" w:sz="1"/>
              <w:left w:val="single" w:color="999999" w:sz="1"/>
              <w:bottom w:val="single" w:color="999999" w:sz="1"/>
              <w:right w:val="single" w:color="999999" w:sz="1"/>
            </w:tcBorders>
          </w:tcPr>
          <w:p>
            <w:r>
              <w:t xml:space="preserve">The system shall generate structured educational lessons based on the provided topic using LLM technology.</w:t>
            </w:r>
          </w:p>
        </w:tc>
      </w:tr>
      <w:tr>
        <w:tc>
          <w:tcPr>
            <w:tcBorders>
              <w:top w:val="single" w:color="999999" w:sz="1"/>
              <w:left w:val="single" w:color="999999" w:sz="1"/>
              <w:bottom w:val="single" w:color="999999" w:sz="1"/>
              <w:right w:val="single" w:color="999999" w:sz="1"/>
            </w:tcBorders>
          </w:tcPr>
          <w:p>
            <w:r>
              <w:t xml:space="preserve">FR-003</w:t>
            </w:r>
          </w:p>
        </w:tc>
        <w:tc>
          <w:tcPr>
            <w:tcBorders>
              <w:top w:val="single" w:color="999999" w:sz="1"/>
              <w:left w:val="single" w:color="999999" w:sz="1"/>
              <w:bottom w:val="single" w:color="999999" w:sz="1"/>
              <w:right w:val="single" w:color="999999" w:sz="1"/>
            </w:tcBorders>
          </w:tcPr>
          <w:p>
            <w:r>
              <w:t xml:space="preserve">Quiz Generation</w:t>
            </w:r>
          </w:p>
        </w:tc>
        <w:tc>
          <w:tcPr>
            <w:tcBorders>
              <w:top w:val="single" w:color="999999" w:sz="1"/>
              <w:left w:val="single" w:color="999999" w:sz="1"/>
              <w:bottom w:val="single" w:color="999999" w:sz="1"/>
              <w:right w:val="single" w:color="999999" w:sz="1"/>
            </w:tcBorders>
          </w:tcPr>
          <w:p>
            <w:r>
              <w:t xml:space="preserve">The system shall automatically generate quizzes covering multiple cognitive levels based on lesson content.</w:t>
            </w:r>
          </w:p>
        </w:tc>
      </w:tr>
      <w:tr>
        <w:tc>
          <w:tcPr>
            <w:tcBorders>
              <w:top w:val="single" w:color="999999" w:sz="1"/>
              <w:left w:val="single" w:color="999999" w:sz="1"/>
              <w:bottom w:val="single" w:color="999999" w:sz="1"/>
              <w:right w:val="single" w:color="999999" w:sz="1"/>
            </w:tcBorders>
          </w:tcPr>
          <w:p>
            <w:r>
              <w:t xml:space="preserve">FR-004</w:t>
            </w:r>
          </w:p>
        </w:tc>
        <w:tc>
          <w:tcPr>
            <w:tcBorders>
              <w:top w:val="single" w:color="999999" w:sz="1"/>
              <w:left w:val="single" w:color="999999" w:sz="1"/>
              <w:bottom w:val="single" w:color="999999" w:sz="1"/>
              <w:right w:val="single" w:color="999999" w:sz="1"/>
            </w:tcBorders>
          </w:tcPr>
          <w:p>
            <w:r>
              <w:t xml:space="preserve">Answer Evaluation</w:t>
            </w:r>
          </w:p>
        </w:tc>
        <w:tc>
          <w:tcPr>
            <w:tcBorders>
              <w:top w:val="single" w:color="999999" w:sz="1"/>
              <w:left w:val="single" w:color="999999" w:sz="1"/>
              <w:bottom w:val="single" w:color="999999" w:sz="1"/>
              <w:right w:val="single" w:color="999999" w:sz="1"/>
            </w:tcBorders>
          </w:tcPr>
          <w:p>
            <w:r>
              <w:t xml:space="preserve">The system shall evaluate user quiz responses and calculate correctness scores.</w:t>
            </w:r>
          </w:p>
        </w:tc>
      </w:tr>
      <w:tr>
        <w:tc>
          <w:tcPr>
            <w:tcBorders>
              <w:top w:val="single" w:color="999999" w:sz="1"/>
              <w:left w:val="single" w:color="999999" w:sz="1"/>
              <w:bottom w:val="single" w:color="999999" w:sz="1"/>
              <w:right w:val="single" w:color="999999" w:sz="1"/>
            </w:tcBorders>
          </w:tcPr>
          <w:p>
            <w:r>
              <w:t xml:space="preserve">FR-005</w:t>
            </w:r>
          </w:p>
        </w:tc>
        <w:tc>
          <w:tcPr>
            <w:tcBorders>
              <w:top w:val="single" w:color="999999" w:sz="1"/>
              <w:left w:val="single" w:color="999999" w:sz="1"/>
              <w:bottom w:val="single" w:color="999999" w:sz="1"/>
              <w:right w:val="single" w:color="999999" w:sz="1"/>
            </w:tcBorders>
          </w:tcPr>
          <w:p>
            <w:r>
              <w:t xml:space="preserve">Feedback Provision</w:t>
            </w:r>
          </w:p>
        </w:tc>
        <w:tc>
          <w:tcPr>
            <w:tcBorders>
              <w:top w:val="single" w:color="999999" w:sz="1"/>
              <w:left w:val="single" w:color="999999" w:sz="1"/>
              <w:bottom w:val="single" w:color="999999" w:sz="1"/>
              <w:right w:val="single" w:color="999999" w:sz="1"/>
            </w:tcBorders>
          </w:tcPr>
          <w:p>
            <w:r>
              <w:t xml:space="preserve">The system shall provide personalized feedback on quiz responses to support learning.</w:t>
            </w:r>
          </w:p>
        </w:tc>
      </w:tr>
      <w:tr>
        <w:tc>
          <w:tcPr>
            <w:tcBorders>
              <w:top w:val="single" w:color="999999" w:sz="1"/>
              <w:left w:val="single" w:color="999999" w:sz="1"/>
              <w:bottom w:val="single" w:color="999999" w:sz="1"/>
              <w:right w:val="single" w:color="999999" w:sz="1"/>
            </w:tcBorders>
          </w:tcPr>
          <w:p>
            <w:r>
              <w:t xml:space="preserve">FR-006</w:t>
            </w:r>
          </w:p>
        </w:tc>
        <w:tc>
          <w:tcPr>
            <w:tcBorders>
              <w:top w:val="single" w:color="999999" w:sz="1"/>
              <w:left w:val="single" w:color="999999" w:sz="1"/>
              <w:bottom w:val="single" w:color="999999" w:sz="1"/>
              <w:right w:val="single" w:color="999999" w:sz="1"/>
            </w:tcBorders>
          </w:tcPr>
          <w:p>
            <w:r>
              <w:t xml:space="preserve">Adaptive Learning</w:t>
            </w:r>
          </w:p>
        </w:tc>
        <w:tc>
          <w:tcPr>
            <w:tcBorders>
              <w:top w:val="single" w:color="999999" w:sz="1"/>
              <w:left w:val="single" w:color="999999" w:sz="1"/>
              <w:bottom w:val="single" w:color="999999" w:sz="1"/>
              <w:right w:val="single" w:color="999999" w:sz="1"/>
            </w:tcBorders>
          </w:tcPr>
          <w:p>
            <w:r>
              <w:t xml:space="preserve">The system shall adapt content difficulty using EMA-based mastery tracking algorithm.</w:t>
            </w:r>
          </w:p>
        </w:tc>
      </w:tr>
      <w:tr>
        <w:tc>
          <w:tcPr>
            <w:tcBorders>
              <w:top w:val="single" w:color="999999" w:sz="1"/>
              <w:left w:val="single" w:color="999999" w:sz="1"/>
              <w:bottom w:val="single" w:color="999999" w:sz="1"/>
              <w:right w:val="single" w:color="999999" w:sz="1"/>
            </w:tcBorders>
          </w:tcPr>
          <w:p>
            <w:r>
              <w:t xml:space="preserve">FR-007</w:t>
            </w:r>
          </w:p>
        </w:tc>
        <w:tc>
          <w:tcPr>
            <w:tcBorders>
              <w:top w:val="single" w:color="999999" w:sz="1"/>
              <w:left w:val="single" w:color="999999" w:sz="1"/>
              <w:bottom w:val="single" w:color="999999" w:sz="1"/>
              <w:right w:val="single" w:color="999999" w:sz="1"/>
            </w:tcBorders>
          </w:tcPr>
          <w:p>
            <w:r>
              <w:t xml:space="preserve">Semantic Retrieval</w:t>
            </w:r>
          </w:p>
        </w:tc>
        <w:tc>
          <w:tcPr>
            <w:tcBorders>
              <w:top w:val="single" w:color="999999" w:sz="1"/>
              <w:left w:val="single" w:color="999999" w:sz="1"/>
              <w:bottom w:val="single" w:color="999999" w:sz="1"/>
              <w:right w:val="single" w:color="999999" w:sz="1"/>
            </w:tcBorders>
          </w:tcPr>
          <w:p>
            <w:r>
              <w:t xml:space="preserve">The system shall retrieve relevant contextual information from educational datasets using FAISS.</w:t>
            </w:r>
          </w:p>
        </w:tc>
      </w:tr>
      <w:tr>
        <w:tc>
          <w:tcPr>
            <w:tcBorders>
              <w:top w:val="single" w:color="999999" w:sz="1"/>
              <w:left w:val="single" w:color="999999" w:sz="1"/>
              <w:bottom w:val="single" w:color="999999" w:sz="1"/>
              <w:right w:val="single" w:color="999999" w:sz="1"/>
            </w:tcBorders>
          </w:tcPr>
          <w:p>
            <w:r>
              <w:t xml:space="preserve">FR-008</w:t>
            </w:r>
          </w:p>
        </w:tc>
        <w:tc>
          <w:tcPr>
            <w:tcBorders>
              <w:top w:val="single" w:color="999999" w:sz="1"/>
              <w:left w:val="single" w:color="999999" w:sz="1"/>
              <w:bottom w:val="single" w:color="999999" w:sz="1"/>
              <w:right w:val="single" w:color="999999" w:sz="1"/>
            </w:tcBorders>
          </w:tcPr>
          <w:p>
            <w:r>
              <w:t xml:space="preserve">Prompt Caching</w:t>
            </w:r>
          </w:p>
        </w:tc>
        <w:tc>
          <w:tcPr>
            <w:tcBorders>
              <w:top w:val="single" w:color="999999" w:sz="1"/>
              <w:left w:val="single" w:color="999999" w:sz="1"/>
              <w:bottom w:val="single" w:color="999999" w:sz="1"/>
              <w:right w:val="single" w:color="999999" w:sz="1"/>
            </w:tcBorders>
          </w:tcPr>
          <w:p>
            <w:r>
              <w:t xml:space="preserve">The system shall cache prompts using SHA-256 hashing to reduce API costs and improve response time.</w:t>
            </w:r>
          </w:p>
        </w:tc>
      </w:tr>
    </w:tbl>
    <w:p>
      <w:pPr>
        <w:pStyle w:val="Heading2"/>
      </w:pPr>
      <w:r>
        <w:t xml:space="preserve">3.2 External Interface Requirements</w:t>
      </w:r>
    </w:p>
    <w:p>
      <w:pPr>
        <w:spacing w:after="100"/>
      </w:pPr>
      <w:r>
        <w:rPr>
          <w:b/>
          <w:bCs/>
        </w:rPr>
        <w:t xml:space="preserve">User Interface:</w:t>
      </w:r>
    </w:p>
    <w:p>
      <w:pPr>
        <w:pStyle w:val="ListParagraph"/>
        <w:numPr>
          <w:ilvl w:val="0"/>
          <w:numId w:val="2"/>
        </w:numPr>
      </w:pPr>
      <w:r>
        <w:t xml:space="preserve">Web-based interface accessible via modern browsers (Chrome, Firefox, Safari, Edge)</w:t>
      </w:r>
    </w:p>
    <w:p>
      <w:pPr>
        <w:pStyle w:val="ListParagraph"/>
        <w:numPr>
          <w:ilvl w:val="0"/>
          <w:numId w:val="2"/>
        </w:numPr>
      </w:pPr>
      <w:r>
        <w:t xml:space="preserve">Streamlit-based responsive design supporting desktop and mobile devices</w:t>
      </w:r>
    </w:p>
    <w:p>
      <w:pPr>
        <w:pStyle w:val="ListParagraph"/>
        <w:numPr>
          <w:ilvl w:val="0"/>
          <w:numId w:val="2"/>
        </w:numPr>
        <w:spacing w:after="100"/>
      </w:pPr>
      <w:r>
        <w:t xml:space="preserve">Input fields for topic entry and content upload</w:t>
      </w:r>
    </w:p>
    <w:p>
      <w:pPr>
        <w:spacing w:after="100"/>
      </w:pPr>
      <w:r>
        <w:rPr>
          <w:b/>
          <w:bCs/>
        </w:rPr>
        <w:t xml:space="preserve">Software Interfaces:</w:t>
      </w:r>
    </w:p>
    <w:p>
      <w:pPr>
        <w:pStyle w:val="ListParagraph"/>
        <w:numPr>
          <w:ilvl w:val="0"/>
          <w:numId w:val="2"/>
        </w:numPr>
      </w:pPr>
      <w:r>
        <w:t xml:space="preserve">OpenAI API - HTTPS/REST communication for LLM services</w:t>
      </w:r>
    </w:p>
    <w:p>
      <w:pPr>
        <w:pStyle w:val="ListParagraph"/>
        <w:numPr>
          <w:ilvl w:val="0"/>
          <w:numId w:val="2"/>
        </w:numPr>
      </w:pPr>
      <w:r>
        <w:t xml:space="preserve">FAISS library - Local vector database integration</w:t>
      </w:r>
    </w:p>
    <w:p>
      <w:pPr>
        <w:pStyle w:val="ListParagraph"/>
        <w:numPr>
          <w:ilvl w:val="0"/>
          <w:numId w:val="2"/>
        </w:numPr>
        <w:spacing w:after="200"/>
      </w:pPr>
      <w:r>
        <w:t xml:space="preserve">SQLite - Local database for session and cache storage</w:t>
      </w:r>
    </w:p>
    <w:p>
      <w:pPr>
        <w:pStyle w:val="Heading2"/>
      </w:pPr>
      <w:r>
        <w:t xml:space="preserve">3.3 Performance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Borders>
              <w:top w:val="single" w:color="999999" w:sz="1"/>
              <w:left w:val="single" w:color="999999" w:sz="1"/>
              <w:bottom w:val="single" w:color="999999" w:sz="1"/>
              <w:right w:val="single" w:color="999999" w:sz="1"/>
            </w:tcBorders>
            <w:shd w:fill="E8E8E8"/>
          </w:tcPr>
          <w:p>
            <w:r>
              <w:rPr>
                <w:b/>
                <w:bCs/>
              </w:rPr>
              <w:t xml:space="preserve">ID</w:t>
            </w:r>
          </w:p>
        </w:tc>
        <w:tc>
          <w:tcPr>
            <w:tcBorders>
              <w:top w:val="single" w:color="999999" w:sz="1"/>
              <w:left w:val="single" w:color="999999" w:sz="1"/>
              <w:bottom w:val="single" w:color="999999" w:sz="1"/>
              <w:right w:val="single" w:color="999999" w:sz="1"/>
            </w:tcBorders>
            <w:shd w:fill="E8E8E8"/>
          </w:tcPr>
          <w:p>
            <w:r>
              <w:rPr>
                <w:b/>
                <w:bCs/>
              </w:rPr>
              <w:t xml:space="preserve">Metric</w:t>
            </w:r>
          </w:p>
        </w:tc>
        <w:tc>
          <w:tcPr>
            <w:tcBorders>
              <w:top w:val="single" w:color="999999" w:sz="1"/>
              <w:left w:val="single" w:color="999999" w:sz="1"/>
              <w:bottom w:val="single" w:color="999999" w:sz="1"/>
              <w:right w:val="single" w:color="999999" w:sz="1"/>
            </w:tcBorders>
            <w:shd w:fill="E8E8E8"/>
          </w:tcPr>
          <w:p>
            <w:r>
              <w:rPr>
                <w:b/>
                <w:bCs/>
              </w:rPr>
              <w:t xml:space="preserve">Target</w:t>
            </w:r>
          </w:p>
        </w:tc>
      </w:tr>
      <w:tr>
        <w:tc>
          <w:tcPr>
            <w:tcBorders>
              <w:top w:val="single" w:color="999999" w:sz="1"/>
              <w:left w:val="single" w:color="999999" w:sz="1"/>
              <w:bottom w:val="single" w:color="999999" w:sz="1"/>
              <w:right w:val="single" w:color="999999" w:sz="1"/>
            </w:tcBorders>
          </w:tcPr>
          <w:p>
            <w:r>
              <w:t xml:space="preserve">PR-001</w:t>
            </w:r>
          </w:p>
        </w:tc>
        <w:tc>
          <w:tcPr>
            <w:tcBorders>
              <w:top w:val="single" w:color="999999" w:sz="1"/>
              <w:left w:val="single" w:color="999999" w:sz="1"/>
              <w:bottom w:val="single" w:color="999999" w:sz="1"/>
              <w:right w:val="single" w:color="999999" w:sz="1"/>
            </w:tcBorders>
          </w:tcPr>
          <w:p>
            <w:r>
              <w:t xml:space="preserve">Response Time</w:t>
            </w:r>
          </w:p>
        </w:tc>
        <w:tc>
          <w:tcPr>
            <w:tcBorders>
              <w:top w:val="single" w:color="999999" w:sz="1"/>
              <w:left w:val="single" w:color="999999" w:sz="1"/>
              <w:bottom w:val="single" w:color="999999" w:sz="1"/>
              <w:right w:val="single" w:color="999999" w:sz="1"/>
            </w:tcBorders>
          </w:tcPr>
          <w:p>
            <w:r>
              <w:t xml:space="preserve">Content generation ≤ 2 seconds (target), ≤ 3 seconds (maximum)</w:t>
            </w:r>
          </w:p>
        </w:tc>
      </w:tr>
      <w:tr>
        <w:tc>
          <w:tcPr>
            <w:tcBorders>
              <w:top w:val="single" w:color="999999" w:sz="1"/>
              <w:left w:val="single" w:color="999999" w:sz="1"/>
              <w:bottom w:val="single" w:color="999999" w:sz="1"/>
              <w:right w:val="single" w:color="999999" w:sz="1"/>
            </w:tcBorders>
          </w:tcPr>
          <w:p>
            <w:r>
              <w:t xml:space="preserve">PR-002</w:t>
            </w:r>
          </w:p>
        </w:tc>
        <w:tc>
          <w:tcPr>
            <w:tcBorders>
              <w:top w:val="single" w:color="999999" w:sz="1"/>
              <w:left w:val="single" w:color="999999" w:sz="1"/>
              <w:bottom w:val="single" w:color="999999" w:sz="1"/>
              <w:right w:val="single" w:color="999999" w:sz="1"/>
            </w:tcBorders>
          </w:tcPr>
          <w:p>
            <w:r>
              <w:t xml:space="preserve">Concurrent Users</w:t>
            </w:r>
          </w:p>
        </w:tc>
        <w:tc>
          <w:tcPr>
            <w:tcBorders>
              <w:top w:val="single" w:color="999999" w:sz="1"/>
              <w:left w:val="single" w:color="999999" w:sz="1"/>
              <w:bottom w:val="single" w:color="999999" w:sz="1"/>
              <w:right w:val="single" w:color="999999" w:sz="1"/>
            </w:tcBorders>
          </w:tcPr>
          <w:p>
            <w:r>
              <w:t xml:space="preserve">System shall support multiple simultaneous users</w:t>
            </w:r>
          </w:p>
        </w:tc>
      </w:tr>
      <w:tr>
        <w:tc>
          <w:tcPr>
            <w:tcBorders>
              <w:top w:val="single" w:color="999999" w:sz="1"/>
              <w:left w:val="single" w:color="999999" w:sz="1"/>
              <w:bottom w:val="single" w:color="999999" w:sz="1"/>
              <w:right w:val="single" w:color="999999" w:sz="1"/>
            </w:tcBorders>
          </w:tcPr>
          <w:p>
            <w:r>
              <w:t xml:space="preserve">PR-003</w:t>
            </w:r>
          </w:p>
        </w:tc>
        <w:tc>
          <w:tcPr>
            <w:tcBorders>
              <w:top w:val="single" w:color="999999" w:sz="1"/>
              <w:left w:val="single" w:color="999999" w:sz="1"/>
              <w:bottom w:val="single" w:color="999999" w:sz="1"/>
              <w:right w:val="single" w:color="999999" w:sz="1"/>
            </w:tcBorders>
          </w:tcPr>
          <w:p>
            <w:r>
              <w:t xml:space="preserve">Cache Hit Rate</w:t>
            </w:r>
          </w:p>
        </w:tc>
        <w:tc>
          <w:tcPr>
            <w:tcBorders>
              <w:top w:val="single" w:color="999999" w:sz="1"/>
              <w:left w:val="single" w:color="999999" w:sz="1"/>
              <w:bottom w:val="single" w:color="999999" w:sz="1"/>
              <w:right w:val="single" w:color="999999" w:sz="1"/>
            </w:tcBorders>
          </w:tcPr>
          <w:p>
            <w:r>
              <w:t xml:space="preserve">~40% reduction in API calls through prompt caching</w:t>
            </w:r>
          </w:p>
        </w:tc>
      </w:tr>
    </w:tbl>
    <w:p>
      <w:pPr>
        <w:pStyle w:val="Heading2"/>
      </w:pPr>
      <w:r>
        <w:t xml:space="preserve">3.4 Design Constraints</w:t>
      </w:r>
    </w:p>
    <w:p>
      <w:pPr>
        <w:pStyle w:val="ListParagraph"/>
        <w:numPr>
          <w:ilvl w:val="0"/>
          <w:numId w:val="2"/>
        </w:numPr>
      </w:pPr>
      <w:r>
        <w:rPr>
          <w:b/>
          <w:bCs/>
        </w:rPr>
        <w:t xml:space="preserve">Programming Languages: </w:t>
      </w:r>
      <w:r>
        <w:t xml:space="preserve">Python (backend), JavaScript (frontend components)</w:t>
      </w:r>
    </w:p>
    <w:p>
      <w:pPr>
        <w:pStyle w:val="ListParagraph"/>
        <w:numPr>
          <w:ilvl w:val="0"/>
          <w:numId w:val="2"/>
        </w:numPr>
      </w:pPr>
      <w:r>
        <w:rPr>
          <w:b/>
          <w:bCs/>
        </w:rPr>
        <w:t xml:space="preserve">Frameworks: </w:t>
      </w:r>
      <w:r>
        <w:t xml:space="preserve">Streamlit (UI), FastAPI (backend)</w:t>
      </w:r>
    </w:p>
    <w:p>
      <w:pPr>
        <w:pStyle w:val="ListParagraph"/>
        <w:numPr>
          <w:ilvl w:val="0"/>
          <w:numId w:val="2"/>
        </w:numPr>
      </w:pPr>
      <w:r>
        <w:rPr>
          <w:b/>
          <w:bCs/>
        </w:rPr>
        <w:t xml:space="preserve">Database: </w:t>
      </w:r>
      <w:r>
        <w:t xml:space="preserve">SQLite for persistence, FAISS for vector storage</w:t>
      </w:r>
    </w:p>
    <w:p>
      <w:pPr>
        <w:pStyle w:val="ListParagraph"/>
        <w:numPr>
          <w:ilvl w:val="0"/>
          <w:numId w:val="2"/>
        </w:numPr>
        <w:spacing w:after="200"/>
      </w:pPr>
      <w:r>
        <w:rPr>
          <w:b/>
          <w:bCs/>
        </w:rPr>
        <w:t xml:space="preserve">Version Control: </w:t>
      </w:r>
      <w:r>
        <w:t xml:space="preserve">Git with feature-branch workflow</w:t>
      </w:r>
    </w:p>
    <w:p>
      <w:pPr>
        <w:pStyle w:val="Heading2"/>
      </w:pPr>
      <w:r>
        <w:t xml:space="preserve">3.5 Software Quality Attributes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999999" w:sz="1"/>
              <w:left w:val="single" w:color="999999" w:sz="1"/>
              <w:bottom w:val="single" w:color="999999" w:sz="1"/>
              <w:right w:val="single" w:color="999999" w:sz="1"/>
            </w:tcBorders>
            <w:shd w:fill="E8E8E8"/>
          </w:tcPr>
          <w:p>
            <w:r>
              <w:rPr>
                <w:b/>
                <w:bCs/>
              </w:rPr>
              <w:t xml:space="preserve">Attribute</w:t>
            </w:r>
          </w:p>
        </w:tc>
        <w:tc>
          <w:tcPr>
            <w:tcBorders>
              <w:top w:val="single" w:color="999999" w:sz="1"/>
              <w:left w:val="single" w:color="999999" w:sz="1"/>
              <w:bottom w:val="single" w:color="999999" w:sz="1"/>
              <w:right w:val="single" w:color="999999" w:sz="1"/>
            </w:tcBorders>
            <w:shd w:fill="E8E8E8"/>
          </w:tcPr>
          <w:p>
            <w:r>
              <w:rPr>
                <w:b/>
                <w:bCs/>
              </w:rPr>
              <w:t xml:space="preserve">Metric</w:t>
            </w:r>
          </w:p>
        </w:tc>
        <w:tc>
          <w:tcPr>
            <w:tcBorders>
              <w:top w:val="single" w:color="999999" w:sz="1"/>
              <w:left w:val="single" w:color="999999" w:sz="1"/>
              <w:bottom w:val="single" w:color="999999" w:sz="1"/>
              <w:right w:val="single" w:color="999999" w:sz="1"/>
            </w:tcBorders>
            <w:shd w:fill="E8E8E8"/>
          </w:tcPr>
          <w:p>
            <w:r>
              <w:rPr>
                <w:b/>
                <w:bCs/>
              </w:rPr>
              <w:t xml:space="preserve">Target</w:t>
            </w:r>
          </w:p>
        </w:tc>
      </w:tr>
      <w:tr>
        <w:tc>
          <w:tcPr>
            <w:tcBorders>
              <w:top w:val="single" w:color="999999" w:sz="1"/>
              <w:left w:val="single" w:color="999999" w:sz="1"/>
              <w:bottom w:val="single" w:color="999999" w:sz="1"/>
              <w:right w:val="single" w:color="999999" w:sz="1"/>
            </w:tcBorders>
          </w:tcPr>
          <w:p>
            <w:r>
              <w:t xml:space="preserve">Reliability</w:t>
            </w:r>
          </w:p>
        </w:tc>
        <w:tc>
          <w:tcPr>
            <w:tcBorders>
              <w:top w:val="single" w:color="999999" w:sz="1"/>
              <w:left w:val="single" w:color="999999" w:sz="1"/>
              <w:bottom w:val="single" w:color="999999" w:sz="1"/>
              <w:right w:val="single" w:color="999999" w:sz="1"/>
            </w:tcBorders>
          </w:tcPr>
          <w:p>
            <w:r>
              <w:t xml:space="preserve">Output Correctness</w:t>
            </w:r>
          </w:p>
        </w:tc>
        <w:tc>
          <w:tcPr>
            <w:tcBorders>
              <w:top w:val="single" w:color="999999" w:sz="1"/>
              <w:left w:val="single" w:color="999999" w:sz="1"/>
              <w:bottom w:val="single" w:color="999999" w:sz="1"/>
              <w:right w:val="single" w:color="999999" w:sz="1"/>
            </w:tcBorders>
          </w:tcPr>
          <w:p>
            <w:r>
              <w:t xml:space="preserve">≥ 95% based on requirement-based scenarios</w:t>
            </w:r>
          </w:p>
        </w:tc>
      </w:tr>
      <w:tr>
        <w:tc>
          <w:tcPr>
            <w:tcBorders>
              <w:top w:val="single" w:color="999999" w:sz="1"/>
              <w:left w:val="single" w:color="999999" w:sz="1"/>
              <w:bottom w:val="single" w:color="999999" w:sz="1"/>
              <w:right w:val="single" w:color="999999" w:sz="1"/>
            </w:tcBorders>
          </w:tcPr>
          <w:p>
            <w:r>
              <w:t xml:space="preserve">Reliability</w:t>
            </w:r>
          </w:p>
        </w:tc>
        <w:tc>
          <w:tcPr>
            <w:tcBorders>
              <w:top w:val="single" w:color="999999" w:sz="1"/>
              <w:left w:val="single" w:color="999999" w:sz="1"/>
              <w:bottom w:val="single" w:color="999999" w:sz="1"/>
              <w:right w:val="single" w:color="999999" w:sz="1"/>
            </w:tcBorders>
          </w:tcPr>
          <w:p>
            <w:r>
              <w:t xml:space="preserve">Fault Density</w:t>
            </w:r>
          </w:p>
        </w:tc>
        <w:tc>
          <w:tcPr>
            <w:tcBorders>
              <w:top w:val="single" w:color="999999" w:sz="1"/>
              <w:left w:val="single" w:color="999999" w:sz="1"/>
              <w:bottom w:val="single" w:color="999999" w:sz="1"/>
              <w:right w:val="single" w:color="999999" w:sz="1"/>
            </w:tcBorders>
          </w:tcPr>
          <w:p>
            <w:r>
              <w:t xml:space="preserve">&lt; 0.5 faults per module in stable release</w:t>
            </w:r>
          </w:p>
        </w:tc>
      </w:tr>
      <w:tr>
        <w:tc>
          <w:tcPr>
            <w:tcBorders>
              <w:top w:val="single" w:color="999999" w:sz="1"/>
              <w:left w:val="single" w:color="999999" w:sz="1"/>
              <w:bottom w:val="single" w:color="999999" w:sz="1"/>
              <w:right w:val="single" w:color="999999" w:sz="1"/>
            </w:tcBorders>
          </w:tcPr>
          <w:p>
            <w:r>
              <w:t xml:space="preserve">Maintainability</w:t>
            </w:r>
          </w:p>
        </w:tc>
        <w:tc>
          <w:tcPr>
            <w:tcBorders>
              <w:top w:val="single" w:color="999999" w:sz="1"/>
              <w:left w:val="single" w:color="999999" w:sz="1"/>
              <w:bottom w:val="single" w:color="999999" w:sz="1"/>
              <w:right w:val="single" w:color="999999" w:sz="1"/>
            </w:tcBorders>
          </w:tcPr>
          <w:p>
            <w:r>
              <w:t xml:space="preserve">Unit Test Coverage</w:t>
            </w:r>
          </w:p>
        </w:tc>
        <w:tc>
          <w:tcPr>
            <w:tcBorders>
              <w:top w:val="single" w:color="999999" w:sz="1"/>
              <w:left w:val="single" w:color="999999" w:sz="1"/>
              <w:bottom w:val="single" w:color="999999" w:sz="1"/>
              <w:right w:val="single" w:color="999999" w:sz="1"/>
            </w:tcBorders>
          </w:tcPr>
          <w:p>
            <w:r>
              <w:t xml:space="preserve">≥ 90% measured via coverage.py</w:t>
            </w:r>
          </w:p>
        </w:tc>
      </w:tr>
      <w:tr>
        <w:tc>
          <w:tcPr>
            <w:tcBorders>
              <w:top w:val="single" w:color="999999" w:sz="1"/>
              <w:left w:val="single" w:color="999999" w:sz="1"/>
              <w:bottom w:val="single" w:color="999999" w:sz="1"/>
              <w:right w:val="single" w:color="999999" w:sz="1"/>
            </w:tcBorders>
          </w:tcPr>
          <w:p>
            <w:r>
              <w:t xml:space="preserve">Security</w:t>
            </w:r>
          </w:p>
        </w:tc>
        <w:tc>
          <w:tcPr>
            <w:tcBorders>
              <w:top w:val="single" w:color="999999" w:sz="1"/>
              <w:left w:val="single" w:color="999999" w:sz="1"/>
              <w:bottom w:val="single" w:color="999999" w:sz="1"/>
              <w:right w:val="single" w:color="999999" w:sz="1"/>
            </w:tcBorders>
          </w:tcPr>
          <w:p>
            <w:r>
              <w:t xml:space="preserve">Data Protection</w:t>
            </w:r>
          </w:p>
        </w:tc>
        <w:tc>
          <w:tcPr>
            <w:tcBorders>
              <w:top w:val="single" w:color="999999" w:sz="1"/>
              <w:left w:val="single" w:color="999999" w:sz="1"/>
              <w:bottom w:val="single" w:color="999999" w:sz="1"/>
              <w:right w:val="single" w:color="999999" w:sz="1"/>
            </w:tcBorders>
          </w:tcPr>
          <w:p>
            <w:r>
              <w:t xml:space="preserve">Input sanitization, HTTPS communication</w:t>
            </w:r>
          </w:p>
        </w:tc>
      </w:tr>
      <w:tr>
        <w:tc>
          <w:tcPr>
            <w:tcBorders>
              <w:top w:val="single" w:color="999999" w:sz="1"/>
              <w:left w:val="single" w:color="999999" w:sz="1"/>
              <w:bottom w:val="single" w:color="999999" w:sz="1"/>
              <w:right w:val="single" w:color="999999" w:sz="1"/>
            </w:tcBorders>
          </w:tcPr>
          <w:p>
            <w:r>
              <w:t xml:space="preserve">Performance</w:t>
            </w:r>
          </w:p>
        </w:tc>
        <w:tc>
          <w:tcPr>
            <w:tcBorders>
              <w:top w:val="single" w:color="999999" w:sz="1"/>
              <w:left w:val="single" w:color="999999" w:sz="1"/>
              <w:bottom w:val="single" w:color="999999" w:sz="1"/>
              <w:right w:val="single" w:color="999999" w:sz="1"/>
            </w:tcBorders>
          </w:tcPr>
          <w:p>
            <w:r>
              <w:t xml:space="preserve">Response Time</w:t>
            </w:r>
          </w:p>
        </w:tc>
        <w:tc>
          <w:tcPr>
            <w:tcBorders>
              <w:top w:val="single" w:color="999999" w:sz="1"/>
              <w:left w:val="single" w:color="999999" w:sz="1"/>
              <w:bottom w:val="single" w:color="999999" w:sz="1"/>
              <w:right w:val="single" w:color="999999" w:sz="1"/>
            </w:tcBorders>
          </w:tcPr>
          <w:p>
            <w:r>
              <w:t xml:space="preserve">≤ 2 seconds target, ≤ 3 seconds max</w:t>
            </w:r>
          </w:p>
        </w:tc>
      </w:tr>
    </w:tbl>
    <w:p>
      <w:pPr>
        <w:pStyle w:val="Heading2"/>
      </w:pPr>
      <w:r>
        <w:t xml:space="preserve">3.6 Other Requirements</w:t>
      </w:r>
    </w:p>
    <w:p>
      <w:pPr>
        <w:spacing w:after="100"/>
      </w:pPr>
      <w:r>
        <w:rPr>
          <w:b/>
          <w:bCs/>
        </w:rPr>
        <w:t xml:space="preserve">Localization:</w:t>
      </w:r>
    </w:p>
    <w:p>
      <w:pPr>
        <w:pStyle w:val="ListParagraph"/>
        <w:numPr>
          <w:ilvl w:val="0"/>
          <w:numId w:val="2"/>
        </w:numPr>
        <w:spacing w:after="100"/>
      </w:pPr>
      <w:r>
        <w:t xml:space="preserve">Initial version supports English language only. Multi-language support is planned for future releases.</w:t>
      </w:r>
    </w:p>
    <w:p>
      <w:pPr>
        <w:spacing w:after="100"/>
      </w:pPr>
      <w:r>
        <w:rPr>
          <w:b/>
          <w:bCs/>
        </w:rPr>
        <w:t xml:space="preserve">Documentation:</w:t>
      </w:r>
    </w:p>
    <w:p>
      <w:pPr>
        <w:pStyle w:val="ListParagraph"/>
        <w:numPr>
          <w:ilvl w:val="0"/>
          <w:numId w:val="2"/>
        </w:numPr>
        <w:spacing w:after="200"/>
      </w:pPr>
      <w:r>
        <w:t xml:space="preserve">User documentation and API documentation shall be provided.</w:t>
      </w:r>
    </w:p>
    <w:p>
      <w:pPr>
        <w:pStyle w:val="Heading1"/>
      </w:pPr>
      <w:r>
        <w:t xml:space="preserve">4. Appendices</w:t>
      </w:r>
    </w:p>
    <w:p>
      <w:pPr>
        <w:spacing w:after="100"/>
      </w:pPr>
      <w:r>
        <w:rPr>
          <w:b/>
          <w:bCs/>
        </w:rPr>
        <w:t xml:space="preserve">Appendix A - Traceability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999999" w:sz="1"/>
              <w:left w:val="single" w:color="999999" w:sz="1"/>
              <w:bottom w:val="single" w:color="999999" w:sz="1"/>
              <w:right w:val="single" w:color="999999" w:sz="1"/>
            </w:tcBorders>
            <w:shd w:fill="E8E8E8"/>
          </w:tcPr>
          <w:p>
            <w:r>
              <w:rPr>
                <w:b/>
                <w:bCs/>
              </w:rPr>
              <w:t xml:space="preserve">Requirement</w:t>
            </w:r>
          </w:p>
        </w:tc>
        <w:tc>
          <w:tcPr>
            <w:tcBorders>
              <w:top w:val="single" w:color="999999" w:sz="1"/>
              <w:left w:val="single" w:color="999999" w:sz="1"/>
              <w:bottom w:val="single" w:color="999999" w:sz="1"/>
              <w:right w:val="single" w:color="999999" w:sz="1"/>
            </w:tcBorders>
            <w:shd w:fill="E8E8E8"/>
          </w:tcPr>
          <w:p>
            <w:r>
              <w:rPr>
                <w:b/>
                <w:bCs/>
              </w:rPr>
              <w:t xml:space="preserve">Design Element</w:t>
            </w:r>
          </w:p>
        </w:tc>
        <w:tc>
          <w:tcPr>
            <w:tcBorders>
              <w:top w:val="single" w:color="999999" w:sz="1"/>
              <w:left w:val="single" w:color="999999" w:sz="1"/>
              <w:bottom w:val="single" w:color="999999" w:sz="1"/>
              <w:right w:val="single" w:color="999999" w:sz="1"/>
            </w:tcBorders>
            <w:shd w:fill="E8E8E8"/>
          </w:tcPr>
          <w:p>
            <w:r>
              <w:rPr>
                <w:b/>
                <w:bCs/>
              </w:rPr>
              <w:t xml:space="preserve">Test ID</w:t>
            </w:r>
          </w:p>
        </w:tc>
      </w:tr>
      <w:tr>
        <w:tc>
          <w:tcPr>
            <w:tcBorders>
              <w:top w:val="single" w:color="999999" w:sz="1"/>
              <w:left w:val="single" w:color="999999" w:sz="1"/>
              <w:bottom w:val="single" w:color="999999" w:sz="1"/>
              <w:right w:val="single" w:color="999999" w:sz="1"/>
            </w:tcBorders>
          </w:tcPr>
          <w:p>
            <w:r>
              <w:t xml:space="preserve">FR-002</w:t>
            </w:r>
          </w:p>
        </w:tc>
        <w:tc>
          <w:tcPr>
            <w:tcBorders>
              <w:top w:val="single" w:color="999999" w:sz="1"/>
              <w:left w:val="single" w:color="999999" w:sz="1"/>
              <w:bottom w:val="single" w:color="999999" w:sz="1"/>
              <w:right w:val="single" w:color="999999" w:sz="1"/>
            </w:tcBorders>
          </w:tcPr>
          <w:p>
            <w:r>
              <w:t xml:space="preserve">LessonGenerator</w:t>
            </w:r>
          </w:p>
        </w:tc>
        <w:tc>
          <w:tcPr>
            <w:tcBorders>
              <w:top w:val="single" w:color="999999" w:sz="1"/>
              <w:left w:val="single" w:color="999999" w:sz="1"/>
              <w:bottom w:val="single" w:color="999999" w:sz="1"/>
              <w:right w:val="single" w:color="999999" w:sz="1"/>
            </w:tcBorders>
          </w:tcPr>
          <w:p>
            <w:r>
              <w:t xml:space="preserve">T-001, T-002</w:t>
            </w:r>
          </w:p>
        </w:tc>
      </w:tr>
      <w:tr>
        <w:tc>
          <w:tcPr>
            <w:tcBorders>
              <w:top w:val="single" w:color="999999" w:sz="1"/>
              <w:left w:val="single" w:color="999999" w:sz="1"/>
              <w:bottom w:val="single" w:color="999999" w:sz="1"/>
              <w:right w:val="single" w:color="999999" w:sz="1"/>
            </w:tcBorders>
          </w:tcPr>
          <w:p>
            <w:r>
              <w:t xml:space="preserve">FR-003</w:t>
            </w:r>
          </w:p>
        </w:tc>
        <w:tc>
          <w:tcPr>
            <w:tcBorders>
              <w:top w:val="single" w:color="999999" w:sz="1"/>
              <w:left w:val="single" w:color="999999" w:sz="1"/>
              <w:bottom w:val="single" w:color="999999" w:sz="1"/>
              <w:right w:val="single" w:color="999999" w:sz="1"/>
            </w:tcBorders>
          </w:tcPr>
          <w:p>
            <w:r>
              <w:t xml:space="preserve">QuizConstructor</w:t>
            </w:r>
          </w:p>
        </w:tc>
        <w:tc>
          <w:tcPr>
            <w:tcBorders>
              <w:top w:val="single" w:color="999999" w:sz="1"/>
              <w:left w:val="single" w:color="999999" w:sz="1"/>
              <w:bottom w:val="single" w:color="999999" w:sz="1"/>
              <w:right w:val="single" w:color="999999" w:sz="1"/>
            </w:tcBorders>
          </w:tcPr>
          <w:p>
            <w:r>
              <w:t xml:space="preserve">T-003, T-004</w:t>
            </w:r>
          </w:p>
        </w:tc>
      </w:tr>
      <w:tr>
        <w:tc>
          <w:tcPr>
            <w:tcBorders>
              <w:top w:val="single" w:color="999999" w:sz="1"/>
              <w:left w:val="single" w:color="999999" w:sz="1"/>
              <w:bottom w:val="single" w:color="999999" w:sz="1"/>
              <w:right w:val="single" w:color="999999" w:sz="1"/>
            </w:tcBorders>
          </w:tcPr>
          <w:p>
            <w:r>
              <w:t xml:space="preserve">FR-006</w:t>
            </w:r>
          </w:p>
        </w:tc>
        <w:tc>
          <w:tcPr>
            <w:tcBorders>
              <w:top w:val="single" w:color="999999" w:sz="1"/>
              <w:left w:val="single" w:color="999999" w:sz="1"/>
              <w:bottom w:val="single" w:color="999999" w:sz="1"/>
              <w:right w:val="single" w:color="999999" w:sz="1"/>
            </w:tcBorders>
          </w:tcPr>
          <w:p>
            <w:r>
              <w:t xml:space="preserve">EMAAdaptiveEngine</w:t>
            </w:r>
          </w:p>
        </w:tc>
        <w:tc>
          <w:tcPr>
            <w:tcBorders>
              <w:top w:val="single" w:color="999999" w:sz="1"/>
              <w:left w:val="single" w:color="999999" w:sz="1"/>
              <w:bottom w:val="single" w:color="999999" w:sz="1"/>
              <w:right w:val="single" w:color="999999" w:sz="1"/>
            </w:tcBorders>
          </w:tcPr>
          <w:p>
            <w:r>
              <w:t xml:space="preserve">T-005, T-006</w:t>
            </w:r>
          </w:p>
        </w:tc>
      </w:tr>
    </w:tbl>
    <w:p>
      <w:pPr>
        <w:pStyle w:val="Heading1"/>
      </w:pPr>
      <w:r>
        <w:t xml:space="preserve">5. References</w:t>
      </w:r>
    </w:p>
    <w:p>
      <w:pPr>
        <w:pStyle w:val="ListParagraph"/>
        <w:numPr>
          <w:ilvl w:val="0"/>
          <w:numId w:val="2"/>
        </w:numPr>
      </w:pPr>
      <w:r>
        <w:t xml:space="preserve">IEEE 830-1998 - Recommended Practice for Software Requirements Specifications</w:t>
      </w:r>
    </w:p>
    <w:p>
      <w:pPr>
        <w:pStyle w:val="ListParagraph"/>
        <w:numPr>
          <w:ilvl w:val="0"/>
          <w:numId w:val="2"/>
        </w:numPr>
      </w:pPr>
      <w:r>
        <w:t xml:space="preserve">ISO/IEC/IEEE 29148:2018 - Systems and Software Engineering</w:t>
      </w:r>
    </w:p>
    <w:p>
      <w:pPr>
        <w:pStyle w:val="ListParagraph"/>
        <w:numPr>
          <w:ilvl w:val="0"/>
          <w:numId w:val="2"/>
        </w:numPr>
      </w:pPr>
      <w:r>
        <w:t xml:space="preserve">ISO/IEC 25010:2011 - Systems and Software Quality Model</w:t>
      </w:r>
    </w:p>
    <w:p>
      <w:pPr>
        <w:pStyle w:val="ListParagraph"/>
        <w:numPr>
          <w:ilvl w:val="0"/>
          <w:numId w:val="2"/>
        </w:numPr>
      </w:pPr>
      <w:r>
        <w:t xml:space="preserve">IEEE 42010 - Architecture Description</w:t>
      </w:r>
    </w:p>
    <w:p>
      <w:pPr>
        <w:pStyle w:val="ListParagraph"/>
        <w:numPr>
          <w:ilvl w:val="0"/>
          <w:numId w:val="2"/>
        </w:numPr>
      </w:pPr>
      <w:r>
        <w:t xml:space="preserve">System Architecture Document (SAD) - AI-Based Adaptive Course Generator</w:t>
      </w:r>
    </w:p>
    <w:p>
      <w:pPr>
        <w:pStyle w:val="ListParagraph"/>
        <w:numPr>
          <w:ilvl w:val="0"/>
          <w:numId w:val="2"/>
        </w:numPr>
      </w:pPr>
      <w:r>
        <w:t xml:space="preserve">Software Design Description (SDD) - AI-Based Adaptive Course Generator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AI-Based Adaptive Course Generator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2025-12-28T04:49:40.426Z</dcterms:created>
  <dcterms:modified xsi:type="dcterms:W3CDTF">2025-12-28T04:49:40.426Z</dcterms:modified>
</cp:coreProperties>
</file>

<file path=docProps/custom.xml><?xml version="1.0" encoding="utf-8"?>
<Properties xmlns="http://schemas.openxmlformats.org/officeDocument/2006/custom-properties" xmlns:vt="http://schemas.openxmlformats.org/officeDocument/2006/docPropsVTypes"/>
</file>