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TOBB University of Economics &amp; Technology</w:t>
      </w:r>
    </w:p>
    <w:p>
      <w:pPr>
        <w:spacing w:after="360"/>
        <w:jc w:val="center"/>
      </w:pPr>
      <w:r>
        <w:rPr>
          <w:sz w:val="24"/>
          <w:szCs w:val="24"/>
        </w:rPr>
        <w:t xml:space="preserve">Department of Computer Engineering</w:t>
      </w:r>
    </w:p>
    <w:p>
      <w:pPr>
        <w:spacing w:before="480" w:after="240"/>
        <w:jc w:val="center"/>
      </w:pPr>
      <w:r>
        <w:rPr>
          <w:b/>
          <w:bCs/>
          <w:sz w:val="36"/>
          <w:szCs w:val="36"/>
        </w:rPr>
        <w:t xml:space="preserve">PROJECT PROPOSAL</w:t>
      </w:r>
    </w:p>
    <w:p>
      <w:pPr>
        <w:spacing w:after="120"/>
        <w:jc w:val="center"/>
      </w:pPr>
      <w:r>
        <w:rPr>
          <w:b/>
          <w:bCs/>
          <w:sz w:val="28"/>
          <w:szCs w:val="28"/>
        </w:rPr>
        <w:t xml:space="preserve">Adaptive Mathematics Learning System</w:t>
      </w:r>
    </w:p>
    <w:p>
      <w:pPr>
        <w:spacing w:after="480"/>
        <w:jc w:val="center"/>
      </w:pPr>
      <w:r>
        <w:rPr>
          <w:i/>
          <w:iCs/>
          <w:sz w:val="24"/>
          <w:szCs w:val="24"/>
        </w:rPr>
        <w:t xml:space="preserve">with Hybrid Deterministic-AI Question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shd w:fill="D9D9D9" w:val="clear"/>
          </w:tcPr>
          <w:p>
            <w:pPr>
              <w:jc w:val="center"/>
            </w:pPr>
            <w:r>
              <w:rPr>
                <w:b/>
                <w:bCs/>
              </w:rPr>
              <w:t xml:space="preserve">Project Team</w:t>
            </w:r>
          </w:p>
        </w:tc>
      </w:tr>
      <w:tr>
        <w:tc>
          <w:tcPr>
            <w:tcBorders>
              <w:top w:val="single" w:color="000000" w:sz="1"/>
              <w:left w:val="single" w:color="000000" w:sz="1"/>
              <w:bottom w:val="single" w:color="000000" w:sz="1"/>
              <w:right w:val="single" w:color="000000" w:sz="1"/>
            </w:tcBorders>
          </w:tcPr>
          <w:p>
            <w:pPr>
              <w:spacing w:before="60" w:after="60"/>
            </w:pPr>
            <w:r>
              <w:t xml:space="preserve">Emre Ekşi - 211104087</w:t>
            </w:r>
          </w:p>
          <w:p>
            <w:pPr>
              <w:spacing w:before="60" w:after="60"/>
            </w:pPr>
            <w:r>
              <w:t xml:space="preserve">Ahmet Babagil - 211101067</w:t>
            </w:r>
          </w:p>
          <w:p>
            <w:pPr>
              <w:spacing w:before="60" w:after="60"/>
            </w:pPr>
            <w:r>
              <w:t xml:space="preserve">Seda Naz Dolu - 201104084</w:t>
            </w:r>
          </w:p>
          <w:p>
            <w:pPr>
              <w:spacing w:before="60" w:after="60"/>
            </w:pPr>
            <w:r>
              <w:t xml:space="preserve">Cemil Gündüz - 211101015</w:t>
            </w:r>
          </w:p>
        </w:tc>
      </w:tr>
    </w:tbl>
    <w:p>
      <w:pPr>
        <w:spacing w:before="360" w:after="120"/>
        <w:jc w:val="center"/>
      </w:pPr>
      <w:r>
        <w:rPr>
          <w:i/>
          <w:iCs/>
          <w:sz w:val="24"/>
          <w:szCs w:val="24"/>
        </w:rPr>
        <w:t xml:space="preserve">BIL495/YAP495 - Innovative Computer Application</w:t>
      </w:r>
    </w:p>
    <w:p>
      <w:pPr>
        <w:spacing w:after="480"/>
        <w:jc w:val="center"/>
      </w:pPr>
      <w:r>
        <w:rPr>
          <w:b/>
          <w:bCs/>
          <w:sz w:val="24"/>
          <w:szCs w:val="24"/>
        </w:rPr>
        <w:t xml:space="preserve">Spring 2025</w:t>
      </w:r>
    </w:p>
    <w:p>
      <w:pPr>
        <w:spacing w:before="240" w:after="200"/>
      </w:pPr>
      <w:r>
        <w:rPr>
          <w:b/>
          <w:bCs/>
          <w:sz w:val="32"/>
          <w:szCs w:val="32"/>
        </w:rPr>
        <w:t xml:space="preserve">1. Project Name</w:t>
      </w:r>
    </w:p>
    <w:p>
      <w:pPr>
        <w:spacing w:after="180"/>
        <w:jc w:val="both"/>
      </w:pPr>
      <w:r>
        <w:t xml:space="preserve">Adaptive Mathematics Learning System with Hybrid Deterministic-AI Question Generation</w:t>
      </w:r>
    </w:p>
    <w:p>
      <w:pPr>
        <w:spacing w:before="240" w:after="200"/>
      </w:pPr>
      <w:r>
        <w:rPr>
          <w:b/>
          <w:bCs/>
          <w:sz w:val="32"/>
          <w:szCs w:val="32"/>
        </w:rPr>
        <w:t xml:space="preserve">2. Project URL</w:t>
      </w:r>
    </w:p>
    <w:p>
      <w:hyperlink w:history="1" r:id="rIdgw_kdrfpiy-63d3mx5hlg">
        <w:r>
          <w:rPr>
            <w:color w:val="0000FF"/>
            <w:u w:val="single"/>
          </w:rPr>
          <w:t xml:space="preserve">https://github.com/tobb-math-adaptive</w:t>
        </w:r>
      </w:hyperlink>
    </w:p>
    <w:p>
      <w:pPr>
        <w:spacing w:before="240" w:after="200"/>
      </w:pPr>
      <w:r>
        <w:rPr>
          <w:b/>
          <w:bCs/>
          <w:sz w:val="32"/>
          <w:szCs w:val="32"/>
        </w:rPr>
        <w:t xml:space="preserve">3. Team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Name</w:t>
            </w:r>
          </w:p>
        </w:tc>
        <w:tc>
          <w:tcPr>
            <w:tcBorders>
              <w:top w:val="single" w:color="000000" w:sz="1"/>
              <w:left w:val="single" w:color="000000" w:sz="1"/>
              <w:bottom w:val="single" w:color="000000" w:sz="1"/>
              <w:right w:val="single" w:color="000000" w:sz="1"/>
            </w:tcBorders>
            <w:shd w:fill="D9D9D9" w:val="clear"/>
          </w:tcPr>
          <w:p>
            <w:r>
              <w:rPr>
                <w:b/>
                <w:bCs/>
              </w:rPr>
              <w:t xml:space="preserve">Student ID</w:t>
            </w:r>
          </w:p>
        </w:tc>
        <w:tc>
          <w:tcPr>
            <w:tcBorders>
              <w:top w:val="single" w:color="000000" w:sz="1"/>
              <w:left w:val="single" w:color="000000" w:sz="1"/>
              <w:bottom w:val="single" w:color="000000" w:sz="1"/>
              <w:right w:val="single" w:color="000000" w:sz="1"/>
            </w:tcBorders>
            <w:shd w:fill="D9D9D9" w:val="clear"/>
          </w:tcPr>
          <w:p>
            <w:r>
              <w:rPr>
                <w:b/>
                <w:bCs/>
              </w:rPr>
              <w:t xml:space="preserve">Role</w:t>
            </w:r>
          </w:p>
        </w:tc>
        <w:tc>
          <w:tcPr>
            <w:tcBorders>
              <w:top w:val="single" w:color="000000" w:sz="1"/>
              <w:left w:val="single" w:color="000000" w:sz="1"/>
              <w:bottom w:val="single" w:color="000000" w:sz="1"/>
              <w:right w:val="single" w:color="000000" w:sz="1"/>
            </w:tcBorders>
            <w:shd w:fill="D9D9D9" w:val="clear"/>
          </w:tcPr>
          <w:p>
            <w:r>
              <w:rPr>
                <w:b/>
                <w:bCs/>
              </w:rPr>
              <w:t xml:space="preserve">Technology</w:t>
            </w:r>
          </w:p>
        </w:tc>
      </w:tr>
      <w:tr>
        <w:tc>
          <w:tcPr>
            <w:tcBorders>
              <w:top w:val="single" w:color="000000" w:sz="1"/>
              <w:left w:val="single" w:color="000000" w:sz="1"/>
              <w:bottom w:val="single" w:color="000000" w:sz="1"/>
              <w:right w:val="single" w:color="000000" w:sz="1"/>
            </w:tcBorders>
          </w:tcPr>
          <w:p>
            <w:r>
              <w:t xml:space="preserve">Emre Ekşi</w:t>
            </w:r>
          </w:p>
        </w:tc>
        <w:tc>
          <w:tcPr>
            <w:tcBorders>
              <w:top w:val="single" w:color="000000" w:sz="1"/>
              <w:left w:val="single" w:color="000000" w:sz="1"/>
              <w:bottom w:val="single" w:color="000000" w:sz="1"/>
              <w:right w:val="single" w:color="000000" w:sz="1"/>
            </w:tcBorders>
          </w:tcPr>
          <w:p>
            <w:r>
              <w:t xml:space="preserve">211104087</w:t>
            </w:r>
          </w:p>
        </w:tc>
        <w:tc>
          <w:tcPr>
            <w:tcBorders>
              <w:top w:val="single" w:color="000000" w:sz="1"/>
              <w:left w:val="single" w:color="000000" w:sz="1"/>
              <w:bottom w:val="single" w:color="000000" w:sz="1"/>
              <w:right w:val="single" w:color="000000" w:sz="1"/>
            </w:tcBorders>
          </w:tcPr>
          <w:p>
            <w:r>
              <w:t xml:space="preserve">Team Lead / Backend</w:t>
            </w:r>
          </w:p>
        </w:tc>
        <w:tc>
          <w:tcPr>
            <w:tcBorders>
              <w:top w:val="single" w:color="000000" w:sz="1"/>
              <w:left w:val="single" w:color="000000" w:sz="1"/>
              <w:bottom w:val="single" w:color="000000" w:sz="1"/>
              <w:right w:val="single" w:color="000000" w:sz="1"/>
            </w:tcBorders>
          </w:tcPr>
          <w:p>
            <w:r>
              <w:t xml:space="preserve">FastAPI, PostgreSQL</w:t>
            </w:r>
          </w:p>
        </w:tc>
      </w:tr>
      <w:tr>
        <w:tc>
          <w:tcPr>
            <w:tcBorders>
              <w:top w:val="single" w:color="000000" w:sz="1"/>
              <w:left w:val="single" w:color="000000" w:sz="1"/>
              <w:bottom w:val="single" w:color="000000" w:sz="1"/>
              <w:right w:val="single" w:color="000000" w:sz="1"/>
            </w:tcBorders>
          </w:tcPr>
          <w:p>
            <w:r>
              <w:t xml:space="preserve">Ahmet Babagil</w:t>
            </w:r>
          </w:p>
        </w:tc>
        <w:tc>
          <w:tcPr>
            <w:tcBorders>
              <w:top w:val="single" w:color="000000" w:sz="1"/>
              <w:left w:val="single" w:color="000000" w:sz="1"/>
              <w:bottom w:val="single" w:color="000000" w:sz="1"/>
              <w:right w:val="single" w:color="000000" w:sz="1"/>
            </w:tcBorders>
          </w:tcPr>
          <w:p>
            <w:r>
              <w:t xml:space="preserve">211101067</w:t>
            </w:r>
          </w:p>
        </w:tc>
        <w:tc>
          <w:tcPr>
            <w:tcBorders>
              <w:top w:val="single" w:color="000000" w:sz="1"/>
              <w:left w:val="single" w:color="000000" w:sz="1"/>
              <w:bottom w:val="single" w:color="000000" w:sz="1"/>
              <w:right w:val="single" w:color="000000" w:sz="1"/>
            </w:tcBorders>
          </w:tcPr>
          <w:p>
            <w:r>
              <w:t xml:space="preserve">AI Integration</w:t>
            </w:r>
          </w:p>
        </w:tc>
        <w:tc>
          <w:tcPr>
            <w:tcBorders>
              <w:top w:val="single" w:color="000000" w:sz="1"/>
              <w:left w:val="single" w:color="000000" w:sz="1"/>
              <w:bottom w:val="single" w:color="000000" w:sz="1"/>
              <w:right w:val="single" w:color="000000" w:sz="1"/>
            </w:tcBorders>
          </w:tcPr>
          <w:p>
            <w:r>
              <w:t xml:space="preserve">Claude API, DALL-E</w:t>
            </w:r>
          </w:p>
        </w:tc>
      </w:tr>
      <w:tr>
        <w:tc>
          <w:tcPr>
            <w:tcBorders>
              <w:top w:val="single" w:color="000000" w:sz="1"/>
              <w:left w:val="single" w:color="000000" w:sz="1"/>
              <w:bottom w:val="single" w:color="000000" w:sz="1"/>
              <w:right w:val="single" w:color="000000" w:sz="1"/>
            </w:tcBorders>
          </w:tcPr>
          <w:p>
            <w:r>
              <w:t xml:space="preserve">Seda Naz Dolu</w:t>
            </w:r>
          </w:p>
        </w:tc>
        <w:tc>
          <w:tcPr>
            <w:tcBorders>
              <w:top w:val="single" w:color="000000" w:sz="1"/>
              <w:left w:val="single" w:color="000000" w:sz="1"/>
              <w:bottom w:val="single" w:color="000000" w:sz="1"/>
              <w:right w:val="single" w:color="000000" w:sz="1"/>
            </w:tcBorders>
          </w:tcPr>
          <w:p>
            <w:r>
              <w:t xml:space="preserve">201104084</w:t>
            </w:r>
          </w:p>
        </w:tc>
        <w:tc>
          <w:tcPr>
            <w:tcBorders>
              <w:top w:val="single" w:color="000000" w:sz="1"/>
              <w:left w:val="single" w:color="000000" w:sz="1"/>
              <w:bottom w:val="single" w:color="000000" w:sz="1"/>
              <w:right w:val="single" w:color="000000" w:sz="1"/>
            </w:tcBorders>
          </w:tcPr>
          <w:p>
            <w:r>
              <w:t xml:space="preserve">Frontend / UX</w:t>
            </w:r>
          </w:p>
        </w:tc>
        <w:tc>
          <w:tcPr>
            <w:tcBorders>
              <w:top w:val="single" w:color="000000" w:sz="1"/>
              <w:left w:val="single" w:color="000000" w:sz="1"/>
              <w:bottom w:val="single" w:color="000000" w:sz="1"/>
              <w:right w:val="single" w:color="000000" w:sz="1"/>
            </w:tcBorders>
          </w:tcPr>
          <w:p>
            <w:r>
              <w:t xml:space="preserve">Expo, NativeWind</w:t>
            </w:r>
          </w:p>
        </w:tc>
      </w:tr>
      <w:tr>
        <w:tc>
          <w:tcPr>
            <w:tcBorders>
              <w:top w:val="single" w:color="000000" w:sz="1"/>
              <w:left w:val="single" w:color="000000" w:sz="1"/>
              <w:bottom w:val="single" w:color="000000" w:sz="1"/>
              <w:right w:val="single" w:color="000000" w:sz="1"/>
            </w:tcBorders>
          </w:tcPr>
          <w:p>
            <w:r>
              <w:t xml:space="preserve">Cemil Gündüz</w:t>
            </w:r>
          </w:p>
        </w:tc>
        <w:tc>
          <w:tcPr>
            <w:tcBorders>
              <w:top w:val="single" w:color="000000" w:sz="1"/>
              <w:left w:val="single" w:color="000000" w:sz="1"/>
              <w:bottom w:val="single" w:color="000000" w:sz="1"/>
              <w:right w:val="single" w:color="000000" w:sz="1"/>
            </w:tcBorders>
          </w:tcPr>
          <w:p>
            <w:r>
              <w:t xml:space="preserve">211101015</w:t>
            </w:r>
          </w:p>
        </w:tc>
        <w:tc>
          <w:tcPr>
            <w:tcBorders>
              <w:top w:val="single" w:color="000000" w:sz="1"/>
              <w:left w:val="single" w:color="000000" w:sz="1"/>
              <w:bottom w:val="single" w:color="000000" w:sz="1"/>
              <w:right w:val="single" w:color="000000" w:sz="1"/>
            </w:tcBorders>
          </w:tcPr>
          <w:p>
            <w:r>
              <w:t xml:space="preserve">Question Engine</w:t>
            </w:r>
          </w:p>
        </w:tc>
        <w:tc>
          <w:tcPr>
            <w:tcBorders>
              <w:top w:val="single" w:color="000000" w:sz="1"/>
              <w:left w:val="single" w:color="000000" w:sz="1"/>
              <w:bottom w:val="single" w:color="000000" w:sz="1"/>
              <w:right w:val="single" w:color="000000" w:sz="1"/>
            </w:tcBorders>
          </w:tcPr>
          <w:p>
            <w:r>
              <w:t xml:space="preserve">Python, BKT Algorithm</w:t>
            </w:r>
          </w:p>
        </w:tc>
      </w:tr>
    </w:tbl>
    <w:p>
      <w:pPr>
        <w:spacing w:before="240" w:after="200"/>
      </w:pPr>
      <w:r>
        <w:rPr>
          <w:b/>
          <w:bCs/>
          <w:sz w:val="32"/>
          <w:szCs w:val="32"/>
        </w:rPr>
        <w:t xml:space="preserve">4. Project Description</w:t>
      </w:r>
    </w:p>
    <w:p>
      <w:pPr>
        <w:spacing w:before="200" w:after="120"/>
      </w:pPr>
      <w:r>
        <w:rPr>
          <w:b/>
          <w:bCs/>
          <w:sz w:val="26"/>
          <w:szCs w:val="26"/>
        </w:rPr>
        <w:t xml:space="preserve">4.1 Problem Statement</w:t>
      </w:r>
    </w:p>
    <w:p>
      <w:pPr>
        <w:spacing w:after="180"/>
        <w:jc w:val="both"/>
      </w:pPr>
      <w:r>
        <w:t xml:space="preserve">Mathematics education faces a fundamental challenge: delivering personalized practice problems that adapt to individual learner abilities while maintaining both mathematical accuracy and student engagement. Traditional educational technologies either rely on static question banks with limited variation, leading to memorization rather than learning, or employ pure AI generation with inherent risks of mathematical errors and hallucinations.</w:t>
      </w:r>
    </w:p>
    <w:p>
      <w:pPr>
        <w:spacing w:before="200" w:after="120"/>
      </w:pPr>
      <w:r>
        <w:rPr>
          <w:b/>
          <w:bCs/>
          <w:sz w:val="26"/>
          <w:szCs w:val="26"/>
        </w:rPr>
        <w:t xml:space="preserve">4.2 Proposed Solution</w:t>
      </w:r>
    </w:p>
    <w:p>
      <w:pPr>
        <w:spacing w:after="180"/>
        <w:jc w:val="both"/>
      </w:pPr>
      <w:r>
        <w:t xml:space="preserve">The Adaptive Mathematics Learning System addresses this challenge through a novel hybrid approach that combines deterministic algorithmic question generation with AI-powered content enhancement. Mathematical correctness is guaranteed through deterministic computation using parameterized question templates, while Large Language Models (LLMs) enhance engagement by transforming abstract equations into contextualized Turkish word problems.</w:t>
      </w:r>
    </w:p>
    <w:p>
      <w:pPr>
        <w:spacing w:before="200" w:after="120"/>
      </w:pPr>
      <w:r>
        <w:rPr>
          <w:b/>
          <w:bCs/>
          <w:sz w:val="26"/>
          <w:szCs w:val="26"/>
        </w:rPr>
        <w:t xml:space="preserve">4.3 Research Question</w:t>
      </w:r>
    </w:p>
    <w:p>
      <w:pPr>
        <w:spacing w:after="180"/>
      </w:pPr>
      <w:r>
        <w:rPr>
          <w:b/>
          <w:bCs/>
        </w:rPr>
        <w:t xml:space="preserve">Primary Research Question: </w:t>
      </w:r>
      <w:r>
        <w:t xml:space="preserve">Does hybrid AI-Deterministic question generation significantly improve student motivation and learning outcomes compared to traditional deterministic-only systems?</w:t>
      </w:r>
    </w:p>
    <w:p>
      <w:pPr>
        <w:spacing w:after="180"/>
      </w:pPr>
      <w:r>
        <w:rPr>
          <w:b/>
          <w:bCs/>
        </w:rPr>
        <w:t xml:space="preserve">Hypothesis: </w:t>
      </w:r>
      <w:r>
        <w:t xml:space="preserve">Students using the hybrid system will demonstrate at least 30% longer engagement time and 20% higher mastery improvement compared to the control group.</w:t>
      </w:r>
    </w:p>
    <w:p>
      <w:pPr>
        <w:spacing w:before="200" w:after="120"/>
      </w:pPr>
      <w:r>
        <w:rPr>
          <w:b/>
          <w:bCs/>
          <w:sz w:val="26"/>
          <w:szCs w:val="26"/>
        </w:rPr>
        <w:t xml:space="preserve">4.4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shd w:fill="D9D9D9" w:val="clear"/>
          </w:tcPr>
          <w:p>
            <w:r>
              <w:rPr>
                <w:b/>
                <w:bCs/>
              </w:rPr>
              <w:t xml:space="preserve">Layer</w:t>
            </w:r>
          </w:p>
        </w:tc>
        <w:tc>
          <w:tcPr>
            <w:tcBorders>
              <w:top w:val="single" w:color="000000" w:sz="1"/>
              <w:left w:val="single" w:color="000000" w:sz="1"/>
              <w:bottom w:val="single" w:color="000000" w:sz="1"/>
              <w:right w:val="single" w:color="000000" w:sz="1"/>
            </w:tcBorders>
            <w:shd w:fill="D9D9D9" w:val="clear"/>
          </w:tcPr>
          <w:p>
            <w:r>
              <w:rPr>
                <w:b/>
                <w:bCs/>
              </w:rPr>
              <w:t xml:space="preserve">Technology</w:t>
            </w:r>
          </w:p>
        </w:tc>
        <w:tc>
          <w:tcPr>
            <w:tcBorders>
              <w:top w:val="single" w:color="000000" w:sz="1"/>
              <w:left w:val="single" w:color="000000" w:sz="1"/>
              <w:bottom w:val="single" w:color="000000" w:sz="1"/>
              <w:right w:val="single" w:color="000000" w:sz="1"/>
            </w:tcBorders>
            <w:shd w:fill="D9D9D9" w:val="clear"/>
          </w:tcPr>
          <w:p>
            <w:r>
              <w:rPr>
                <w:b/>
                <w:bCs/>
              </w:rPr>
              <w:t xml:space="preserve">Purpose</w:t>
            </w:r>
          </w:p>
        </w:tc>
      </w:tr>
      <w:tr>
        <w:tc>
          <w:tcPr>
            <w:tcBorders>
              <w:top w:val="single" w:color="000000" w:sz="1"/>
              <w:left w:val="single" w:color="000000" w:sz="1"/>
              <w:bottom w:val="single" w:color="000000" w:sz="1"/>
              <w:right w:val="single" w:color="000000" w:sz="1"/>
            </w:tcBorders>
          </w:tcPr>
          <w:p>
            <w:r>
              <w:t xml:space="preserve">Frontend</w:t>
            </w:r>
          </w:p>
        </w:tc>
        <w:tc>
          <w:tcPr>
            <w:tcBorders>
              <w:top w:val="single" w:color="000000" w:sz="1"/>
              <w:left w:val="single" w:color="000000" w:sz="1"/>
              <w:bottom w:val="single" w:color="000000" w:sz="1"/>
              <w:right w:val="single" w:color="000000" w:sz="1"/>
            </w:tcBorders>
          </w:tcPr>
          <w:p>
            <w:r>
              <w:t xml:space="preserve">Expo (React Native) + NativeWind + Expo Router</w:t>
            </w:r>
          </w:p>
        </w:tc>
        <w:tc>
          <w:tcPr>
            <w:tcBorders>
              <w:top w:val="single" w:color="000000" w:sz="1"/>
              <w:left w:val="single" w:color="000000" w:sz="1"/>
              <w:bottom w:val="single" w:color="000000" w:sz="1"/>
              <w:right w:val="single" w:color="000000" w:sz="1"/>
            </w:tcBorders>
          </w:tcPr>
          <w:p>
            <w:r>
              <w:t xml:space="preserve">Cross-platform UI (iOS, Android, Web) with gamification</w:t>
            </w:r>
          </w:p>
        </w:tc>
      </w:tr>
      <w:tr>
        <w:tc>
          <w:tcPr>
            <w:tcBorders>
              <w:top w:val="single" w:color="000000" w:sz="1"/>
              <w:left w:val="single" w:color="000000" w:sz="1"/>
              <w:bottom w:val="single" w:color="000000" w:sz="1"/>
              <w:right w:val="single" w:color="000000" w:sz="1"/>
            </w:tcBorders>
          </w:tcPr>
          <w:p>
            <w:r>
              <w:t xml:space="preserve">Backend</w:t>
            </w:r>
          </w:p>
        </w:tc>
        <w:tc>
          <w:tcPr>
            <w:tcBorders>
              <w:top w:val="single" w:color="000000" w:sz="1"/>
              <w:left w:val="single" w:color="000000" w:sz="1"/>
              <w:bottom w:val="single" w:color="000000" w:sz="1"/>
              <w:right w:val="single" w:color="000000" w:sz="1"/>
            </w:tcBorders>
          </w:tcPr>
          <w:p>
            <w:r>
              <w:t xml:space="preserve">Python + FastAPI</w:t>
            </w:r>
          </w:p>
        </w:tc>
        <w:tc>
          <w:tcPr>
            <w:tcBorders>
              <w:top w:val="single" w:color="000000" w:sz="1"/>
              <w:left w:val="single" w:color="000000" w:sz="1"/>
              <w:bottom w:val="single" w:color="000000" w:sz="1"/>
              <w:right w:val="single" w:color="000000" w:sz="1"/>
            </w:tcBorders>
          </w:tcPr>
          <w:p>
            <w:r>
              <w:t xml:space="preserve">Question engine, BKT algorithm</w:t>
            </w:r>
          </w:p>
        </w:tc>
      </w:tr>
      <w:tr>
        <w:tc>
          <w:tcPr>
            <w:tcBorders>
              <w:top w:val="single" w:color="000000" w:sz="1"/>
              <w:left w:val="single" w:color="000000" w:sz="1"/>
              <w:bottom w:val="single" w:color="000000" w:sz="1"/>
              <w:right w:val="single" w:color="000000" w:sz="1"/>
            </w:tcBorders>
          </w:tcPr>
          <w:p>
            <w:r>
              <w:t xml:space="preserve">Database</w:t>
            </w:r>
          </w:p>
        </w:tc>
        <w:tc>
          <w:tcPr>
            <w:tcBorders>
              <w:top w:val="single" w:color="000000" w:sz="1"/>
              <w:left w:val="single" w:color="000000" w:sz="1"/>
              <w:bottom w:val="single" w:color="000000" w:sz="1"/>
              <w:right w:val="single" w:color="000000" w:sz="1"/>
            </w:tcBorders>
          </w:tcPr>
          <w:p>
            <w:r>
              <w:t xml:space="preserve">PostgreSQL + Supabase</w:t>
            </w:r>
          </w:p>
        </w:tc>
        <w:tc>
          <w:tcPr>
            <w:tcBorders>
              <w:top w:val="single" w:color="000000" w:sz="1"/>
              <w:left w:val="single" w:color="000000" w:sz="1"/>
              <w:bottom w:val="single" w:color="000000" w:sz="1"/>
              <w:right w:val="single" w:color="000000" w:sz="1"/>
            </w:tcBorders>
          </w:tcPr>
          <w:p>
            <w:r>
              <w:t xml:space="preserve">Sessions, mastery, A/B data</w:t>
            </w:r>
          </w:p>
        </w:tc>
      </w:tr>
      <w:tr>
        <w:tc>
          <w:tcPr>
            <w:tcBorders>
              <w:top w:val="single" w:color="000000" w:sz="1"/>
              <w:left w:val="single" w:color="000000" w:sz="1"/>
              <w:bottom w:val="single" w:color="000000" w:sz="1"/>
              <w:right w:val="single" w:color="000000" w:sz="1"/>
            </w:tcBorders>
          </w:tcPr>
          <w:p>
            <w:r>
              <w:t xml:space="preserve">LLM</w:t>
            </w:r>
          </w:p>
        </w:tc>
        <w:tc>
          <w:tcPr>
            <w:tcBorders>
              <w:top w:val="single" w:color="000000" w:sz="1"/>
              <w:left w:val="single" w:color="000000" w:sz="1"/>
              <w:bottom w:val="single" w:color="000000" w:sz="1"/>
              <w:right w:val="single" w:color="000000" w:sz="1"/>
            </w:tcBorders>
          </w:tcPr>
          <w:p>
            <w:r>
              <w:t xml:space="preserve">Anthropic Claude API</w:t>
            </w:r>
          </w:p>
        </w:tc>
        <w:tc>
          <w:tcPr>
            <w:tcBorders>
              <w:top w:val="single" w:color="000000" w:sz="1"/>
              <w:left w:val="single" w:color="000000" w:sz="1"/>
              <w:bottom w:val="single" w:color="000000" w:sz="1"/>
              <w:right w:val="single" w:color="000000" w:sz="1"/>
            </w:tcBorders>
          </w:tcPr>
          <w:p>
            <w:r>
              <w:t xml:space="preserve">Turkish story generation</w:t>
            </w:r>
          </w:p>
        </w:tc>
      </w:tr>
      <w:tr>
        <w:tc>
          <w:tcPr>
            <w:tcBorders>
              <w:top w:val="single" w:color="000000" w:sz="1"/>
              <w:left w:val="single" w:color="000000" w:sz="1"/>
              <w:bottom w:val="single" w:color="000000" w:sz="1"/>
              <w:right w:val="single" w:color="000000" w:sz="1"/>
            </w:tcBorders>
          </w:tcPr>
          <w:p>
            <w:r>
              <w:t xml:space="preserve">Visual AI</w:t>
            </w:r>
          </w:p>
        </w:tc>
        <w:tc>
          <w:tcPr>
            <w:tcBorders>
              <w:top w:val="single" w:color="000000" w:sz="1"/>
              <w:left w:val="single" w:color="000000" w:sz="1"/>
              <w:bottom w:val="single" w:color="000000" w:sz="1"/>
              <w:right w:val="single" w:color="000000" w:sz="1"/>
            </w:tcBorders>
          </w:tcPr>
          <w:p>
            <w:r>
              <w:t xml:space="preserve">OpenAI DALL-E 3</w:t>
            </w:r>
          </w:p>
        </w:tc>
        <w:tc>
          <w:tcPr>
            <w:tcBorders>
              <w:top w:val="single" w:color="000000" w:sz="1"/>
              <w:left w:val="single" w:color="000000" w:sz="1"/>
              <w:bottom w:val="single" w:color="000000" w:sz="1"/>
              <w:right w:val="single" w:color="000000" w:sz="1"/>
            </w:tcBorders>
          </w:tcPr>
          <w:p>
            <w:r>
              <w:t xml:space="preserve">Educational illustrations</w:t>
            </w:r>
          </w:p>
        </w:tc>
      </w:tr>
      <w:tr>
        <w:tc>
          <w:tcPr>
            <w:tcBorders>
              <w:top w:val="single" w:color="000000" w:sz="1"/>
              <w:left w:val="single" w:color="000000" w:sz="1"/>
              <w:bottom w:val="single" w:color="000000" w:sz="1"/>
              <w:right w:val="single" w:color="000000" w:sz="1"/>
            </w:tcBorders>
          </w:tcPr>
          <w:p>
            <w:r>
              <w:t xml:space="preserve">Analytics</w:t>
            </w:r>
          </w:p>
        </w:tc>
        <w:tc>
          <w:tcPr>
            <w:tcBorders>
              <w:top w:val="single" w:color="000000" w:sz="1"/>
              <w:left w:val="single" w:color="000000" w:sz="1"/>
              <w:bottom w:val="single" w:color="000000" w:sz="1"/>
              <w:right w:val="single" w:color="000000" w:sz="1"/>
            </w:tcBorders>
          </w:tcPr>
          <w:p>
            <w:r>
              <w:t xml:space="preserve">PostHog</w:t>
            </w:r>
          </w:p>
        </w:tc>
        <w:tc>
          <w:tcPr>
            <w:tcBorders>
              <w:top w:val="single" w:color="000000" w:sz="1"/>
              <w:left w:val="single" w:color="000000" w:sz="1"/>
              <w:bottom w:val="single" w:color="000000" w:sz="1"/>
              <w:right w:val="single" w:color="000000" w:sz="1"/>
            </w:tcBorders>
          </w:tcPr>
          <w:p>
            <w:r>
              <w:t xml:space="preserve">A/B testing infrastructure</w:t>
            </w:r>
          </w:p>
        </w:tc>
      </w:tr>
    </w:tbl>
    <w:p>
      <w:pPr>
        <w:spacing w:before="200" w:after="120"/>
      </w:pPr>
      <w:r>
        <w:rPr>
          <w:b/>
          <w:bCs/>
          <w:sz w:val="26"/>
          <w:szCs w:val="26"/>
        </w:rPr>
        <w:t xml:space="preserve">4.5 Expected Outcomes</w:t>
      </w:r>
    </w:p>
    <w:p>
      <w:pPr>
        <w:spacing w:after="180"/>
        <w:jc w:val="both"/>
      </w:pPr>
      <w:r>
        <w:t xml:space="preserve">• Fully functional adaptive learning platform supporting 5 mathematical topics</w:t>
      </w:r>
    </w:p>
    <w:p>
      <w:pPr>
        <w:spacing w:after="180"/>
        <w:jc w:val="both"/>
      </w:pPr>
      <w:r>
        <w:t xml:space="preserve">• Bayesian Knowledge Tracing (BKT) implementation for accurate mastery prediction</w:t>
      </w:r>
    </w:p>
    <w:p>
      <w:pPr>
        <w:spacing w:after="180"/>
        <w:jc w:val="both"/>
      </w:pPr>
      <w:r>
        <w:t xml:space="preserve">• A/B test results with 40-50 student participants demonstrating statistical significance</w:t>
      </w:r>
    </w:p>
    <w:p>
      <w:pPr>
        <w:spacing w:after="180"/>
        <w:jc w:val="both"/>
      </w:pPr>
      <w:r>
        <w:t xml:space="preserve">• Conference paper submission to IEEE EDUCON or CSEDU</w:t>
      </w:r>
    </w:p>
    <w:p>
      <w:pPr>
        <w:spacing w:before="240" w:after="200"/>
      </w:pPr>
      <w:r>
        <w:rPr>
          <w:b/>
          <w:bCs/>
          <w:sz w:val="32"/>
          <w:szCs w:val="32"/>
        </w:rPr>
        <w:t xml:space="preserve">5. References</w:t>
      </w:r>
    </w:p>
    <w:p>
      <w:pPr>
        <w:spacing w:after="180"/>
        <w:jc w:val="both"/>
      </w:pPr>
      <w:r>
        <w:t xml:space="preserve">[1] Corbett, A. T., &amp; Anderson, J. R. (1994). Knowledge tracing: Modeling the acquisition of procedural knowledge. UMUAI, 4(4), 253-278.</w:t>
      </w:r>
    </w:p>
    <w:p>
      <w:pPr>
        <w:spacing w:after="180"/>
        <w:jc w:val="both"/>
      </w:pPr>
      <w:r>
        <w:t xml:space="preserve">[2] Pardos, Z. A., &amp; Heffernan, N. T. (2010). Modeling individualization in a Bayesian networks implementation of knowledge tracing. UMAP 2010.</w:t>
      </w:r>
    </w:p>
    <w:p>
      <w:pPr>
        <w:spacing w:after="180"/>
        <w:jc w:val="both"/>
      </w:pPr>
      <w:r>
        <w:t xml:space="preserve">[3] Kasneci, E., et al. (2023). ChatGPT for good? On opportunities and challenges of large language models for education.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w_kdrfpiy-63d3mx5hlg" Type="http://schemas.openxmlformats.org/officeDocument/2006/relationships/hyperlink" Target="https://github.com/tobb-math-adaptive"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2026-01-25T17:25:49.045Z</dcterms:created>
  <dcterms:modified xsi:type="dcterms:W3CDTF">2026-01-25T17:25:49.046Z</dcterms:modified>
</cp:coreProperties>
</file>

<file path=docProps/custom.xml><?xml version="1.0" encoding="utf-8"?>
<Properties xmlns="http://schemas.openxmlformats.org/officeDocument/2006/custom-properties" xmlns:vt="http://schemas.openxmlformats.org/officeDocument/2006/docPropsVTypes"/>
</file>