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TOBB University of Economics &amp; Technology</w:t>
      </w:r>
    </w:p>
    <w:p>
      <w:pPr>
        <w:spacing w:after="360"/>
        <w:jc w:val="center"/>
      </w:pPr>
      <w:r>
        <w:rPr>
          <w:sz w:val="24"/>
          <w:szCs w:val="24"/>
        </w:rPr>
        <w:t xml:space="preserve">Department of Computer Engineering</w:t>
      </w:r>
    </w:p>
    <w:p>
      <w:pPr>
        <w:spacing w:before="480" w:after="240"/>
        <w:jc w:val="center"/>
      </w:pPr>
      <w:r>
        <w:rPr>
          <w:b/>
          <w:bCs/>
          <w:sz w:val="36"/>
          <w:szCs w:val="36"/>
        </w:rPr>
        <w:t xml:space="preserve">PROJECT SPECIFICATIONS REPORT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Adaptive Mathematics Learning System</w:t>
      </w:r>
    </w:p>
    <w:p>
      <w:pPr>
        <w:spacing w:after="480"/>
        <w:jc w:val="center"/>
      </w:pPr>
      <w:r>
        <w:rPr>
          <w:i/>
          <w:iCs/>
          <w:sz w:val="24"/>
          <w:szCs w:val="24"/>
        </w:rPr>
        <w:t xml:space="preserve">with Hybrid Deterministic-AI Question Generation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Project Team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60" w:after="60"/>
            </w:pPr>
            <w:r>
              <w:t xml:space="preserve">Emre Ekşi - 211104087</w:t>
            </w:r>
          </w:p>
          <w:p>
            <w:pPr>
              <w:spacing w:before="60" w:after="60"/>
            </w:pPr>
            <w:r>
              <w:t xml:space="preserve">Ahmet Babagil - 211101067</w:t>
            </w:r>
          </w:p>
          <w:p>
            <w:pPr>
              <w:spacing w:before="60" w:after="60"/>
            </w:pPr>
            <w:r>
              <w:t xml:space="preserve">Seda Naz Dolu - 201104084</w:t>
            </w:r>
          </w:p>
          <w:p>
            <w:pPr>
              <w:spacing w:before="60" w:after="60"/>
            </w:pPr>
            <w:r>
              <w:t xml:space="preserve">Cemil Gündüz - 211101015</w:t>
            </w:r>
          </w:p>
        </w:tc>
      </w:tr>
    </w:tbl>
    <w:p>
      <w:pPr>
        <w:spacing w:before="360" w:after="120"/>
        <w:jc w:val="center"/>
      </w:pPr>
      <w:r>
        <w:rPr>
          <w:i/>
          <w:iCs/>
          <w:sz w:val="24"/>
          <w:szCs w:val="24"/>
        </w:rPr>
        <w:t xml:space="preserve">BIL495/YAP495 - Innovative Computer Application</w:t>
      </w:r>
    </w:p>
    <w:p>
      <w:pPr>
        <w:spacing w:after="480"/>
        <w:jc w:val="center"/>
      </w:pPr>
      <w:r>
        <w:rPr>
          <w:b/>
          <w:bCs/>
          <w:sz w:val="24"/>
          <w:szCs w:val="24"/>
        </w:rPr>
        <w:t xml:space="preserve">Spring 2025</w:t>
      </w:r>
    </w:p>
    <w:p>
      <w:pPr>
        <w:spacing w:before="240" w:after="200"/>
      </w:pPr>
      <w:r>
        <w:rPr>
          <w:b/>
          <w:bCs/>
          <w:sz w:val="32"/>
          <w:szCs w:val="32"/>
        </w:rPr>
        <w:t xml:space="preserve">1. Introduction</w:t>
      </w:r>
    </w:p>
    <w:p>
      <w:pPr>
        <w:spacing w:before="200" w:after="120"/>
      </w:pPr>
      <w:r>
        <w:rPr>
          <w:b/>
          <w:bCs/>
          <w:sz w:val="26"/>
          <w:szCs w:val="26"/>
        </w:rPr>
        <w:t xml:space="preserve">1.1 Description</w:t>
      </w:r>
    </w:p>
    <w:p>
      <w:pPr>
        <w:spacing w:after="180"/>
        <w:jc w:val="both"/>
      </w:pPr>
      <w:r>
        <w:t xml:space="preserve">The Adaptive Mathematics Learning System is an innovative educational technology platform designed to provide personalized mathematics practice through intelligent question generation and adaptive difficulty adjustment. The system introduces a novel hybrid approach that combines deterministic algorithmic question generation with AI-powered content enhancement.</w:t>
      </w:r>
    </w:p>
    <w:p>
      <w:pPr>
        <w:spacing w:after="180"/>
        <w:jc w:val="both"/>
      </w:pPr>
      <w:r>
        <w:t xml:space="preserve">The system implements Bayesian Knowledge Tracing (BKT) for accurate mastery prediction and employs pedagogically-designed distractor generation based on common student misconceptions. An integrated A/B testing infrastructure enables empirical validation.</w:t>
      </w:r>
    </w:p>
    <w:p>
      <w:pPr>
        <w:spacing w:before="200" w:after="120"/>
      </w:pPr>
      <w:r>
        <w:rPr>
          <w:b/>
          <w:bCs/>
          <w:sz w:val="26"/>
          <w:szCs w:val="26"/>
        </w:rPr>
        <w:t xml:space="preserve">1.2 Constraints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Constraint Details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Technical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Cross-platform (iOS, Android, Web); LLM API rate limits (60 RPM); response &lt;3s; DALL-E latency ~10s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Resource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4-person team; 15-week timeline; ~$100/month AI budget; free-tier hosting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Platform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iOS 13+, Android 6+, Web; Expo managed workflow; responsive design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Educational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K-12 curriculum (MEB); age-appropriate; WCAG 2.1 AA; Turkish primary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Research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Min 40 participants; parental consent; anonymous data collection</w:t>
            </w:r>
          </w:p>
        </w:tc>
      </w:tr>
    </w:tbl>
    <w:p>
      <w:pPr>
        <w:spacing w:before="200" w:after="120"/>
      </w:pPr>
      <w:r>
        <w:rPr>
          <w:b/>
          <w:bCs/>
          <w:sz w:val="26"/>
          <w:szCs w:val="26"/>
        </w:rPr>
        <w:t xml:space="preserve">1.3 Professional and Ethical Issues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Issue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Consideration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Data Privacy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Student data sensitive; KVKK/GDPR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Anonymous sessions; no PII; local storage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AI Transparency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Users should know AI generates content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Clear disclosure; AI-enhanced labeling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Educational Equity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 disadvantage to any group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Inclusive content; gender-balanced names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Research Ethics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A/B testing with students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Informed consent; right to withdraw</w:t>
            </w:r>
          </w:p>
        </w:tc>
      </w:tr>
    </w:tbl>
    <w:p>
      <w:r>
        <w:br w:type="page"/>
      </w:r>
    </w:p>
    <w:p>
      <w:pPr>
        <w:spacing w:before="240" w:after="200"/>
      </w:pPr>
      <w:r>
        <w:rPr>
          <w:b/>
          <w:bCs/>
          <w:sz w:val="32"/>
          <w:szCs w:val="32"/>
        </w:rPr>
        <w:t xml:space="preserve">2. Requirements</w:t>
      </w:r>
    </w:p>
    <w:p>
      <w:pPr>
        <w:spacing w:before="200" w:after="120"/>
      </w:pPr>
      <w:r>
        <w:rPr>
          <w:b/>
          <w:bCs/>
          <w:sz w:val="26"/>
          <w:szCs w:val="26"/>
        </w:rPr>
        <w:t xml:space="preserve">2.1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FR-01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Question Generation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Generate mathematically correct questions using parameterized templates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Critical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FR-02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BKT Mastery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Implement Bayesian Knowledge Tracing with P(L), P(T), P(G), P(S)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Critical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FR-03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Story Generation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Transform equations to Turkish word problems via Claude API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FR-04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Distractor Gen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Generate pedagogical distractors based on misconceptions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FR-05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A/B Testing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Support experiment mode with control/treatment groups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FR-06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Gamification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XP points, badges, streaks, leaderboards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FR-07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Teacher Dashboard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Classroom analytics and student progress tracking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FR-08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LLM Validation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Validate AI stories preserve numerical values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Critical</w:t>
            </w:r>
          </w:p>
        </w:tc>
      </w:tr>
    </w:tbl>
    <w:p>
      <w:pPr>
        <w:spacing w:before="200" w:after="120"/>
      </w:pPr>
      <w:r>
        <w:rPr>
          <w:b/>
          <w:bCs/>
          <w:sz w:val="26"/>
          <w:szCs w:val="26"/>
        </w:rPr>
        <w:t xml:space="preserve">2.2 Non-Functional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Specification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NFR-01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Performance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Question gen &lt;3s; story &lt;5s; image &lt;15s; UI &lt;200ms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NFR-02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Reliability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100% math correctness; 99.5% uptime; graceful fallback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NFR-03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Scalability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1000+ concurrent users; horizontal scaling; CDN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NFR-04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Usability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Ages 8+; &lt;5 min onboarding; WCAG 2.1 AA; Turkish/English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NFR-05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Security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HTTPS; JWT auth; input sanitization; XSS protection</w:t>
            </w:r>
          </w:p>
        </w:tc>
      </w:tr>
    </w:tbl>
    <w:p>
      <w:pPr>
        <w:spacing w:before="200" w:after="120"/>
      </w:pPr>
      <w:r>
        <w:rPr>
          <w:b/>
          <w:bCs/>
          <w:sz w:val="26"/>
          <w:szCs w:val="26"/>
        </w:rPr>
        <w:t xml:space="preserve">2.3 Pseudo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Frontend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Expo SDK 52 + NativeWind 4 + Expo Router 4; Zustand state; Jest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Backend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Python 3.11+ + FastAPI; SQLAlchemy ORM; Alembic; Pytest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Database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PostgreSQL 15 via Supabase (includes auth)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AI Services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Anthropic Claude API; OpenAI DALL-E 3; Web Speech API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DevOps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GitHub; GitHub Actions CI/CD; Docker; EAS Build + Railway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Analytics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PostHog for A/B testing and behavior analytics</w:t>
            </w:r>
          </w:p>
        </w:tc>
      </w:tr>
    </w:tbl>
    <w:p>
      <w:pPr>
        <w:spacing w:before="240" w:after="200"/>
      </w:pPr>
      <w:r>
        <w:rPr>
          <w:b/>
          <w:bCs/>
          <w:sz w:val="32"/>
          <w:szCs w:val="32"/>
        </w:rPr>
        <w:t xml:space="preserve">3. References</w:t>
      </w:r>
    </w:p>
    <w:p>
      <w:pPr>
        <w:spacing w:after="180"/>
        <w:jc w:val="both"/>
      </w:pPr>
      <w:r>
        <w:t xml:space="preserve">[1] Corbett &amp; Anderson (1994). Knowledge tracing. UMUAI.</w:t>
      </w:r>
    </w:p>
    <w:p>
      <w:pPr>
        <w:spacing w:after="180"/>
        <w:jc w:val="both"/>
      </w:pPr>
      <w:r>
        <w:t xml:space="preserve">[2] IEEE 830-1998 - Software Requirements Specifications.</w:t>
      </w:r>
    </w:p>
    <w:p>
      <w:pPr>
        <w:spacing w:after="180"/>
        <w:jc w:val="both"/>
      </w:pPr>
      <w:r>
        <w:t xml:space="preserve">[3] ISO/IEC 25010:2011 - Software Quality Models.</w:t>
      </w:r>
    </w:p>
    <w:p>
      <w:pPr>
        <w:spacing w:after="180"/>
        <w:jc w:val="both"/>
      </w:pPr>
      <w:r>
        <w:t xml:space="preserve">[4] WCAG 2.1, W3C Recommendation, 2018.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2026-01-25T17:25:49.100Z</dcterms:created>
  <dcterms:modified xsi:type="dcterms:W3CDTF">2026-01-25T17:25:49.100Z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