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7DFF3" w14:textId="77777777" w:rsidR="000F6C27" w:rsidRPr="000E0FE9" w:rsidRDefault="000F6C27">
      <w:pPr>
        <w:rPr>
          <w:rFonts w:ascii="Poppins" w:hAnsi="Poppins" w:cs="Poppins"/>
          <w:sz w:val="18"/>
          <w:szCs w:val="18"/>
        </w:rPr>
      </w:pPr>
    </w:p>
    <w:p w14:paraId="0BA7DFF4" w14:textId="77777777" w:rsidR="000F6C27" w:rsidRPr="000E0FE9" w:rsidRDefault="00437EA0">
      <w:pPr>
        <w:pStyle w:val="Heading1"/>
        <w:spacing w:before="39"/>
        <w:ind w:firstLine="140"/>
        <w:rPr>
          <w:rFonts w:ascii="Poppins" w:hAnsi="Poppins" w:cs="Poppins"/>
          <w:sz w:val="18"/>
          <w:szCs w:val="18"/>
          <w:u w:val="none"/>
        </w:rPr>
      </w:pPr>
      <w:r w:rsidRPr="000E0FE9">
        <w:rPr>
          <w:rFonts w:ascii="Poppins" w:hAnsi="Poppins" w:cs="Poppins"/>
          <w:sz w:val="18"/>
          <w:szCs w:val="18"/>
        </w:rPr>
        <w:t>Dokument s kľúčovými informáciami – CFD na akcie</w:t>
      </w:r>
    </w:p>
    <w:p w14:paraId="0BA7DFF5" w14:textId="77777777" w:rsidR="000F6C27" w:rsidRPr="000E0FE9" w:rsidRDefault="000F6C27">
      <w:pPr>
        <w:pBdr>
          <w:top w:val="nil"/>
          <w:left w:val="nil"/>
          <w:bottom w:val="nil"/>
          <w:right w:val="nil"/>
          <w:between w:val="nil"/>
        </w:pBdr>
        <w:spacing w:before="7"/>
        <w:rPr>
          <w:rFonts w:ascii="Poppins" w:hAnsi="Poppins" w:cs="Poppins"/>
          <w:b/>
          <w:color w:val="000000"/>
          <w:sz w:val="18"/>
          <w:szCs w:val="18"/>
        </w:rPr>
      </w:pPr>
    </w:p>
    <w:p w14:paraId="0BA7DFF6" w14:textId="77777777" w:rsidR="000F6C27" w:rsidRPr="000E0FE9" w:rsidRDefault="00437EA0">
      <w:pPr>
        <w:pBdr>
          <w:top w:val="nil"/>
          <w:left w:val="nil"/>
          <w:bottom w:val="nil"/>
          <w:right w:val="nil"/>
          <w:between w:val="nil"/>
        </w:pBdr>
        <w:spacing w:before="64" w:line="259" w:lineRule="auto"/>
        <w:ind w:left="139" w:right="1194"/>
        <w:jc w:val="both"/>
        <w:rPr>
          <w:rFonts w:ascii="Poppins" w:hAnsi="Poppins" w:cs="Poppins"/>
          <w:color w:val="000000"/>
          <w:sz w:val="18"/>
          <w:szCs w:val="18"/>
        </w:rPr>
      </w:pPr>
      <w:r w:rsidRPr="000E0FE9">
        <w:rPr>
          <w:rFonts w:ascii="Poppins" w:hAnsi="Poppins" w:cs="Poppins"/>
          <w:color w:val="000000"/>
          <w:sz w:val="18"/>
          <w:szCs w:val="18"/>
        </w:rPr>
        <w:t>Tento dokument vám poskytuje kľúčové informácie o tomto investičnom produkte. Nie je to marketingový materiál. Tieto informácie sú vyžadované zákonom, aby vám pomohli pochopiť charakter, riziká, náklady, potenciálne zisky a straty tohto produktu a aby vám pomohli porovnať ho s inými produktmi.</w:t>
      </w:r>
    </w:p>
    <w:p w14:paraId="6EF8668C" w14:textId="5989AAE3" w:rsidR="000E0FE9" w:rsidRPr="000E0FE9" w:rsidRDefault="00437EA0" w:rsidP="000E0FE9">
      <w:pPr>
        <w:tabs>
          <w:tab w:val="left" w:pos="3019"/>
        </w:tabs>
        <w:spacing w:before="159" w:line="415" w:lineRule="auto"/>
        <w:ind w:left="3019" w:right="6147" w:hanging="2880"/>
        <w:rPr>
          <w:rFonts w:ascii="Poppins" w:hAnsi="Poppins" w:cs="Poppins"/>
          <w:sz w:val="18"/>
          <w:szCs w:val="18"/>
        </w:rPr>
      </w:pPr>
      <w:r w:rsidRPr="000E0FE9">
        <w:rPr>
          <w:rFonts w:ascii="Poppins" w:hAnsi="Poppins" w:cs="Poppins"/>
          <w:b/>
          <w:sz w:val="18"/>
          <w:szCs w:val="18"/>
        </w:rPr>
        <w:t>Výrobca:</w:t>
      </w:r>
      <w:r w:rsidRPr="000E0FE9">
        <w:rPr>
          <w:rFonts w:ascii="Poppins" w:hAnsi="Poppins" w:cs="Poppins"/>
          <w:b/>
          <w:sz w:val="18"/>
          <w:szCs w:val="18"/>
        </w:rPr>
        <w:tab/>
      </w:r>
    </w:p>
    <w:p w14:paraId="0BA7DFF7" w14:textId="6AF7F3E5" w:rsidR="000F6C27" w:rsidRPr="000E0FE9" w:rsidRDefault="000F6C27">
      <w:pPr>
        <w:tabs>
          <w:tab w:val="left" w:pos="3019"/>
        </w:tabs>
        <w:spacing w:before="159" w:line="415" w:lineRule="auto"/>
        <w:ind w:left="3019" w:right="6147" w:hanging="2880"/>
        <w:rPr>
          <w:rFonts w:ascii="Poppins" w:hAnsi="Poppins" w:cs="Poppins"/>
          <w:sz w:val="18"/>
          <w:szCs w:val="18"/>
        </w:rPr>
      </w:pPr>
    </w:p>
    <w:p w14:paraId="2CCCFFDA" w14:textId="77777777" w:rsidR="000E0FE9" w:rsidRPr="000E0FE9" w:rsidRDefault="00437EA0" w:rsidP="000E0FE9">
      <w:pPr>
        <w:spacing w:after="240"/>
        <w:ind w:left="2160" w:firstLine="720"/>
        <w:rPr>
          <w:rFonts w:ascii="Poppins" w:hAnsi="Poppins" w:cs="Poppins"/>
          <w:sz w:val="18"/>
          <w:szCs w:val="18"/>
        </w:rPr>
      </w:pPr>
      <w:r w:rsidRPr="000E0FE9">
        <w:rPr>
          <w:rFonts w:ascii="Poppins" w:hAnsi="Poppins" w:cs="Poppins"/>
          <w:sz w:val="18"/>
          <w:szCs w:val="18"/>
        </w:rPr>
        <w:t xml:space="preserve"> </w:t>
      </w:r>
      <w:r w:rsidR="000E0FE9" w:rsidRPr="000E0FE9">
        <w:rPr>
          <w:rFonts w:ascii="Poppins" w:hAnsi="Poppins" w:cs="Poppins"/>
          <w:sz w:val="18"/>
          <w:szCs w:val="18"/>
        </w:rPr>
        <w:t xml:space="preserve">HARMOVEST CAPITAL (CYPRUS) LTD </w:t>
      </w:r>
    </w:p>
    <w:p w14:paraId="0BA7DFF8" w14:textId="4F8011DB" w:rsidR="000F6C27" w:rsidRPr="000E0FE9" w:rsidRDefault="000E0FE9" w:rsidP="000E0FE9">
      <w:pPr>
        <w:spacing w:after="240"/>
        <w:ind w:left="2160" w:firstLine="720"/>
        <w:rPr>
          <w:rFonts w:ascii="Poppins" w:hAnsi="Poppins" w:cs="Poppins"/>
          <w:sz w:val="18"/>
          <w:szCs w:val="18"/>
        </w:rPr>
      </w:pPr>
      <w:r w:rsidRPr="000E0FE9">
        <w:rPr>
          <w:rFonts w:ascii="Poppins" w:hAnsi="Poppins" w:cs="Poppins"/>
          <w:sz w:val="18"/>
          <w:szCs w:val="18"/>
        </w:rPr>
        <w:tab/>
        <w:t>Licencia č. 411/22</w:t>
      </w:r>
      <w:r w:rsidRPr="000E0FE9">
        <w:rPr>
          <w:rFonts w:ascii="Poppins" w:hAnsi="Poppins" w:cs="Poppins"/>
          <w:sz w:val="18"/>
          <w:szCs w:val="18"/>
        </w:rPr>
        <w:br/>
      </w:r>
      <w:r w:rsidR="00437EA0" w:rsidRPr="000E0FE9">
        <w:rPr>
          <w:rFonts w:ascii="Poppins" w:hAnsi="Poppins" w:cs="Poppins"/>
          <w:sz w:val="18"/>
          <w:szCs w:val="18"/>
        </w:rPr>
        <w:t xml:space="preserve"> </w:t>
      </w:r>
      <w:r w:rsidR="001C5DD6" w:rsidRPr="000E0FE9">
        <w:rPr>
          <w:rFonts w:ascii="Poppins" w:hAnsi="Poppins" w:cs="Poppins"/>
          <w:sz w:val="18"/>
          <w:szCs w:val="18"/>
        </w:rPr>
        <w:t>61 Griva Digeni A&amp;V COURT Flat 401 Agios Nikolas, 3101, Limassol</w:t>
      </w:r>
      <w:r w:rsidR="00437EA0" w:rsidRPr="000E0FE9">
        <w:rPr>
          <w:rFonts w:ascii="Poppins" w:hAnsi="Poppins" w:cs="Poppins"/>
          <w:sz w:val="18"/>
          <w:szCs w:val="18"/>
        </w:rPr>
        <w:t>, Cyprus</w:t>
      </w:r>
    </w:p>
    <w:p w14:paraId="0BA7DFF9" w14:textId="77777777" w:rsidR="000F6C27" w:rsidRPr="000E0FE9" w:rsidRDefault="00437EA0">
      <w:pPr>
        <w:tabs>
          <w:tab w:val="left" w:pos="3019"/>
        </w:tabs>
        <w:spacing w:before="181"/>
        <w:ind w:left="140"/>
        <w:jc w:val="both"/>
        <w:rPr>
          <w:rFonts w:ascii="Poppins" w:hAnsi="Poppins" w:cs="Poppins"/>
          <w:sz w:val="18"/>
          <w:szCs w:val="18"/>
        </w:rPr>
      </w:pPr>
      <w:r w:rsidRPr="000E0FE9">
        <w:rPr>
          <w:rFonts w:ascii="Poppins" w:hAnsi="Poppins" w:cs="Poppins"/>
          <w:b/>
          <w:sz w:val="18"/>
          <w:szCs w:val="18"/>
        </w:rPr>
        <w:t>Kontrolovaný orgán:</w:t>
      </w:r>
      <w:r w:rsidRPr="000E0FE9">
        <w:rPr>
          <w:rFonts w:ascii="Poppins" w:hAnsi="Poppins" w:cs="Poppins"/>
          <w:b/>
          <w:sz w:val="18"/>
          <w:szCs w:val="18"/>
        </w:rPr>
        <w:tab/>
      </w:r>
      <w:r w:rsidRPr="000E0FE9">
        <w:rPr>
          <w:rFonts w:ascii="Poppins" w:hAnsi="Poppins" w:cs="Poppins"/>
          <w:sz w:val="18"/>
          <w:szCs w:val="18"/>
        </w:rPr>
        <w:t>Cyperská komisia pre cenné papiere a burzu</w:t>
      </w:r>
    </w:p>
    <w:p w14:paraId="0BA7DFFA" w14:textId="77777777" w:rsidR="000F6C27" w:rsidRPr="000E0FE9" w:rsidRDefault="00437EA0">
      <w:pPr>
        <w:spacing w:before="178"/>
        <w:ind w:left="3019"/>
        <w:rPr>
          <w:rFonts w:ascii="Poppins" w:hAnsi="Poppins" w:cs="Poppins"/>
          <w:sz w:val="18"/>
          <w:szCs w:val="18"/>
        </w:rPr>
      </w:pPr>
      <w:r w:rsidRPr="000E0FE9">
        <w:rPr>
          <w:rFonts w:ascii="Poppins" w:hAnsi="Poppins" w:cs="Poppins"/>
          <w:sz w:val="18"/>
          <w:szCs w:val="18"/>
        </w:rPr>
        <w:t>19 Diagorou Str., 1097, Nikózia</w:t>
      </w:r>
    </w:p>
    <w:p w14:paraId="0BA7DFFB" w14:textId="77777777" w:rsidR="000F6C27" w:rsidRPr="000E0FE9" w:rsidRDefault="000F6C27">
      <w:pPr>
        <w:pBdr>
          <w:top w:val="nil"/>
          <w:left w:val="nil"/>
          <w:bottom w:val="nil"/>
          <w:right w:val="nil"/>
          <w:between w:val="nil"/>
        </w:pBdr>
        <w:spacing w:before="5"/>
        <w:rPr>
          <w:rFonts w:ascii="Poppins" w:hAnsi="Poppins" w:cs="Poppins"/>
          <w:color w:val="000000"/>
          <w:sz w:val="18"/>
          <w:szCs w:val="18"/>
        </w:rPr>
      </w:pPr>
    </w:p>
    <w:p w14:paraId="0BA7DFFC" w14:textId="77777777" w:rsidR="000F6C27" w:rsidRPr="000E0FE9" w:rsidRDefault="00437EA0">
      <w:pPr>
        <w:pStyle w:val="Heading1"/>
        <w:tabs>
          <w:tab w:val="left" w:pos="514"/>
        </w:tabs>
        <w:spacing w:line="256" w:lineRule="auto"/>
        <w:ind w:left="320" w:right="1414" w:hanging="180"/>
        <w:rPr>
          <w:rFonts w:ascii="Poppins" w:hAnsi="Poppins" w:cs="Poppins"/>
          <w:sz w:val="18"/>
          <w:szCs w:val="18"/>
          <w:u w:val="none"/>
        </w:rPr>
      </w:pPr>
      <w:r w:rsidRPr="000E0FE9">
        <w:rPr>
          <w:rFonts w:ascii="Poppins" w:hAnsi="Poppins" w:cs="Poppins"/>
          <w:sz w:val="18"/>
          <w:szCs w:val="18"/>
        </w:rPr>
        <w:tab/>
      </w:r>
      <w:r w:rsidRPr="000E0FE9">
        <w:rPr>
          <w:rFonts w:ascii="Poppins" w:hAnsi="Poppins" w:cs="Poppins"/>
          <w:sz w:val="18"/>
          <w:szCs w:val="18"/>
        </w:rPr>
        <w:tab/>
        <w:t>Chystáte sa kúpiť zložitý produkt, ktorý je ťažko pochopiteľný a prináša vysoké riziko straty celého investovaného kapitálu</w:t>
      </w:r>
      <w:r w:rsidRPr="000E0FE9">
        <w:rPr>
          <w:rFonts w:ascii="Poppins" w:hAnsi="Poppins" w:cs="Poppins"/>
          <w:noProof/>
          <w:sz w:val="18"/>
          <w:szCs w:val="18"/>
        </w:rPr>
        <w:drawing>
          <wp:anchor distT="0" distB="0" distL="0" distR="0" simplePos="0" relativeHeight="251658240" behindDoc="1" locked="0" layoutInCell="1" hidden="0" allowOverlap="1" wp14:anchorId="0BA7E08D" wp14:editId="0BA7E08E">
            <wp:simplePos x="0" y="0"/>
            <wp:positionH relativeFrom="column">
              <wp:posOffset>88900</wp:posOffset>
            </wp:positionH>
            <wp:positionV relativeFrom="paragraph">
              <wp:posOffset>-88899</wp:posOffset>
            </wp:positionV>
            <wp:extent cx="209549" cy="209151"/>
            <wp:effectExtent l="0" t="0" r="0" b="0"/>
            <wp:wrapNone/>
            <wp:docPr id="5" name="image1.jpg" descr="C:\Users\user\Downloads\download.jpg "/>
            <wp:cNvGraphicFramePr/>
            <a:graphic xmlns:a="http://schemas.openxmlformats.org/drawingml/2006/main">
              <a:graphicData uri="http://schemas.openxmlformats.org/drawingml/2006/picture">
                <pic:pic xmlns:pic="http://schemas.openxmlformats.org/drawingml/2006/picture">
                  <pic:nvPicPr>
                    <pic:cNvPr id="0" name="image1.jpg" descr="C:\Users\user\Downloads\download.jpg "/>
                    <pic:cNvPicPr preferRelativeResize="0"/>
                  </pic:nvPicPr>
                  <pic:blipFill>
                    <a:blip r:embed="rId11"/>
                    <a:srcRect/>
                    <a:stretch>
                      <a:fillRect/>
                    </a:stretch>
                  </pic:blipFill>
                  <pic:spPr>
                    <a:xfrm>
                      <a:off x="0" y="0"/>
                      <a:ext cx="209549" cy="209151"/>
                    </a:xfrm>
                    <a:prstGeom prst="rect">
                      <a:avLst/>
                    </a:prstGeom>
                    <a:ln/>
                  </pic:spPr>
                </pic:pic>
              </a:graphicData>
            </a:graphic>
          </wp:anchor>
        </w:drawing>
      </w:r>
    </w:p>
    <w:p w14:paraId="0BA7DFFD" w14:textId="77777777" w:rsidR="000F6C27" w:rsidRPr="000E0FE9" w:rsidRDefault="000F6C27">
      <w:pPr>
        <w:pBdr>
          <w:top w:val="nil"/>
          <w:left w:val="nil"/>
          <w:bottom w:val="nil"/>
          <w:right w:val="nil"/>
          <w:between w:val="nil"/>
        </w:pBdr>
        <w:spacing w:before="2"/>
        <w:rPr>
          <w:rFonts w:ascii="Poppins" w:hAnsi="Poppins" w:cs="Poppins"/>
          <w:b/>
          <w:color w:val="000000"/>
          <w:sz w:val="18"/>
          <w:szCs w:val="18"/>
        </w:rPr>
      </w:pPr>
    </w:p>
    <w:p w14:paraId="0BA7DFFE" w14:textId="77777777" w:rsidR="000F6C27" w:rsidRPr="000E0FE9" w:rsidRDefault="00437EA0">
      <w:pPr>
        <w:pBdr>
          <w:top w:val="nil"/>
          <w:left w:val="nil"/>
          <w:bottom w:val="nil"/>
          <w:right w:val="nil"/>
          <w:between w:val="nil"/>
        </w:pBdr>
        <w:tabs>
          <w:tab w:val="left" w:pos="9528"/>
        </w:tabs>
        <w:spacing w:before="64" w:line="242" w:lineRule="auto"/>
        <w:ind w:left="139" w:right="1169" w:hanging="29"/>
        <w:jc w:val="both"/>
        <w:rPr>
          <w:rFonts w:ascii="Poppins" w:hAnsi="Poppins" w:cs="Poppins"/>
          <w:color w:val="000000"/>
          <w:sz w:val="18"/>
          <w:szCs w:val="18"/>
        </w:rPr>
      </w:pPr>
      <w:r w:rsidRPr="000E0FE9">
        <w:rPr>
          <w:rFonts w:ascii="Poppins" w:hAnsi="Poppins" w:cs="Poppins"/>
          <w:b/>
          <w:color w:val="000000"/>
          <w:sz w:val="18"/>
          <w:szCs w:val="18"/>
          <w:shd w:val="clear" w:color="auto" w:fill="BEBEBE"/>
        </w:rPr>
        <w:t>Popis produktu</w:t>
      </w:r>
      <w:r w:rsidRPr="000E0FE9">
        <w:rPr>
          <w:rFonts w:ascii="Poppins" w:hAnsi="Poppins" w:cs="Poppins"/>
          <w:b/>
          <w:color w:val="000000"/>
          <w:sz w:val="18"/>
          <w:szCs w:val="18"/>
          <w:shd w:val="clear" w:color="auto" w:fill="BEBEBE"/>
        </w:rPr>
        <w:tab/>
      </w:r>
      <w:r w:rsidRPr="000E0FE9">
        <w:rPr>
          <w:rFonts w:ascii="Poppins" w:hAnsi="Poppins" w:cs="Poppins"/>
          <w:b/>
          <w:color w:val="000000"/>
          <w:sz w:val="18"/>
          <w:szCs w:val="18"/>
        </w:rPr>
        <w:t xml:space="preserve"> </w:t>
      </w:r>
      <w:r w:rsidRPr="000E0FE9">
        <w:rPr>
          <w:rFonts w:ascii="Poppins" w:hAnsi="Poppins" w:cs="Poppins"/>
          <w:color w:val="000000"/>
          <w:sz w:val="18"/>
          <w:szCs w:val="18"/>
        </w:rPr>
        <w:t>Contracts For Differences (CFD) sú komplexné finančné produkty v súlade s platnou legislatívou. Obchoduje sa s nimi na „over-the-counter“ („OTC“) báze a nie prostredníctvom regulovaného trhu. CFD, čo sú dohody o výmene rozdielu v hodnote konkrétneho podkladového nástroja medzi časom uzavretia zmluvy a časom jej uzavretia, čo investorom umožňuje replikovať ekonomický efekt obchodovania v konkrétnych menách alebo iných menách. triedy aktív bez toho, aby sa vyžadovalo skutočné vlastníctvo. Investor má možnosť kúpiť CFD, aby mohol profitovať z rastúcich cien akcií; alebo predať CFD s cieľom profitovať z klesajúcich cien akcií. Pri obchodovaní s CFD nedochádza k fyzickej výmene aktív; preto finančné vyrovnanie vyplýva z rozdielu v čase uzavretia pozície a ceny podkladového aktíva (formulovaného Protistranou) v čase otvorenia pozície. Medzi najčastejšie podkladové aktíva patria akcie, komodity, meny a trhové indexy.</w:t>
      </w:r>
    </w:p>
    <w:p w14:paraId="0BA7DFFF" w14:textId="77777777" w:rsidR="000F6C27" w:rsidRPr="000E0FE9" w:rsidRDefault="00437EA0">
      <w:pPr>
        <w:pBdr>
          <w:top w:val="nil"/>
          <w:left w:val="nil"/>
          <w:bottom w:val="nil"/>
          <w:right w:val="nil"/>
          <w:between w:val="nil"/>
        </w:pBdr>
        <w:spacing w:line="216" w:lineRule="auto"/>
        <w:ind w:left="139"/>
        <w:jc w:val="both"/>
        <w:rPr>
          <w:rFonts w:ascii="Poppins" w:hAnsi="Poppins" w:cs="Poppins"/>
          <w:color w:val="000000"/>
          <w:sz w:val="18"/>
          <w:szCs w:val="18"/>
        </w:rPr>
      </w:pPr>
      <w:r w:rsidRPr="000E0FE9">
        <w:rPr>
          <w:rFonts w:ascii="Poppins" w:hAnsi="Poppins" w:cs="Poppins"/>
          <w:color w:val="000000"/>
          <w:sz w:val="18"/>
          <w:szCs w:val="18"/>
        </w:rPr>
        <w:t>Výška akéhokoľvek zisku alebo straty z obchodu CFD bude určená:</w:t>
      </w:r>
    </w:p>
    <w:p w14:paraId="0BA7E000" w14:textId="77777777" w:rsidR="000F6C27" w:rsidRPr="000E0FE9" w:rsidRDefault="00437EA0">
      <w:pPr>
        <w:numPr>
          <w:ilvl w:val="0"/>
          <w:numId w:val="1"/>
        </w:numPr>
        <w:pBdr>
          <w:top w:val="nil"/>
          <w:left w:val="nil"/>
          <w:bottom w:val="nil"/>
          <w:right w:val="nil"/>
          <w:between w:val="nil"/>
        </w:pBdr>
        <w:tabs>
          <w:tab w:val="left" w:pos="378"/>
        </w:tabs>
        <w:spacing w:before="18"/>
        <w:ind w:hanging="239"/>
        <w:rPr>
          <w:rFonts w:ascii="Poppins" w:hAnsi="Poppins" w:cs="Poppins"/>
          <w:color w:val="000000"/>
          <w:sz w:val="18"/>
          <w:szCs w:val="18"/>
        </w:rPr>
      </w:pPr>
      <w:r w:rsidRPr="000E0FE9">
        <w:rPr>
          <w:rFonts w:ascii="Poppins" w:hAnsi="Poppins" w:cs="Poppins"/>
          <w:color w:val="000000"/>
          <w:sz w:val="18"/>
          <w:szCs w:val="18"/>
        </w:rPr>
        <w:t>Rozdiel medzi otváracou cenou obchodu a cenou pri zatváraní obchodu;</w:t>
      </w:r>
    </w:p>
    <w:p w14:paraId="0BA7E001" w14:textId="77777777" w:rsidR="000F6C27" w:rsidRPr="000E0FE9" w:rsidRDefault="00437EA0">
      <w:pPr>
        <w:numPr>
          <w:ilvl w:val="0"/>
          <w:numId w:val="1"/>
        </w:numPr>
        <w:pBdr>
          <w:top w:val="nil"/>
          <w:left w:val="nil"/>
          <w:bottom w:val="nil"/>
          <w:right w:val="nil"/>
          <w:between w:val="nil"/>
        </w:pBdr>
        <w:tabs>
          <w:tab w:val="left" w:pos="385"/>
        </w:tabs>
        <w:spacing w:before="15"/>
        <w:ind w:left="384" w:hanging="246"/>
        <w:rPr>
          <w:rFonts w:ascii="Poppins" w:hAnsi="Poppins" w:cs="Poppins"/>
          <w:color w:val="000000"/>
          <w:sz w:val="18"/>
          <w:szCs w:val="18"/>
        </w:rPr>
      </w:pPr>
      <w:r w:rsidRPr="000E0FE9">
        <w:rPr>
          <w:rFonts w:ascii="Poppins" w:hAnsi="Poppins" w:cs="Poppins"/>
          <w:color w:val="000000"/>
          <w:sz w:val="18"/>
          <w:szCs w:val="18"/>
        </w:rPr>
        <w:t>S jednotkami sa obchodovalo;</w:t>
      </w:r>
    </w:p>
    <w:p w14:paraId="0BA7E002" w14:textId="77777777" w:rsidR="000F6C27" w:rsidRPr="000E0FE9" w:rsidRDefault="00437EA0">
      <w:pPr>
        <w:numPr>
          <w:ilvl w:val="0"/>
          <w:numId w:val="1"/>
        </w:numPr>
        <w:pBdr>
          <w:top w:val="nil"/>
          <w:left w:val="nil"/>
          <w:bottom w:val="nil"/>
          <w:right w:val="nil"/>
          <w:between w:val="nil"/>
        </w:pBdr>
        <w:tabs>
          <w:tab w:val="left" w:pos="368"/>
        </w:tabs>
        <w:spacing w:before="18"/>
        <w:ind w:left="367" w:hanging="229"/>
        <w:rPr>
          <w:rFonts w:ascii="Poppins" w:hAnsi="Poppins" w:cs="Poppins"/>
          <w:color w:val="000000"/>
          <w:sz w:val="18"/>
          <w:szCs w:val="18"/>
        </w:rPr>
      </w:pPr>
      <w:r w:rsidRPr="000E0FE9">
        <w:rPr>
          <w:rFonts w:ascii="Poppins" w:hAnsi="Poppins" w:cs="Poppins"/>
          <w:color w:val="000000"/>
          <w:sz w:val="18"/>
          <w:szCs w:val="18"/>
        </w:rPr>
        <w:t>Akékoľvek úpravy týkajúce sa CFD, napríklad ak sa vypláca dividenda z podkladovej akcie/indexu;</w:t>
      </w:r>
    </w:p>
    <w:p w14:paraId="0BA7E003" w14:textId="77777777" w:rsidR="000F6C27" w:rsidRPr="000E0FE9" w:rsidRDefault="00437EA0">
      <w:pPr>
        <w:numPr>
          <w:ilvl w:val="0"/>
          <w:numId w:val="1"/>
        </w:numPr>
        <w:pBdr>
          <w:top w:val="nil"/>
          <w:left w:val="nil"/>
          <w:bottom w:val="nil"/>
          <w:right w:val="nil"/>
          <w:between w:val="nil"/>
        </w:pBdr>
        <w:tabs>
          <w:tab w:val="left" w:pos="385"/>
        </w:tabs>
        <w:spacing w:before="18"/>
        <w:ind w:left="384" w:hanging="246"/>
        <w:rPr>
          <w:rFonts w:ascii="Poppins" w:hAnsi="Poppins" w:cs="Poppins"/>
          <w:color w:val="000000"/>
          <w:sz w:val="18"/>
          <w:szCs w:val="18"/>
        </w:rPr>
      </w:pPr>
      <w:r w:rsidRPr="000E0FE9">
        <w:rPr>
          <w:rFonts w:ascii="Poppins" w:hAnsi="Poppins" w:cs="Poppins"/>
          <w:color w:val="000000"/>
          <w:sz w:val="18"/>
          <w:szCs w:val="18"/>
        </w:rPr>
        <w:t>Akékoľvek náklady na držbu alebo provízie súvisiace s CFD;</w:t>
      </w:r>
    </w:p>
    <w:p w14:paraId="0BA7E004" w14:textId="77777777" w:rsidR="000F6C27" w:rsidRPr="000E0FE9" w:rsidRDefault="00437EA0">
      <w:pPr>
        <w:numPr>
          <w:ilvl w:val="0"/>
          <w:numId w:val="1"/>
        </w:numPr>
        <w:pBdr>
          <w:top w:val="nil"/>
          <w:left w:val="nil"/>
          <w:bottom w:val="nil"/>
          <w:right w:val="nil"/>
          <w:between w:val="nil"/>
        </w:pBdr>
        <w:tabs>
          <w:tab w:val="left" w:pos="380"/>
        </w:tabs>
        <w:spacing w:before="18"/>
        <w:ind w:left="379" w:hanging="241"/>
        <w:rPr>
          <w:rFonts w:ascii="Poppins" w:hAnsi="Poppins" w:cs="Poppins"/>
          <w:color w:val="000000"/>
          <w:sz w:val="18"/>
          <w:szCs w:val="18"/>
        </w:rPr>
      </w:pPr>
      <w:r w:rsidRPr="000E0FE9">
        <w:rPr>
          <w:rFonts w:ascii="Poppins" w:hAnsi="Poppins" w:cs="Poppins"/>
          <w:color w:val="000000"/>
          <w:sz w:val="18"/>
          <w:szCs w:val="18"/>
        </w:rPr>
        <w:t>hodnota tick alebo pip obchodovaného nástroja;</w:t>
      </w:r>
    </w:p>
    <w:p w14:paraId="0BA7E005" w14:textId="77777777" w:rsidR="000F6C27" w:rsidRPr="000E0FE9" w:rsidRDefault="00437EA0">
      <w:pPr>
        <w:pBdr>
          <w:top w:val="nil"/>
          <w:left w:val="nil"/>
          <w:bottom w:val="nil"/>
          <w:right w:val="nil"/>
          <w:between w:val="nil"/>
        </w:pBdr>
        <w:spacing w:before="16"/>
        <w:ind w:left="139" w:right="1197"/>
        <w:jc w:val="both"/>
        <w:rPr>
          <w:rFonts w:ascii="Poppins" w:hAnsi="Poppins" w:cs="Poppins"/>
          <w:color w:val="000000"/>
          <w:sz w:val="18"/>
          <w:szCs w:val="18"/>
        </w:rPr>
      </w:pPr>
      <w:r w:rsidRPr="000E0FE9">
        <w:rPr>
          <w:rFonts w:ascii="Poppins" w:hAnsi="Poppins" w:cs="Poppins"/>
          <w:color w:val="000000"/>
          <w:sz w:val="18"/>
          <w:szCs w:val="18"/>
        </w:rPr>
        <w:lastRenderedPageBreak/>
        <w:t>Aby sa pozícia otvorila, investor by mal mať na obchodnom účte dostatok finančných prostriedkov na pokrytie požadovanej marže pre túto pozíciu. Maržu potrebnú pre rôzne CFD možno nájsť na našej webovej stránke a/alebo platforme. Keď je pozícia zatvorená, investor získa rozdiel medzi trhovou hodnotou podkladového aktíva v čase uzavretia pozície, ak: Pri držaní dlhej pozície (nákup CFD) je cena v čase uzavretia pozície. vyššia ako cena v čase otvorenia pozície, ktorá sa automaticky prevedie na menu obchodného účtu; alebo</w:t>
      </w:r>
    </w:p>
    <w:p w14:paraId="0BA7E006" w14:textId="77777777" w:rsidR="000F6C27" w:rsidRPr="000E0FE9" w:rsidRDefault="00437EA0">
      <w:pPr>
        <w:pBdr>
          <w:top w:val="nil"/>
          <w:left w:val="nil"/>
          <w:bottom w:val="nil"/>
          <w:right w:val="nil"/>
          <w:between w:val="nil"/>
        </w:pBdr>
        <w:ind w:left="139" w:right="1197"/>
        <w:jc w:val="both"/>
        <w:rPr>
          <w:rFonts w:ascii="Poppins" w:hAnsi="Poppins" w:cs="Poppins"/>
          <w:color w:val="000000"/>
          <w:sz w:val="18"/>
          <w:szCs w:val="18"/>
        </w:rPr>
      </w:pPr>
      <w:r w:rsidRPr="000E0FE9">
        <w:rPr>
          <w:rFonts w:ascii="Poppins" w:hAnsi="Poppins" w:cs="Poppins"/>
          <w:color w:val="000000"/>
          <w:sz w:val="18"/>
          <w:szCs w:val="18"/>
        </w:rPr>
        <w:t>Pri držaní krátkej pozície (predaj CFD) je cena v čase uzavretia pozície nižšia ako cena v čase otvorenia pozície, ktorá sa automaticky prepočítava na menu obchodného účtu</w:t>
      </w:r>
    </w:p>
    <w:p w14:paraId="0BA7E007" w14:textId="77777777" w:rsidR="000F6C27" w:rsidRPr="000E0FE9" w:rsidRDefault="00437EA0">
      <w:pPr>
        <w:pBdr>
          <w:top w:val="nil"/>
          <w:left w:val="nil"/>
          <w:bottom w:val="nil"/>
          <w:right w:val="nil"/>
          <w:between w:val="nil"/>
        </w:pBdr>
        <w:ind w:left="139" w:right="1197"/>
        <w:jc w:val="both"/>
        <w:rPr>
          <w:rFonts w:ascii="Poppins" w:hAnsi="Poppins" w:cs="Poppins"/>
          <w:color w:val="000000"/>
          <w:sz w:val="18"/>
          <w:szCs w:val="18"/>
        </w:rPr>
      </w:pPr>
      <w:r w:rsidRPr="000E0FE9">
        <w:rPr>
          <w:rFonts w:ascii="Poppins" w:hAnsi="Poppins" w:cs="Poppins"/>
          <w:color w:val="000000"/>
          <w:sz w:val="18"/>
          <w:szCs w:val="18"/>
        </w:rPr>
        <w:t>Ak chcete zatvoriť otvorený 'nákup' alebo 'dlhý' CFD, predáte ho a ak zatvoríte otvorený 'krátky' alebo 'predaný' CFD, kúpite ho. Pri väčšine CFD môžete držať pozíciu tak dlho, ako chcete, čo môže byť menej ako jeden deň alebo mesiace. Záverečná úroveň bude posledná dostupná cena pri uzávierke alebo pred ňou alebo príslušná oficiálna záverečná kotácia alebo hodnota na relevantnom podkladovom trhu, ako je uvedené v platforme; mínus akákoľvek provízia alebo spread, ktorý sa použije na CFD pri jeho uzavretí.</w:t>
      </w:r>
    </w:p>
    <w:p w14:paraId="0BA7E008" w14:textId="77777777" w:rsidR="000F6C27" w:rsidRPr="000E0FE9" w:rsidRDefault="00437EA0">
      <w:pPr>
        <w:pBdr>
          <w:top w:val="nil"/>
          <w:left w:val="nil"/>
          <w:bottom w:val="nil"/>
          <w:right w:val="nil"/>
          <w:between w:val="nil"/>
        </w:pBdr>
        <w:tabs>
          <w:tab w:val="left" w:pos="9528"/>
        </w:tabs>
        <w:spacing w:before="1" w:line="259" w:lineRule="auto"/>
        <w:ind w:left="140" w:right="1169" w:hanging="29"/>
        <w:jc w:val="both"/>
        <w:rPr>
          <w:rFonts w:ascii="Poppins" w:hAnsi="Poppins" w:cs="Poppins"/>
          <w:color w:val="000000"/>
          <w:sz w:val="18"/>
          <w:szCs w:val="18"/>
        </w:rPr>
      </w:pPr>
      <w:r w:rsidRPr="000E0FE9">
        <w:rPr>
          <w:rFonts w:ascii="Poppins" w:hAnsi="Poppins" w:cs="Poppins"/>
          <w:b/>
          <w:color w:val="000000"/>
          <w:sz w:val="18"/>
          <w:szCs w:val="18"/>
          <w:shd w:val="clear" w:color="auto" w:fill="BEBEBE"/>
        </w:rPr>
        <w:t>Pákový efekt a marža</w:t>
      </w:r>
      <w:r w:rsidRPr="000E0FE9">
        <w:rPr>
          <w:rFonts w:ascii="Poppins" w:hAnsi="Poppins" w:cs="Poppins"/>
          <w:b/>
          <w:color w:val="000000"/>
          <w:sz w:val="18"/>
          <w:szCs w:val="18"/>
          <w:shd w:val="clear" w:color="auto" w:fill="BEBEBE"/>
        </w:rPr>
        <w:tab/>
      </w:r>
      <w:r w:rsidRPr="000E0FE9">
        <w:rPr>
          <w:rFonts w:ascii="Poppins" w:hAnsi="Poppins" w:cs="Poppins"/>
          <w:b/>
          <w:color w:val="000000"/>
          <w:sz w:val="18"/>
          <w:szCs w:val="18"/>
        </w:rPr>
        <w:t xml:space="preserve"> </w:t>
      </w:r>
      <w:r w:rsidRPr="000E0FE9">
        <w:rPr>
          <w:rFonts w:ascii="Poppins" w:hAnsi="Poppins" w:cs="Poppins"/>
          <w:color w:val="000000"/>
          <w:sz w:val="18"/>
          <w:szCs w:val="18"/>
        </w:rPr>
        <w:t>CFD sú finančné nástroje s pákovým efektom, ktoré umožňujú investorovi obchodovať s vyššími expozíciami na podkladové aktíva v porovnaní s investovanými sumami. Pri CFD musíte pri obchodovaní vložiť iba časť trhovej hodnoty podkladového nástroja. Pákový efekt sa zvyčajne uvádza ako pomer, napríklad 1:30, 1:20, 1:10 alebo 1:2. To znamená, že môžete obchodovať so sumami proporcionálne vyššími, ako by ste mohli investovať do konkrétneho CFD. Počiatočná marža je suma požadovaná investorom na otvorenie určitej pozície v CFD a je vyjadrená ako percento nominálnej expozície. Čím nižšie percento, tým vyššia je finančná páka.</w:t>
      </w:r>
    </w:p>
    <w:p w14:paraId="0BA7E009" w14:textId="77777777" w:rsidR="000F6C27" w:rsidRPr="000E0FE9" w:rsidRDefault="00437EA0">
      <w:pPr>
        <w:pStyle w:val="Heading2"/>
        <w:spacing w:line="217" w:lineRule="auto"/>
        <w:ind w:left="140"/>
        <w:rPr>
          <w:rFonts w:ascii="Poppins" w:hAnsi="Poppins" w:cs="Poppins"/>
        </w:rPr>
      </w:pPr>
      <w:r w:rsidRPr="000E0FE9">
        <w:rPr>
          <w:rFonts w:ascii="Poppins" w:hAnsi="Poppins" w:cs="Poppins"/>
        </w:rPr>
        <w:t>Príklady:</w:t>
      </w:r>
    </w:p>
    <w:p w14:paraId="0BA7E00A" w14:textId="77777777" w:rsidR="000F6C27" w:rsidRPr="000E0FE9" w:rsidRDefault="00437EA0">
      <w:pPr>
        <w:spacing w:before="18" w:line="259" w:lineRule="auto"/>
        <w:ind w:left="140" w:right="1195"/>
        <w:jc w:val="both"/>
        <w:rPr>
          <w:rFonts w:ascii="Poppins" w:hAnsi="Poppins" w:cs="Poppins"/>
          <w:i/>
          <w:sz w:val="18"/>
          <w:szCs w:val="18"/>
        </w:rPr>
      </w:pPr>
      <w:r w:rsidRPr="000E0FE9">
        <w:rPr>
          <w:rFonts w:ascii="Poppins" w:hAnsi="Poppins" w:cs="Poppins"/>
          <w:i/>
          <w:sz w:val="18"/>
          <w:szCs w:val="18"/>
        </w:rPr>
        <w:t>Investor chce kúpiť 10 akcií General Electric CFD za cenu 9,38 USD s požiadavkou na maržu 20 % (čo sa rovná páke 1:5) pre tento nástroj. To si vyžaduje, aby investor umiestnil maržu: 10 kontraktov * trhová cena 9,38 USD / pákový efekt (5) = 18,76 USD.</w:t>
      </w:r>
    </w:p>
    <w:p w14:paraId="0BA7E00C" w14:textId="7D8E21DF" w:rsidR="000F6C27" w:rsidRPr="000E0FE9" w:rsidRDefault="00437EA0" w:rsidP="00FA3B7C">
      <w:pPr>
        <w:spacing w:before="1"/>
        <w:ind w:left="140"/>
        <w:jc w:val="both"/>
        <w:rPr>
          <w:rFonts w:ascii="Poppins" w:hAnsi="Poppins" w:cs="Poppins"/>
          <w:i/>
          <w:sz w:val="18"/>
          <w:szCs w:val="18"/>
        </w:rPr>
      </w:pPr>
      <w:r w:rsidRPr="000E0FE9">
        <w:rPr>
          <w:rFonts w:ascii="Poppins" w:hAnsi="Poppins" w:cs="Poppins"/>
          <w:i/>
          <w:sz w:val="18"/>
          <w:szCs w:val="18"/>
          <w:u w:val="single"/>
        </w:rPr>
        <w:t>Alebo ekvivalentne:</w:t>
      </w:r>
      <w:r w:rsidRPr="000E0FE9">
        <w:rPr>
          <w:rFonts w:ascii="Poppins" w:hAnsi="Poppins" w:cs="Poppins"/>
          <w:i/>
          <w:sz w:val="18"/>
          <w:szCs w:val="18"/>
        </w:rPr>
        <w:t>10 kontraktov * trhová cena 9,38 USD * požiadavka na maržu (20 %) = 18,76 USD Táto požiadavka na maržu sa potom prevedie na menu účtu</w:t>
      </w:r>
    </w:p>
    <w:p w14:paraId="0BA7E00D" w14:textId="77777777" w:rsidR="000F6C27" w:rsidRPr="000E0FE9" w:rsidRDefault="000F6C27">
      <w:pPr>
        <w:pBdr>
          <w:top w:val="nil"/>
          <w:left w:val="nil"/>
          <w:bottom w:val="nil"/>
          <w:right w:val="nil"/>
          <w:between w:val="nil"/>
        </w:pBdr>
        <w:spacing w:before="1"/>
        <w:rPr>
          <w:rFonts w:ascii="Poppins" w:hAnsi="Poppins" w:cs="Poppins"/>
          <w:i/>
          <w:color w:val="000000"/>
          <w:sz w:val="18"/>
          <w:szCs w:val="18"/>
        </w:rPr>
      </w:pPr>
    </w:p>
    <w:p w14:paraId="0BA7E00E" w14:textId="77777777" w:rsidR="000F6C27" w:rsidRPr="000E0FE9" w:rsidRDefault="00437EA0">
      <w:pPr>
        <w:pBdr>
          <w:top w:val="nil"/>
          <w:left w:val="nil"/>
          <w:bottom w:val="nil"/>
          <w:right w:val="nil"/>
          <w:between w:val="nil"/>
        </w:pBdr>
        <w:tabs>
          <w:tab w:val="left" w:pos="9528"/>
        </w:tabs>
        <w:spacing w:before="64" w:line="259" w:lineRule="auto"/>
        <w:ind w:left="140" w:right="1169" w:hanging="29"/>
        <w:jc w:val="both"/>
        <w:rPr>
          <w:rFonts w:ascii="Poppins" w:hAnsi="Poppins" w:cs="Poppins"/>
          <w:color w:val="000000"/>
          <w:sz w:val="18"/>
          <w:szCs w:val="18"/>
        </w:rPr>
      </w:pPr>
      <w:r w:rsidRPr="000E0FE9">
        <w:rPr>
          <w:rFonts w:ascii="Poppins" w:hAnsi="Poppins" w:cs="Poppins"/>
          <w:b/>
          <w:color w:val="000000"/>
          <w:sz w:val="18"/>
          <w:szCs w:val="18"/>
          <w:shd w:val="clear" w:color="auto" w:fill="BEBEBE"/>
        </w:rPr>
        <w:t>Zamýšľaný retailový investor</w:t>
      </w:r>
      <w:r w:rsidRPr="000E0FE9">
        <w:rPr>
          <w:rFonts w:ascii="Poppins" w:hAnsi="Poppins" w:cs="Poppins"/>
          <w:b/>
          <w:color w:val="000000"/>
          <w:sz w:val="18"/>
          <w:szCs w:val="18"/>
          <w:shd w:val="clear" w:color="auto" w:fill="BEBEBE"/>
        </w:rPr>
        <w:tab/>
      </w:r>
      <w:r w:rsidRPr="000E0FE9">
        <w:rPr>
          <w:rFonts w:ascii="Poppins" w:hAnsi="Poppins" w:cs="Poppins"/>
          <w:b/>
          <w:color w:val="000000"/>
          <w:sz w:val="18"/>
          <w:szCs w:val="18"/>
        </w:rPr>
        <w:t xml:space="preserve"> </w:t>
      </w:r>
      <w:r w:rsidRPr="000E0FE9">
        <w:rPr>
          <w:rFonts w:ascii="Poppins" w:hAnsi="Poppins" w:cs="Poppins"/>
          <w:color w:val="000000"/>
          <w:sz w:val="18"/>
          <w:szCs w:val="18"/>
        </w:rPr>
        <w:t>Obchodovanie s týmto produktom nebude vhodné pre každého. Tento produkt by bežne používali osoby, ktoré chcú vo všeobecnosti získať krátkodobé expozície voči finančným nástrojom/trhom; používajú (obchodujú s) peniaze, ktoré si môžu dovoliť stratiť; mať diverzifikované investičné a sporiace portfólio; majú vysokú toleranciu rizika; a pochopiť vplyv a riziká spojené s obchodovaním s maržou.</w:t>
      </w:r>
    </w:p>
    <w:p w14:paraId="0BA7E00F" w14:textId="77777777" w:rsidR="000F6C27" w:rsidRPr="000E0FE9" w:rsidRDefault="000F6C27">
      <w:pPr>
        <w:pBdr>
          <w:top w:val="nil"/>
          <w:left w:val="nil"/>
          <w:bottom w:val="nil"/>
          <w:right w:val="nil"/>
          <w:between w:val="nil"/>
        </w:pBdr>
        <w:rPr>
          <w:rFonts w:ascii="Poppins" w:hAnsi="Poppins" w:cs="Poppins"/>
          <w:color w:val="000000"/>
          <w:sz w:val="18"/>
          <w:szCs w:val="18"/>
        </w:rPr>
      </w:pPr>
    </w:p>
    <w:p w14:paraId="0BA7E010" w14:textId="77777777" w:rsidR="000F6C27" w:rsidRPr="000E0FE9" w:rsidRDefault="00437EA0">
      <w:pPr>
        <w:pStyle w:val="Heading2"/>
        <w:tabs>
          <w:tab w:val="left" w:pos="9528"/>
        </w:tabs>
        <w:spacing w:before="63"/>
        <w:ind w:firstLine="111"/>
        <w:rPr>
          <w:rFonts w:ascii="Poppins" w:hAnsi="Poppins" w:cs="Poppins"/>
        </w:rPr>
      </w:pPr>
      <w:r w:rsidRPr="000E0FE9">
        <w:rPr>
          <w:rFonts w:ascii="Poppins" w:hAnsi="Poppins" w:cs="Poppins"/>
          <w:color w:val="000000"/>
          <w:shd w:val="clear" w:color="auto" w:fill="BEBEBE"/>
        </w:rPr>
        <w:t xml:space="preserve"> Aké sú riziká a čo môžem získať na oplátku?</w:t>
      </w:r>
      <w:r w:rsidRPr="000E0FE9">
        <w:rPr>
          <w:rFonts w:ascii="Poppins" w:hAnsi="Poppins" w:cs="Poppins"/>
          <w:color w:val="000000"/>
          <w:shd w:val="clear" w:color="auto" w:fill="BEBEBE"/>
        </w:rPr>
        <w:lastRenderedPageBreak/>
        <w:tab/>
      </w:r>
    </w:p>
    <w:p w14:paraId="0BA7E011" w14:textId="77777777" w:rsidR="000F6C27" w:rsidRPr="000E0FE9" w:rsidRDefault="000F6C27">
      <w:pPr>
        <w:pBdr>
          <w:top w:val="nil"/>
          <w:left w:val="nil"/>
          <w:bottom w:val="nil"/>
          <w:right w:val="nil"/>
          <w:between w:val="nil"/>
        </w:pBdr>
        <w:spacing w:before="8"/>
        <w:rPr>
          <w:rFonts w:ascii="Poppins" w:hAnsi="Poppins" w:cs="Poppins"/>
          <w:b/>
          <w:color w:val="000000"/>
          <w:sz w:val="18"/>
          <w:szCs w:val="18"/>
        </w:rPr>
      </w:pPr>
    </w:p>
    <w:p w14:paraId="0BA7E012" w14:textId="77777777" w:rsidR="000F6C27" w:rsidRPr="000E0FE9" w:rsidRDefault="00437EA0">
      <w:pPr>
        <w:ind w:left="140"/>
        <w:rPr>
          <w:rFonts w:ascii="Poppins" w:hAnsi="Poppins" w:cs="Poppins"/>
          <w:b/>
          <w:sz w:val="18"/>
          <w:szCs w:val="18"/>
        </w:rPr>
      </w:pPr>
      <w:r w:rsidRPr="000E0FE9">
        <w:rPr>
          <w:rFonts w:ascii="Poppins" w:hAnsi="Poppins" w:cs="Poppins"/>
          <w:b/>
          <w:sz w:val="18"/>
          <w:szCs w:val="18"/>
        </w:rPr>
        <w:t>Indikátor rizika</w:t>
      </w:r>
    </w:p>
    <w:p w14:paraId="0BA7E013" w14:textId="77777777" w:rsidR="000F6C27" w:rsidRPr="000E0FE9" w:rsidRDefault="00437EA0">
      <w:pPr>
        <w:spacing w:before="178" w:line="242" w:lineRule="auto"/>
        <w:ind w:left="4109" w:right="1200"/>
        <w:jc w:val="both"/>
        <w:rPr>
          <w:rFonts w:ascii="Poppins" w:hAnsi="Poppins" w:cs="Poppins"/>
          <w:sz w:val="18"/>
          <w:szCs w:val="18"/>
        </w:rPr>
      </w:pPr>
      <w:r w:rsidRPr="000E0FE9">
        <w:rPr>
          <w:rFonts w:ascii="Poppins" w:hAnsi="Poppins" w:cs="Poppins"/>
          <w:sz w:val="18"/>
          <w:szCs w:val="18"/>
        </w:rPr>
        <w:t>Indikátor rizika predpokladá, že možno nebudete môcť kúpiť alebo predať svoje CFD za cenu, ktorú ste chceli kvôli volatilite trhu, alebo možno budete musieť kúpiť alebo predať svoje CFD za cenu, ktorá výrazne ovplyvňuje, koľko získate. vrátiť.</w:t>
      </w:r>
      <w:r w:rsidRPr="000E0FE9">
        <w:rPr>
          <w:rFonts w:ascii="Poppins" w:hAnsi="Poppins" w:cs="Poppins"/>
          <w:noProof/>
          <w:sz w:val="18"/>
          <w:szCs w:val="18"/>
        </w:rPr>
        <w:drawing>
          <wp:anchor distT="0" distB="0" distL="0" distR="0" simplePos="0" relativeHeight="251659264" behindDoc="0" locked="0" layoutInCell="1" hidden="0" allowOverlap="1" wp14:anchorId="0BA7E08F" wp14:editId="0BA7E090">
            <wp:simplePos x="0" y="0"/>
            <wp:positionH relativeFrom="column">
              <wp:posOffset>88900</wp:posOffset>
            </wp:positionH>
            <wp:positionV relativeFrom="paragraph">
              <wp:posOffset>120650</wp:posOffset>
            </wp:positionV>
            <wp:extent cx="1885949" cy="438149"/>
            <wp:effectExtent l="0" t="0" r="0" b="0"/>
            <wp:wrapNone/>
            <wp:docPr id="4" name="image2.jpg" descr="Picture 228 "/>
            <wp:cNvGraphicFramePr/>
            <a:graphic xmlns:a="http://schemas.openxmlformats.org/drawingml/2006/main">
              <a:graphicData uri="http://schemas.openxmlformats.org/drawingml/2006/picture">
                <pic:pic xmlns:pic="http://schemas.openxmlformats.org/drawingml/2006/picture">
                  <pic:nvPicPr>
                    <pic:cNvPr id="0" name="image2.jpg" descr="Picture 228 "/>
                    <pic:cNvPicPr preferRelativeResize="0"/>
                  </pic:nvPicPr>
                  <pic:blipFill>
                    <a:blip r:embed="rId12"/>
                    <a:srcRect/>
                    <a:stretch>
                      <a:fillRect/>
                    </a:stretch>
                  </pic:blipFill>
                  <pic:spPr>
                    <a:xfrm>
                      <a:off x="0" y="0"/>
                      <a:ext cx="1885949" cy="438149"/>
                    </a:xfrm>
                    <a:prstGeom prst="rect">
                      <a:avLst/>
                    </a:prstGeom>
                    <a:ln/>
                  </pic:spPr>
                </pic:pic>
              </a:graphicData>
            </a:graphic>
          </wp:anchor>
        </w:drawing>
      </w:r>
    </w:p>
    <w:p w14:paraId="0BA7E014" w14:textId="77777777" w:rsidR="000F6C27" w:rsidRPr="000E0FE9" w:rsidRDefault="000F6C27">
      <w:pPr>
        <w:pBdr>
          <w:top w:val="nil"/>
          <w:left w:val="nil"/>
          <w:bottom w:val="nil"/>
          <w:right w:val="nil"/>
          <w:between w:val="nil"/>
        </w:pBdr>
        <w:spacing w:before="10"/>
        <w:rPr>
          <w:rFonts w:ascii="Poppins" w:hAnsi="Poppins" w:cs="Poppins"/>
          <w:color w:val="000000"/>
          <w:sz w:val="18"/>
          <w:szCs w:val="18"/>
        </w:rPr>
      </w:pPr>
    </w:p>
    <w:p w14:paraId="0BA7E015" w14:textId="77777777" w:rsidR="000F6C27" w:rsidRPr="000E0FE9" w:rsidRDefault="00437EA0">
      <w:pPr>
        <w:pBdr>
          <w:top w:val="nil"/>
          <w:left w:val="nil"/>
          <w:bottom w:val="nil"/>
          <w:right w:val="nil"/>
          <w:between w:val="nil"/>
        </w:pBdr>
        <w:spacing w:before="1" w:line="259" w:lineRule="auto"/>
        <w:ind w:left="139" w:right="1110" w:firstLine="3151"/>
        <w:rPr>
          <w:rFonts w:ascii="Poppins" w:hAnsi="Poppins" w:cs="Poppins"/>
          <w:color w:val="000000"/>
          <w:sz w:val="18"/>
          <w:szCs w:val="18"/>
        </w:rPr>
      </w:pPr>
      <w:r w:rsidRPr="000E0FE9">
        <w:rPr>
          <w:rFonts w:ascii="Poppins" w:hAnsi="Poppins" w:cs="Poppins"/>
          <w:color w:val="000000"/>
          <w:sz w:val="18"/>
          <w:szCs w:val="18"/>
        </w:rPr>
        <w:t>Súhrnný ukazovateľ rizika je návodom na mieru rizika tohto produktu v porovnaní s inými produktmi. Ukazuje sa, ako môžete pocítiť straty v dôsledku volatility CFD. Tento produkt sme klasifikovali ako 7 zo 7, čo je najvyššia riziková trieda. To hodnotí potenciálne straty z budúceho výkonu produktu na veľmi vysokej úrovni. CFD sú obchodované na maržu a nesú riziko straty celého investovaného kapitálu. Pred rozhodnutím obchodovať s maržovými produktmi by ste mali zvážiť svoje investičné ciele, toleranciu rizika a úroveň skúseností s týmito produktmi. Obchodovanie s vysokou úrovňou pákového efektu môže byť proti vám alebo pre vás. Mali by ste si byť vedomí všetkých rizík spojených s produktmi, ktoré sú obchodované na maržu, a v prípade potreby vyhľadať nezávislé poradenstvo.</w:t>
      </w:r>
    </w:p>
    <w:p w14:paraId="0BA7E016" w14:textId="77777777" w:rsidR="000F6C27" w:rsidRPr="000E0FE9" w:rsidRDefault="000F6C27">
      <w:pPr>
        <w:pBdr>
          <w:top w:val="nil"/>
          <w:left w:val="nil"/>
          <w:bottom w:val="nil"/>
          <w:right w:val="nil"/>
          <w:between w:val="nil"/>
        </w:pBdr>
        <w:spacing w:before="2"/>
        <w:rPr>
          <w:rFonts w:ascii="Poppins" w:hAnsi="Poppins" w:cs="Poppins"/>
          <w:color w:val="000000"/>
          <w:sz w:val="18"/>
          <w:szCs w:val="18"/>
        </w:rPr>
      </w:pPr>
    </w:p>
    <w:p w14:paraId="0BA7E017" w14:textId="77777777" w:rsidR="000F6C27" w:rsidRPr="000E0FE9" w:rsidRDefault="00437EA0">
      <w:pPr>
        <w:pStyle w:val="Heading2"/>
        <w:tabs>
          <w:tab w:val="left" w:pos="9528"/>
        </w:tabs>
        <w:spacing w:before="64"/>
        <w:ind w:firstLine="111"/>
        <w:jc w:val="both"/>
        <w:rPr>
          <w:rFonts w:ascii="Poppins" w:hAnsi="Poppins" w:cs="Poppins"/>
        </w:rPr>
      </w:pPr>
      <w:r w:rsidRPr="000E0FE9">
        <w:rPr>
          <w:rFonts w:ascii="Poppins" w:hAnsi="Poppins" w:cs="Poppins"/>
          <w:color w:val="000000"/>
          <w:shd w:val="clear" w:color="auto" w:fill="BEBEBE"/>
        </w:rPr>
        <w:t xml:space="preserve"> Scenáre výkonnosti účtu</w:t>
      </w:r>
      <w:r w:rsidRPr="000E0FE9">
        <w:rPr>
          <w:rFonts w:ascii="Poppins" w:hAnsi="Poppins" w:cs="Poppins"/>
          <w:color w:val="000000"/>
          <w:shd w:val="clear" w:color="auto" w:fill="BEBEBE"/>
        </w:rPr>
        <w:tab/>
      </w:r>
    </w:p>
    <w:p w14:paraId="0BA7E018" w14:textId="77777777" w:rsidR="000F6C27" w:rsidRPr="000E0FE9" w:rsidRDefault="000F6C27">
      <w:pPr>
        <w:pBdr>
          <w:top w:val="nil"/>
          <w:left w:val="nil"/>
          <w:bottom w:val="nil"/>
          <w:right w:val="nil"/>
          <w:between w:val="nil"/>
        </w:pBdr>
        <w:spacing w:before="9"/>
        <w:rPr>
          <w:rFonts w:ascii="Poppins" w:hAnsi="Poppins" w:cs="Poppins"/>
          <w:b/>
          <w:color w:val="000000"/>
          <w:sz w:val="18"/>
          <w:szCs w:val="18"/>
        </w:rPr>
      </w:pPr>
    </w:p>
    <w:p w14:paraId="0BA7E019" w14:textId="77777777" w:rsidR="000F6C27" w:rsidRPr="000E0FE9" w:rsidRDefault="00437EA0">
      <w:pPr>
        <w:spacing w:line="259" w:lineRule="auto"/>
        <w:ind w:left="140" w:right="1197"/>
        <w:jc w:val="both"/>
        <w:rPr>
          <w:rFonts w:ascii="Poppins" w:hAnsi="Poppins" w:cs="Poppins"/>
          <w:b/>
          <w:i/>
          <w:sz w:val="18"/>
          <w:szCs w:val="18"/>
        </w:rPr>
      </w:pPr>
      <w:r w:rsidRPr="000E0FE9">
        <w:rPr>
          <w:rFonts w:ascii="Poppins" w:hAnsi="Poppins" w:cs="Poppins"/>
          <w:b/>
          <w:i/>
          <w:sz w:val="18"/>
          <w:szCs w:val="18"/>
        </w:rPr>
        <w:t>Vývoj trhu v budúcnosti sa nedá presne predpovedať. Nižšie uvedené scenáre sú len náznakom niektorých možných výsledkov na základe nedávnych výnosov. Skutočné výnosy môžu byť nižšie.</w:t>
      </w:r>
    </w:p>
    <w:p w14:paraId="0BA7E01A" w14:textId="77777777" w:rsidR="000F6C27" w:rsidRPr="000E0FE9" w:rsidRDefault="000F6C27">
      <w:pPr>
        <w:pBdr>
          <w:top w:val="nil"/>
          <w:left w:val="nil"/>
          <w:bottom w:val="nil"/>
          <w:right w:val="nil"/>
          <w:between w:val="nil"/>
        </w:pBdr>
        <w:spacing w:before="6"/>
        <w:rPr>
          <w:rFonts w:ascii="Poppins" w:hAnsi="Poppins" w:cs="Poppins"/>
          <w:b/>
          <w:i/>
          <w:color w:val="000000"/>
          <w:sz w:val="18"/>
          <w:szCs w:val="18"/>
        </w:rPr>
      </w:pPr>
    </w:p>
    <w:p w14:paraId="0BA7E01B" w14:textId="77777777" w:rsidR="000F6C27" w:rsidRPr="000E0FE9" w:rsidRDefault="00437EA0">
      <w:pPr>
        <w:pBdr>
          <w:top w:val="nil"/>
          <w:left w:val="nil"/>
          <w:bottom w:val="nil"/>
          <w:right w:val="nil"/>
          <w:between w:val="nil"/>
        </w:pBdr>
        <w:spacing w:line="256" w:lineRule="auto"/>
        <w:ind w:left="140" w:right="1201"/>
        <w:jc w:val="both"/>
        <w:rPr>
          <w:rFonts w:ascii="Poppins" w:hAnsi="Poppins" w:cs="Poppins"/>
          <w:color w:val="000000"/>
          <w:sz w:val="18"/>
          <w:szCs w:val="18"/>
        </w:rPr>
      </w:pPr>
      <w:r w:rsidRPr="000E0FE9">
        <w:rPr>
          <w:rFonts w:ascii="Poppins" w:hAnsi="Poppins" w:cs="Poppins"/>
          <w:color w:val="000000"/>
          <w:sz w:val="18"/>
          <w:szCs w:val="18"/>
        </w:rPr>
        <w:t>Nižšie uvedené scenáre ukazujú, ako by sa vaša investícia mohla prejaviť pri rôznych udalostiach. Nižšie uvedené výsledky by sa nemali považovať za presné ukazovatele alebo odporúčania a nezahŕňajú rozdielne typy poplatkov, ktoré sa môžu vzťahovať na váš účet. Výkon vášho účtu (pozitívny alebo negatívny) preto závisí od rôznych faktorov, napríklad od toho, ako dlho držíte svoje pozície.</w:t>
      </w:r>
    </w:p>
    <w:p w14:paraId="0BA7E01C" w14:textId="77777777" w:rsidR="000F6C27" w:rsidRPr="000E0FE9" w:rsidRDefault="000F6C27">
      <w:pPr>
        <w:pBdr>
          <w:top w:val="nil"/>
          <w:left w:val="nil"/>
          <w:bottom w:val="nil"/>
          <w:right w:val="nil"/>
          <w:between w:val="nil"/>
        </w:pBdr>
        <w:spacing w:before="8"/>
        <w:rPr>
          <w:rFonts w:ascii="Poppins" w:hAnsi="Poppins" w:cs="Poppins"/>
          <w:color w:val="000000"/>
          <w:sz w:val="18"/>
          <w:szCs w:val="18"/>
        </w:rPr>
      </w:pPr>
    </w:p>
    <w:tbl>
      <w:tblPr>
        <w:tblStyle w:val="ListTable6Colorful-Accent3"/>
        <w:tblW w:w="9243" w:type="dxa"/>
        <w:tblLayout w:type="fixed"/>
        <w:tblLook w:val="0400" w:firstRow="0" w:lastRow="0" w:firstColumn="0" w:lastColumn="0" w:noHBand="0" w:noVBand="1"/>
      </w:tblPr>
      <w:tblGrid>
        <w:gridCol w:w="5686"/>
        <w:gridCol w:w="3557"/>
      </w:tblGrid>
      <w:tr w:rsidR="000F6C27" w:rsidRPr="000E0FE9" w14:paraId="0BA7E01F" w14:textId="77777777" w:rsidTr="000E0FE9">
        <w:trPr>
          <w:cnfStyle w:val="000000100000" w:firstRow="0" w:lastRow="0" w:firstColumn="0" w:lastColumn="0" w:oddVBand="0" w:evenVBand="0" w:oddHBand="1" w:evenHBand="0" w:firstRowFirstColumn="0" w:firstRowLastColumn="0" w:lastRowFirstColumn="0" w:lastRowLastColumn="0"/>
          <w:trHeight w:val="395"/>
        </w:trPr>
        <w:tc>
          <w:tcPr>
            <w:tcW w:w="5686" w:type="dxa"/>
          </w:tcPr>
          <w:p w14:paraId="0BA7E01D" w14:textId="77777777" w:rsidR="000F6C27" w:rsidRPr="000E0FE9" w:rsidRDefault="00437EA0">
            <w:pPr>
              <w:pBdr>
                <w:top w:val="nil"/>
                <w:left w:val="nil"/>
                <w:bottom w:val="nil"/>
                <w:right w:val="nil"/>
                <w:between w:val="nil"/>
              </w:pBdr>
              <w:spacing w:line="219" w:lineRule="auto"/>
              <w:ind w:left="107"/>
              <w:rPr>
                <w:rFonts w:ascii="Poppins" w:hAnsi="Poppins" w:cs="Poppins"/>
                <w:b/>
                <w:color w:val="000000"/>
                <w:sz w:val="18"/>
                <w:szCs w:val="18"/>
              </w:rPr>
            </w:pPr>
            <w:r w:rsidRPr="000E0FE9">
              <w:rPr>
                <w:rFonts w:ascii="Poppins" w:hAnsi="Poppins" w:cs="Poppins"/>
                <w:b/>
                <w:color w:val="000000"/>
                <w:sz w:val="18"/>
                <w:szCs w:val="18"/>
              </w:rPr>
              <w:t>Akciový CFD</w:t>
            </w:r>
          </w:p>
        </w:tc>
        <w:tc>
          <w:tcPr>
            <w:tcW w:w="3557" w:type="dxa"/>
          </w:tcPr>
          <w:p w14:paraId="0BA7E01E" w14:textId="77777777" w:rsidR="000F6C27" w:rsidRPr="000E0FE9" w:rsidRDefault="00437EA0">
            <w:pPr>
              <w:pBdr>
                <w:top w:val="nil"/>
                <w:left w:val="nil"/>
                <w:bottom w:val="nil"/>
                <w:right w:val="nil"/>
                <w:between w:val="nil"/>
              </w:pBdr>
              <w:spacing w:line="219" w:lineRule="auto"/>
              <w:ind w:left="107"/>
              <w:rPr>
                <w:rFonts w:ascii="Poppins" w:hAnsi="Poppins" w:cs="Poppins"/>
                <w:b/>
                <w:color w:val="000000"/>
                <w:sz w:val="18"/>
                <w:szCs w:val="18"/>
              </w:rPr>
            </w:pPr>
            <w:r w:rsidRPr="000E0FE9">
              <w:rPr>
                <w:rFonts w:ascii="Poppins" w:hAnsi="Poppins" w:cs="Poppins"/>
                <w:b/>
                <w:color w:val="000000"/>
                <w:sz w:val="18"/>
                <w:szCs w:val="18"/>
              </w:rPr>
              <w:t>Spoločnosť Neonode Inc.</w:t>
            </w:r>
          </w:p>
        </w:tc>
      </w:tr>
      <w:tr w:rsidR="000F6C27" w:rsidRPr="000E0FE9" w14:paraId="0BA7E026" w14:textId="77777777" w:rsidTr="000E0FE9">
        <w:trPr>
          <w:trHeight w:val="398"/>
        </w:trPr>
        <w:tc>
          <w:tcPr>
            <w:tcW w:w="5686" w:type="dxa"/>
            <w:vMerge w:val="restart"/>
          </w:tcPr>
          <w:p w14:paraId="0BA7E020" w14:textId="77777777" w:rsidR="000F6C27" w:rsidRPr="000E0FE9" w:rsidRDefault="00437EA0">
            <w:pPr>
              <w:pBdr>
                <w:top w:val="nil"/>
                <w:left w:val="nil"/>
                <w:bottom w:val="nil"/>
                <w:right w:val="nil"/>
                <w:between w:val="nil"/>
              </w:pBdr>
              <w:tabs>
                <w:tab w:val="left" w:pos="2956"/>
              </w:tabs>
              <w:spacing w:before="3"/>
              <w:ind w:left="107"/>
              <w:rPr>
                <w:rFonts w:ascii="Poppins" w:hAnsi="Poppins" w:cs="Poppins"/>
                <w:color w:val="000000"/>
                <w:sz w:val="18"/>
                <w:szCs w:val="18"/>
              </w:rPr>
            </w:pPr>
            <w:r w:rsidRPr="000E0FE9">
              <w:rPr>
                <w:rFonts w:ascii="Poppins" w:hAnsi="Poppins" w:cs="Poppins"/>
                <w:color w:val="000000"/>
                <w:sz w:val="18"/>
                <w:szCs w:val="18"/>
              </w:rPr>
              <w:t>Otváracia cena</w:t>
            </w:r>
            <w:r w:rsidRPr="000E0FE9">
              <w:rPr>
                <w:rFonts w:ascii="Poppins" w:hAnsi="Poppins" w:cs="Poppins"/>
                <w:color w:val="000000"/>
                <w:sz w:val="18"/>
                <w:szCs w:val="18"/>
              </w:rPr>
              <w:tab/>
              <w:t>P</w:t>
            </w:r>
          </w:p>
          <w:p w14:paraId="0BA7E021" w14:textId="77777777" w:rsidR="000F6C27" w:rsidRPr="000E0FE9" w:rsidRDefault="00437EA0">
            <w:pPr>
              <w:pBdr>
                <w:top w:val="nil"/>
                <w:left w:val="nil"/>
                <w:bottom w:val="nil"/>
                <w:right w:val="nil"/>
                <w:between w:val="nil"/>
              </w:pBdr>
              <w:tabs>
                <w:tab w:val="left" w:pos="2937"/>
              </w:tabs>
              <w:spacing w:before="16"/>
              <w:ind w:left="107"/>
              <w:rPr>
                <w:rFonts w:ascii="Poppins" w:hAnsi="Poppins" w:cs="Poppins"/>
                <w:color w:val="000000"/>
                <w:sz w:val="18"/>
                <w:szCs w:val="18"/>
              </w:rPr>
            </w:pPr>
            <w:r w:rsidRPr="000E0FE9">
              <w:rPr>
                <w:rFonts w:ascii="Poppins" w:hAnsi="Poppins" w:cs="Poppins"/>
                <w:color w:val="000000"/>
                <w:sz w:val="18"/>
                <w:szCs w:val="18"/>
              </w:rPr>
              <w:t>Veľkosť obchodu (na CFD)</w:t>
            </w:r>
            <w:r w:rsidRPr="000E0FE9">
              <w:rPr>
                <w:rFonts w:ascii="Poppins" w:hAnsi="Poppins" w:cs="Poppins"/>
                <w:color w:val="000000"/>
                <w:sz w:val="18"/>
                <w:szCs w:val="18"/>
              </w:rPr>
              <w:tab/>
              <w:t>TS</w:t>
            </w:r>
          </w:p>
          <w:p w14:paraId="0BA7E022" w14:textId="77777777" w:rsidR="000F6C27" w:rsidRPr="000E0FE9" w:rsidRDefault="00437EA0">
            <w:pPr>
              <w:pBdr>
                <w:top w:val="nil"/>
                <w:left w:val="nil"/>
                <w:bottom w:val="nil"/>
                <w:right w:val="nil"/>
                <w:between w:val="nil"/>
              </w:pBdr>
              <w:tabs>
                <w:tab w:val="left" w:pos="2947"/>
              </w:tabs>
              <w:spacing w:before="18"/>
              <w:ind w:left="107"/>
              <w:rPr>
                <w:rFonts w:ascii="Poppins" w:hAnsi="Poppins" w:cs="Poppins"/>
                <w:i/>
                <w:color w:val="000000"/>
                <w:sz w:val="18"/>
                <w:szCs w:val="18"/>
              </w:rPr>
            </w:pPr>
            <w:r w:rsidRPr="000E0FE9">
              <w:rPr>
                <w:rFonts w:ascii="Poppins" w:hAnsi="Poppins" w:cs="Poppins"/>
                <w:i/>
                <w:color w:val="000000"/>
                <w:sz w:val="18"/>
                <w:szCs w:val="18"/>
              </w:rPr>
              <w:t>Percento marže</w:t>
            </w:r>
            <w:r w:rsidRPr="000E0FE9">
              <w:rPr>
                <w:rFonts w:ascii="Poppins" w:hAnsi="Poppins" w:cs="Poppins"/>
                <w:i/>
                <w:color w:val="000000"/>
                <w:sz w:val="18"/>
                <w:szCs w:val="18"/>
              </w:rPr>
              <w:tab/>
              <w:t>M</w:t>
            </w:r>
          </w:p>
          <w:p w14:paraId="0BA7E023" w14:textId="77777777" w:rsidR="000F6C27" w:rsidRPr="000E0FE9" w:rsidRDefault="00437EA0">
            <w:pPr>
              <w:pBdr>
                <w:top w:val="nil"/>
                <w:left w:val="nil"/>
                <w:bottom w:val="nil"/>
                <w:right w:val="nil"/>
                <w:between w:val="nil"/>
              </w:pBdr>
              <w:tabs>
                <w:tab w:val="left" w:pos="2956"/>
              </w:tabs>
              <w:spacing w:before="18"/>
              <w:ind w:left="107"/>
              <w:rPr>
                <w:rFonts w:ascii="Poppins" w:hAnsi="Poppins" w:cs="Poppins"/>
                <w:color w:val="000000"/>
                <w:sz w:val="18"/>
                <w:szCs w:val="18"/>
              </w:rPr>
            </w:pPr>
            <w:r w:rsidRPr="000E0FE9">
              <w:rPr>
                <w:rFonts w:ascii="Poppins" w:hAnsi="Poppins" w:cs="Poppins"/>
                <w:color w:val="000000"/>
                <w:sz w:val="18"/>
                <w:szCs w:val="18"/>
              </w:rPr>
              <w:t>Vyžaduje sa marža</w:t>
            </w:r>
            <w:r w:rsidRPr="000E0FE9">
              <w:rPr>
                <w:rFonts w:ascii="Poppins" w:hAnsi="Poppins" w:cs="Poppins"/>
                <w:color w:val="000000"/>
                <w:sz w:val="18"/>
                <w:szCs w:val="18"/>
              </w:rPr>
              <w:tab/>
              <w:t>MR = TS x M x P</w:t>
            </w:r>
          </w:p>
          <w:p w14:paraId="0BA7E024" w14:textId="77777777" w:rsidR="000F6C27" w:rsidRPr="000E0FE9" w:rsidRDefault="00437EA0">
            <w:pPr>
              <w:pBdr>
                <w:top w:val="nil"/>
                <w:left w:val="nil"/>
                <w:bottom w:val="nil"/>
                <w:right w:val="nil"/>
                <w:between w:val="nil"/>
              </w:pBdr>
              <w:tabs>
                <w:tab w:val="left" w:pos="2961"/>
              </w:tabs>
              <w:spacing w:before="17" w:line="513" w:lineRule="auto"/>
              <w:ind w:left="107" w:right="1308"/>
              <w:rPr>
                <w:rFonts w:ascii="Poppins" w:hAnsi="Poppins" w:cs="Poppins"/>
                <w:color w:val="000000"/>
                <w:sz w:val="18"/>
                <w:szCs w:val="18"/>
              </w:rPr>
            </w:pPr>
            <w:r w:rsidRPr="000E0FE9">
              <w:rPr>
                <w:rFonts w:ascii="Poppins" w:hAnsi="Poppins" w:cs="Poppins"/>
                <w:color w:val="000000"/>
                <w:sz w:val="18"/>
                <w:szCs w:val="18"/>
              </w:rPr>
              <w:lastRenderedPageBreak/>
              <w:t>Nominálna hodnota obchodu</w:t>
            </w:r>
            <w:r w:rsidRPr="000E0FE9">
              <w:rPr>
                <w:rFonts w:ascii="Poppins" w:hAnsi="Poppins" w:cs="Poppins"/>
                <w:color w:val="000000"/>
                <w:sz w:val="18"/>
                <w:szCs w:val="18"/>
              </w:rPr>
              <w:tab/>
              <w:t>TN = MR/M= TS x P Mena účtu</w:t>
            </w:r>
          </w:p>
        </w:tc>
        <w:tc>
          <w:tcPr>
            <w:tcW w:w="3557" w:type="dxa"/>
          </w:tcPr>
          <w:p w14:paraId="0BA7E025" w14:textId="77777777" w:rsidR="000F6C27" w:rsidRPr="000E0FE9" w:rsidRDefault="00437EA0">
            <w:pPr>
              <w:pBdr>
                <w:top w:val="nil"/>
                <w:left w:val="nil"/>
                <w:bottom w:val="nil"/>
                <w:right w:val="nil"/>
                <w:between w:val="nil"/>
              </w:pBdr>
              <w:spacing w:before="1"/>
              <w:ind w:left="107"/>
              <w:rPr>
                <w:rFonts w:ascii="Poppins" w:hAnsi="Poppins" w:cs="Poppins"/>
                <w:color w:val="000000"/>
                <w:sz w:val="18"/>
                <w:szCs w:val="18"/>
              </w:rPr>
            </w:pPr>
            <w:r w:rsidRPr="000E0FE9">
              <w:rPr>
                <w:rFonts w:ascii="Poppins" w:hAnsi="Poppins" w:cs="Poppins"/>
                <w:color w:val="000000"/>
                <w:sz w:val="18"/>
                <w:szCs w:val="18"/>
              </w:rPr>
              <w:lastRenderedPageBreak/>
              <w:t>9.38</w:t>
            </w:r>
          </w:p>
        </w:tc>
      </w:tr>
      <w:tr w:rsidR="000F6C27" w:rsidRPr="000E0FE9" w14:paraId="0BA7E029" w14:textId="77777777" w:rsidTr="000E0FE9">
        <w:trPr>
          <w:cnfStyle w:val="000000100000" w:firstRow="0" w:lastRow="0" w:firstColumn="0" w:lastColumn="0" w:oddVBand="0" w:evenVBand="0" w:oddHBand="1" w:evenHBand="0" w:firstRowFirstColumn="0" w:firstRowLastColumn="0" w:lastRowFirstColumn="0" w:lastRowLastColumn="0"/>
          <w:trHeight w:val="397"/>
        </w:trPr>
        <w:tc>
          <w:tcPr>
            <w:tcW w:w="5686" w:type="dxa"/>
            <w:vMerge/>
          </w:tcPr>
          <w:p w14:paraId="0BA7E027" w14:textId="77777777" w:rsidR="000F6C27" w:rsidRPr="000E0FE9" w:rsidRDefault="000F6C27">
            <w:pPr>
              <w:pBdr>
                <w:top w:val="nil"/>
                <w:left w:val="nil"/>
                <w:bottom w:val="nil"/>
                <w:right w:val="nil"/>
                <w:between w:val="nil"/>
              </w:pBdr>
              <w:spacing w:line="276" w:lineRule="auto"/>
              <w:rPr>
                <w:rFonts w:ascii="Poppins" w:hAnsi="Poppins" w:cs="Poppins"/>
                <w:color w:val="000000"/>
                <w:sz w:val="18"/>
                <w:szCs w:val="18"/>
              </w:rPr>
            </w:pPr>
          </w:p>
        </w:tc>
        <w:tc>
          <w:tcPr>
            <w:tcW w:w="3557" w:type="dxa"/>
          </w:tcPr>
          <w:p w14:paraId="0BA7E028" w14:textId="77777777" w:rsidR="000F6C27" w:rsidRPr="000E0FE9" w:rsidRDefault="00437EA0">
            <w:pPr>
              <w:pBdr>
                <w:top w:val="nil"/>
                <w:left w:val="nil"/>
                <w:bottom w:val="nil"/>
                <w:right w:val="nil"/>
                <w:between w:val="nil"/>
              </w:pBdr>
              <w:spacing w:line="219" w:lineRule="auto"/>
              <w:ind w:left="107"/>
              <w:rPr>
                <w:rFonts w:ascii="Poppins" w:hAnsi="Poppins" w:cs="Poppins"/>
                <w:color w:val="000000"/>
                <w:sz w:val="18"/>
                <w:szCs w:val="18"/>
              </w:rPr>
            </w:pPr>
            <w:r w:rsidRPr="000E0FE9">
              <w:rPr>
                <w:rFonts w:ascii="Poppins" w:hAnsi="Poppins" w:cs="Poppins"/>
                <w:color w:val="000000"/>
                <w:sz w:val="18"/>
                <w:szCs w:val="18"/>
              </w:rPr>
              <w:t>10 akcií</w:t>
            </w:r>
          </w:p>
        </w:tc>
      </w:tr>
      <w:tr w:rsidR="000F6C27" w:rsidRPr="000E0FE9" w14:paraId="0BA7E02C" w14:textId="77777777" w:rsidTr="000E0FE9">
        <w:trPr>
          <w:trHeight w:val="395"/>
        </w:trPr>
        <w:tc>
          <w:tcPr>
            <w:tcW w:w="5686" w:type="dxa"/>
            <w:vMerge/>
          </w:tcPr>
          <w:p w14:paraId="0BA7E02A" w14:textId="77777777" w:rsidR="000F6C27" w:rsidRPr="000E0FE9" w:rsidRDefault="000F6C27">
            <w:pPr>
              <w:pBdr>
                <w:top w:val="nil"/>
                <w:left w:val="nil"/>
                <w:bottom w:val="nil"/>
                <w:right w:val="nil"/>
                <w:between w:val="nil"/>
              </w:pBdr>
              <w:spacing w:line="276" w:lineRule="auto"/>
              <w:rPr>
                <w:rFonts w:ascii="Poppins" w:hAnsi="Poppins" w:cs="Poppins"/>
                <w:color w:val="000000"/>
                <w:sz w:val="18"/>
                <w:szCs w:val="18"/>
              </w:rPr>
            </w:pPr>
          </w:p>
        </w:tc>
        <w:tc>
          <w:tcPr>
            <w:tcW w:w="3557" w:type="dxa"/>
          </w:tcPr>
          <w:p w14:paraId="0BA7E02B" w14:textId="77777777" w:rsidR="000F6C27" w:rsidRPr="000E0FE9" w:rsidRDefault="00437EA0">
            <w:pPr>
              <w:pBdr>
                <w:top w:val="nil"/>
                <w:left w:val="nil"/>
                <w:bottom w:val="nil"/>
                <w:right w:val="nil"/>
                <w:between w:val="nil"/>
              </w:pBdr>
              <w:spacing w:line="219" w:lineRule="auto"/>
              <w:ind w:left="107"/>
              <w:rPr>
                <w:rFonts w:ascii="Poppins" w:hAnsi="Poppins" w:cs="Poppins"/>
                <w:color w:val="000000"/>
                <w:sz w:val="18"/>
                <w:szCs w:val="18"/>
              </w:rPr>
            </w:pPr>
            <w:r w:rsidRPr="000E0FE9">
              <w:rPr>
                <w:rFonts w:ascii="Poppins" w:hAnsi="Poppins" w:cs="Poppins"/>
                <w:color w:val="000000"/>
                <w:sz w:val="18"/>
                <w:szCs w:val="18"/>
              </w:rPr>
              <w:t>20 % (pákový efekt 1:5)</w:t>
            </w:r>
          </w:p>
        </w:tc>
      </w:tr>
      <w:tr w:rsidR="000F6C27" w:rsidRPr="000E0FE9" w14:paraId="0BA7E02F" w14:textId="77777777" w:rsidTr="000E0FE9">
        <w:trPr>
          <w:cnfStyle w:val="000000100000" w:firstRow="0" w:lastRow="0" w:firstColumn="0" w:lastColumn="0" w:oddVBand="0" w:evenVBand="0" w:oddHBand="1" w:evenHBand="0" w:firstRowFirstColumn="0" w:firstRowLastColumn="0" w:lastRowFirstColumn="0" w:lastRowLastColumn="0"/>
          <w:trHeight w:val="397"/>
        </w:trPr>
        <w:tc>
          <w:tcPr>
            <w:tcW w:w="5686" w:type="dxa"/>
            <w:vMerge/>
          </w:tcPr>
          <w:p w14:paraId="0BA7E02D" w14:textId="77777777" w:rsidR="000F6C27" w:rsidRPr="000E0FE9" w:rsidRDefault="000F6C27">
            <w:pPr>
              <w:pBdr>
                <w:top w:val="nil"/>
                <w:left w:val="nil"/>
                <w:bottom w:val="nil"/>
                <w:right w:val="nil"/>
                <w:between w:val="nil"/>
              </w:pBdr>
              <w:spacing w:line="276" w:lineRule="auto"/>
              <w:rPr>
                <w:rFonts w:ascii="Poppins" w:hAnsi="Poppins" w:cs="Poppins"/>
                <w:color w:val="000000"/>
                <w:sz w:val="18"/>
                <w:szCs w:val="18"/>
              </w:rPr>
            </w:pPr>
          </w:p>
        </w:tc>
        <w:tc>
          <w:tcPr>
            <w:tcW w:w="3557" w:type="dxa"/>
          </w:tcPr>
          <w:p w14:paraId="0BA7E02E" w14:textId="77777777" w:rsidR="000F6C27" w:rsidRPr="000E0FE9" w:rsidRDefault="00437EA0">
            <w:pPr>
              <w:pBdr>
                <w:top w:val="nil"/>
                <w:left w:val="nil"/>
                <w:bottom w:val="nil"/>
                <w:right w:val="nil"/>
                <w:between w:val="nil"/>
              </w:pBdr>
              <w:spacing w:line="219" w:lineRule="auto"/>
              <w:ind w:left="107"/>
              <w:rPr>
                <w:rFonts w:ascii="Poppins" w:hAnsi="Poppins" w:cs="Poppins"/>
                <w:color w:val="000000"/>
                <w:sz w:val="18"/>
                <w:szCs w:val="18"/>
              </w:rPr>
            </w:pPr>
            <w:r w:rsidRPr="000E0FE9">
              <w:rPr>
                <w:rFonts w:ascii="Poppins" w:hAnsi="Poppins" w:cs="Poppins"/>
                <w:color w:val="000000"/>
                <w:sz w:val="18"/>
                <w:szCs w:val="18"/>
              </w:rPr>
              <w:t>18,76 USD</w:t>
            </w:r>
          </w:p>
        </w:tc>
      </w:tr>
      <w:tr w:rsidR="000F6C27" w:rsidRPr="000E0FE9" w14:paraId="0BA7E032" w14:textId="77777777" w:rsidTr="000E0FE9">
        <w:trPr>
          <w:trHeight w:val="633"/>
        </w:trPr>
        <w:tc>
          <w:tcPr>
            <w:tcW w:w="5686" w:type="dxa"/>
            <w:vMerge/>
          </w:tcPr>
          <w:p w14:paraId="0BA7E030" w14:textId="77777777" w:rsidR="000F6C27" w:rsidRPr="000E0FE9" w:rsidRDefault="000F6C27">
            <w:pPr>
              <w:pBdr>
                <w:top w:val="nil"/>
                <w:left w:val="nil"/>
                <w:bottom w:val="nil"/>
                <w:right w:val="nil"/>
                <w:between w:val="nil"/>
              </w:pBdr>
              <w:spacing w:line="276" w:lineRule="auto"/>
              <w:rPr>
                <w:rFonts w:ascii="Poppins" w:hAnsi="Poppins" w:cs="Poppins"/>
                <w:color w:val="000000"/>
                <w:sz w:val="18"/>
                <w:szCs w:val="18"/>
              </w:rPr>
            </w:pPr>
          </w:p>
        </w:tc>
        <w:tc>
          <w:tcPr>
            <w:tcW w:w="3557" w:type="dxa"/>
          </w:tcPr>
          <w:p w14:paraId="0BA7E031" w14:textId="77777777" w:rsidR="000F6C27" w:rsidRPr="000E0FE9" w:rsidRDefault="00437EA0">
            <w:pPr>
              <w:pBdr>
                <w:top w:val="nil"/>
                <w:left w:val="nil"/>
                <w:bottom w:val="nil"/>
                <w:right w:val="nil"/>
                <w:between w:val="nil"/>
              </w:pBdr>
              <w:spacing w:before="1" w:line="256" w:lineRule="auto"/>
              <w:ind w:left="107"/>
              <w:rPr>
                <w:rFonts w:ascii="Poppins" w:hAnsi="Poppins" w:cs="Poppins"/>
                <w:color w:val="000000"/>
                <w:sz w:val="18"/>
                <w:szCs w:val="18"/>
              </w:rPr>
            </w:pPr>
            <w:r w:rsidRPr="000E0FE9">
              <w:rPr>
                <w:rFonts w:ascii="Poppins" w:hAnsi="Poppins" w:cs="Poppins"/>
                <w:color w:val="000000"/>
                <w:sz w:val="18"/>
                <w:szCs w:val="18"/>
              </w:rPr>
              <w:t>Výpočet ziskov a strát: USD (variabilná mena)</w:t>
            </w:r>
          </w:p>
        </w:tc>
      </w:tr>
      <w:tr w:rsidR="000F6C27" w:rsidRPr="000E0FE9" w14:paraId="0BA7E035" w14:textId="77777777" w:rsidTr="000E0FE9">
        <w:trPr>
          <w:cnfStyle w:val="000000100000" w:firstRow="0" w:lastRow="0" w:firstColumn="0" w:lastColumn="0" w:oddVBand="0" w:evenVBand="0" w:oddHBand="1" w:evenHBand="0" w:firstRowFirstColumn="0" w:firstRowLastColumn="0" w:lastRowFirstColumn="0" w:lastRowLastColumn="0"/>
          <w:trHeight w:val="397"/>
        </w:trPr>
        <w:tc>
          <w:tcPr>
            <w:tcW w:w="5686" w:type="dxa"/>
            <w:vMerge/>
          </w:tcPr>
          <w:p w14:paraId="0BA7E033" w14:textId="77777777" w:rsidR="000F6C27" w:rsidRPr="000E0FE9" w:rsidRDefault="000F6C27">
            <w:pPr>
              <w:pBdr>
                <w:top w:val="nil"/>
                <w:left w:val="nil"/>
                <w:bottom w:val="nil"/>
                <w:right w:val="nil"/>
                <w:between w:val="nil"/>
              </w:pBdr>
              <w:spacing w:line="276" w:lineRule="auto"/>
              <w:rPr>
                <w:rFonts w:ascii="Poppins" w:hAnsi="Poppins" w:cs="Poppins"/>
                <w:color w:val="000000"/>
                <w:sz w:val="18"/>
                <w:szCs w:val="18"/>
              </w:rPr>
            </w:pPr>
          </w:p>
        </w:tc>
        <w:tc>
          <w:tcPr>
            <w:tcW w:w="3557" w:type="dxa"/>
          </w:tcPr>
          <w:p w14:paraId="0BA7E034" w14:textId="77777777" w:rsidR="000F6C27" w:rsidRPr="000E0FE9" w:rsidRDefault="00437EA0">
            <w:pPr>
              <w:pBdr>
                <w:top w:val="nil"/>
                <w:left w:val="nil"/>
                <w:bottom w:val="nil"/>
                <w:right w:val="nil"/>
                <w:between w:val="nil"/>
              </w:pBdr>
              <w:spacing w:line="219" w:lineRule="auto"/>
              <w:ind w:left="107"/>
              <w:rPr>
                <w:rFonts w:ascii="Poppins" w:hAnsi="Poppins" w:cs="Poppins"/>
                <w:color w:val="000000"/>
                <w:sz w:val="18"/>
                <w:szCs w:val="18"/>
              </w:rPr>
            </w:pPr>
            <w:r w:rsidRPr="000E0FE9">
              <w:rPr>
                <w:rFonts w:ascii="Poppins" w:hAnsi="Poppins" w:cs="Poppins"/>
                <w:color w:val="000000"/>
                <w:sz w:val="18"/>
                <w:szCs w:val="18"/>
              </w:rPr>
              <w:t>Americký dolár</w:t>
            </w:r>
          </w:p>
        </w:tc>
      </w:tr>
    </w:tbl>
    <w:p w14:paraId="0BA7E036" w14:textId="77777777" w:rsidR="000F6C27" w:rsidRPr="000E0FE9" w:rsidRDefault="000F6C27">
      <w:pPr>
        <w:pBdr>
          <w:top w:val="nil"/>
          <w:left w:val="nil"/>
          <w:bottom w:val="nil"/>
          <w:right w:val="nil"/>
          <w:between w:val="nil"/>
        </w:pBdr>
        <w:rPr>
          <w:rFonts w:ascii="Poppins" w:hAnsi="Poppins" w:cs="Poppins"/>
          <w:color w:val="000000"/>
          <w:sz w:val="18"/>
          <w:szCs w:val="18"/>
        </w:rPr>
      </w:pPr>
    </w:p>
    <w:p w14:paraId="0BA7E037" w14:textId="77777777" w:rsidR="000F6C27" w:rsidRPr="000E0FE9" w:rsidRDefault="000F6C27">
      <w:pPr>
        <w:pBdr>
          <w:top w:val="nil"/>
          <w:left w:val="nil"/>
          <w:bottom w:val="nil"/>
          <w:right w:val="nil"/>
          <w:between w:val="nil"/>
        </w:pBdr>
        <w:rPr>
          <w:rFonts w:ascii="Poppins" w:hAnsi="Poppins" w:cs="Poppins"/>
          <w:color w:val="000000"/>
          <w:sz w:val="18"/>
          <w:szCs w:val="18"/>
        </w:rPr>
      </w:pPr>
    </w:p>
    <w:p w14:paraId="0BA7E038" w14:textId="77777777" w:rsidR="000F6C27" w:rsidRPr="000E0FE9" w:rsidRDefault="000F6C27">
      <w:pPr>
        <w:pBdr>
          <w:top w:val="nil"/>
          <w:left w:val="nil"/>
          <w:bottom w:val="nil"/>
          <w:right w:val="nil"/>
          <w:between w:val="nil"/>
        </w:pBdr>
        <w:spacing w:before="4" w:after="1"/>
        <w:rPr>
          <w:rFonts w:ascii="Poppins" w:hAnsi="Poppins" w:cs="Poppins"/>
          <w:color w:val="000000"/>
          <w:sz w:val="18"/>
          <w:szCs w:val="18"/>
        </w:rPr>
      </w:pPr>
    </w:p>
    <w:tbl>
      <w:tblPr>
        <w:tblStyle w:val="ListTable6Colorful-Accent2"/>
        <w:tblW w:w="10440" w:type="dxa"/>
        <w:tblLayout w:type="fixed"/>
        <w:tblLook w:val="0400" w:firstRow="0" w:lastRow="0" w:firstColumn="0" w:lastColumn="0" w:noHBand="0" w:noVBand="1"/>
      </w:tblPr>
      <w:tblGrid>
        <w:gridCol w:w="1351"/>
        <w:gridCol w:w="1260"/>
        <w:gridCol w:w="1349"/>
        <w:gridCol w:w="1171"/>
        <w:gridCol w:w="1260"/>
        <w:gridCol w:w="1260"/>
        <w:gridCol w:w="1440"/>
        <w:gridCol w:w="1349"/>
      </w:tblGrid>
      <w:tr w:rsidR="000F6C27" w:rsidRPr="000E0FE9" w14:paraId="0BA7E043" w14:textId="77777777" w:rsidTr="000E0FE9">
        <w:trPr>
          <w:cnfStyle w:val="000000100000" w:firstRow="0" w:lastRow="0" w:firstColumn="0" w:lastColumn="0" w:oddVBand="0" w:evenVBand="0" w:oddHBand="1" w:evenHBand="0" w:firstRowFirstColumn="0" w:firstRowLastColumn="0" w:lastRowFirstColumn="0" w:lastRowLastColumn="0"/>
          <w:trHeight w:val="791"/>
        </w:trPr>
        <w:tc>
          <w:tcPr>
            <w:tcW w:w="1351" w:type="dxa"/>
          </w:tcPr>
          <w:p w14:paraId="0BA7E039" w14:textId="77777777" w:rsidR="000F6C27" w:rsidRPr="000E0FE9" w:rsidRDefault="00437EA0">
            <w:pPr>
              <w:pBdr>
                <w:top w:val="nil"/>
                <w:left w:val="nil"/>
                <w:bottom w:val="nil"/>
                <w:right w:val="nil"/>
                <w:between w:val="nil"/>
              </w:pBdr>
              <w:spacing w:before="1" w:line="259" w:lineRule="auto"/>
              <w:ind w:left="107" w:right="118"/>
              <w:rPr>
                <w:rFonts w:ascii="Poppins" w:hAnsi="Poppins" w:cs="Poppins"/>
                <w:b/>
                <w:color w:val="000000"/>
                <w:sz w:val="18"/>
                <w:szCs w:val="18"/>
              </w:rPr>
            </w:pPr>
            <w:r w:rsidRPr="000E0FE9">
              <w:rPr>
                <w:rFonts w:ascii="Poppins" w:hAnsi="Poppins" w:cs="Poppins"/>
                <w:b/>
                <w:color w:val="000000"/>
                <w:sz w:val="18"/>
                <w:szCs w:val="18"/>
              </w:rPr>
              <w:t>Dlhý výkonnostný scenár</w:t>
            </w:r>
          </w:p>
        </w:tc>
        <w:tc>
          <w:tcPr>
            <w:tcW w:w="1260" w:type="dxa"/>
          </w:tcPr>
          <w:p w14:paraId="0BA7E03A" w14:textId="77777777" w:rsidR="000F6C27" w:rsidRPr="000E0FE9" w:rsidRDefault="00437EA0">
            <w:pPr>
              <w:pBdr>
                <w:top w:val="nil"/>
                <w:left w:val="nil"/>
                <w:bottom w:val="nil"/>
                <w:right w:val="nil"/>
                <w:between w:val="nil"/>
              </w:pBdr>
              <w:spacing w:before="1" w:line="256" w:lineRule="auto"/>
              <w:ind w:left="107"/>
              <w:rPr>
                <w:rFonts w:ascii="Poppins" w:hAnsi="Poppins" w:cs="Poppins"/>
                <w:b/>
                <w:color w:val="000000"/>
                <w:sz w:val="18"/>
                <w:szCs w:val="18"/>
              </w:rPr>
            </w:pPr>
            <w:r w:rsidRPr="000E0FE9">
              <w:rPr>
                <w:rFonts w:ascii="Poppins" w:hAnsi="Poppins" w:cs="Poppins"/>
                <w:b/>
                <w:color w:val="000000"/>
                <w:sz w:val="18"/>
                <w:szCs w:val="18"/>
              </w:rPr>
              <w:t>Výkonnosť účtu</w:t>
            </w:r>
          </w:p>
        </w:tc>
        <w:tc>
          <w:tcPr>
            <w:tcW w:w="1349" w:type="dxa"/>
          </w:tcPr>
          <w:p w14:paraId="0BA7E03B" w14:textId="77777777" w:rsidR="000F6C27" w:rsidRPr="000E0FE9" w:rsidRDefault="00437EA0">
            <w:pPr>
              <w:pBdr>
                <w:top w:val="nil"/>
                <w:left w:val="nil"/>
                <w:bottom w:val="nil"/>
                <w:right w:val="nil"/>
                <w:between w:val="nil"/>
              </w:pBdr>
              <w:spacing w:before="1" w:line="259" w:lineRule="auto"/>
              <w:ind w:left="107" w:right="365"/>
              <w:rPr>
                <w:rFonts w:ascii="Poppins" w:hAnsi="Poppins" w:cs="Poppins"/>
                <w:b/>
                <w:color w:val="000000"/>
                <w:sz w:val="18"/>
                <w:szCs w:val="18"/>
              </w:rPr>
            </w:pPr>
            <w:r w:rsidRPr="000E0FE9">
              <w:rPr>
                <w:rFonts w:ascii="Poppins" w:hAnsi="Poppins" w:cs="Poppins"/>
                <w:b/>
                <w:color w:val="000000"/>
                <w:sz w:val="18"/>
                <w:szCs w:val="18"/>
              </w:rPr>
              <w:t>Zmena ceny (mena nástroja)</w:t>
            </w:r>
          </w:p>
        </w:tc>
        <w:tc>
          <w:tcPr>
            <w:tcW w:w="1171" w:type="dxa"/>
          </w:tcPr>
          <w:p w14:paraId="0BA7E03C" w14:textId="77777777" w:rsidR="000F6C27" w:rsidRPr="000E0FE9" w:rsidRDefault="00437EA0">
            <w:pPr>
              <w:pBdr>
                <w:top w:val="nil"/>
                <w:left w:val="nil"/>
                <w:bottom w:val="nil"/>
                <w:right w:val="nil"/>
                <w:between w:val="nil"/>
              </w:pBdr>
              <w:spacing w:before="1" w:line="259" w:lineRule="auto"/>
              <w:ind w:left="107"/>
              <w:rPr>
                <w:rFonts w:ascii="Poppins" w:hAnsi="Poppins" w:cs="Poppins"/>
                <w:b/>
                <w:color w:val="000000"/>
                <w:sz w:val="18"/>
                <w:szCs w:val="18"/>
              </w:rPr>
            </w:pPr>
            <w:r w:rsidRPr="000E0FE9">
              <w:rPr>
                <w:rFonts w:ascii="Poppins" w:hAnsi="Poppins" w:cs="Poppins"/>
                <w:b/>
                <w:color w:val="000000"/>
                <w:sz w:val="18"/>
                <w:szCs w:val="18"/>
              </w:rPr>
              <w:t>Zisk/strata (mena účtu)</w:t>
            </w:r>
          </w:p>
        </w:tc>
        <w:tc>
          <w:tcPr>
            <w:tcW w:w="1260" w:type="dxa"/>
          </w:tcPr>
          <w:p w14:paraId="0BA7E03D" w14:textId="77777777" w:rsidR="000F6C27" w:rsidRPr="000E0FE9" w:rsidRDefault="00437EA0">
            <w:pPr>
              <w:pBdr>
                <w:top w:val="nil"/>
                <w:left w:val="nil"/>
                <w:bottom w:val="nil"/>
                <w:right w:val="nil"/>
                <w:between w:val="nil"/>
              </w:pBdr>
              <w:spacing w:before="1" w:line="259" w:lineRule="auto"/>
              <w:ind w:left="107"/>
              <w:rPr>
                <w:rFonts w:ascii="Poppins" w:hAnsi="Poppins" w:cs="Poppins"/>
                <w:b/>
                <w:color w:val="000000"/>
                <w:sz w:val="18"/>
                <w:szCs w:val="18"/>
              </w:rPr>
            </w:pPr>
            <w:r w:rsidRPr="000E0FE9">
              <w:rPr>
                <w:rFonts w:ascii="Poppins" w:hAnsi="Poppins" w:cs="Poppins"/>
                <w:b/>
                <w:color w:val="000000"/>
                <w:sz w:val="18"/>
                <w:szCs w:val="18"/>
              </w:rPr>
              <w:t>Krátky výkonnostný scenár</w:t>
            </w:r>
          </w:p>
        </w:tc>
        <w:tc>
          <w:tcPr>
            <w:tcW w:w="1260" w:type="dxa"/>
          </w:tcPr>
          <w:p w14:paraId="0BA7E03E" w14:textId="77777777" w:rsidR="000F6C27" w:rsidRPr="000E0FE9" w:rsidRDefault="00437EA0">
            <w:pPr>
              <w:pBdr>
                <w:top w:val="nil"/>
                <w:left w:val="nil"/>
                <w:bottom w:val="nil"/>
                <w:right w:val="nil"/>
                <w:between w:val="nil"/>
              </w:pBdr>
              <w:spacing w:before="1" w:line="256" w:lineRule="auto"/>
              <w:ind w:left="107"/>
              <w:rPr>
                <w:rFonts w:ascii="Poppins" w:hAnsi="Poppins" w:cs="Poppins"/>
                <w:b/>
                <w:color w:val="000000"/>
                <w:sz w:val="18"/>
                <w:szCs w:val="18"/>
              </w:rPr>
            </w:pPr>
            <w:r w:rsidRPr="000E0FE9">
              <w:rPr>
                <w:rFonts w:ascii="Poppins" w:hAnsi="Poppins" w:cs="Poppins"/>
                <w:b/>
                <w:color w:val="000000"/>
                <w:sz w:val="18"/>
                <w:szCs w:val="18"/>
              </w:rPr>
              <w:t>Výkonnosť účtu</w:t>
            </w:r>
          </w:p>
        </w:tc>
        <w:tc>
          <w:tcPr>
            <w:tcW w:w="1440" w:type="dxa"/>
          </w:tcPr>
          <w:p w14:paraId="0BA7E03F" w14:textId="77777777" w:rsidR="000F6C27" w:rsidRPr="000E0FE9" w:rsidRDefault="00437EA0">
            <w:pPr>
              <w:pBdr>
                <w:top w:val="nil"/>
                <w:left w:val="nil"/>
                <w:bottom w:val="nil"/>
                <w:right w:val="nil"/>
                <w:between w:val="nil"/>
              </w:pBdr>
              <w:spacing w:before="1" w:line="259" w:lineRule="auto"/>
              <w:ind w:left="107" w:right="456"/>
              <w:rPr>
                <w:rFonts w:ascii="Poppins" w:hAnsi="Poppins" w:cs="Poppins"/>
                <w:b/>
                <w:color w:val="000000"/>
                <w:sz w:val="18"/>
                <w:szCs w:val="18"/>
              </w:rPr>
            </w:pPr>
            <w:r w:rsidRPr="000E0FE9">
              <w:rPr>
                <w:rFonts w:ascii="Poppins" w:hAnsi="Poppins" w:cs="Poppins"/>
                <w:b/>
                <w:color w:val="000000"/>
                <w:sz w:val="18"/>
                <w:szCs w:val="18"/>
              </w:rPr>
              <w:t>Zmena ceny (mena nástroja)</w:t>
            </w:r>
          </w:p>
        </w:tc>
        <w:tc>
          <w:tcPr>
            <w:tcW w:w="1349" w:type="dxa"/>
          </w:tcPr>
          <w:p w14:paraId="0BA7E040" w14:textId="77777777" w:rsidR="000F6C27" w:rsidRPr="000E0FE9" w:rsidRDefault="00437EA0">
            <w:pPr>
              <w:pBdr>
                <w:top w:val="nil"/>
                <w:left w:val="nil"/>
                <w:bottom w:val="nil"/>
                <w:right w:val="nil"/>
                <w:between w:val="nil"/>
              </w:pBdr>
              <w:spacing w:line="194" w:lineRule="auto"/>
              <w:ind w:left="108"/>
              <w:rPr>
                <w:rFonts w:ascii="Poppins" w:hAnsi="Poppins" w:cs="Poppins"/>
                <w:b/>
                <w:color w:val="000000"/>
                <w:sz w:val="18"/>
                <w:szCs w:val="18"/>
              </w:rPr>
            </w:pPr>
            <w:r w:rsidRPr="000E0FE9">
              <w:rPr>
                <w:rFonts w:ascii="Poppins" w:hAnsi="Poppins" w:cs="Poppins"/>
                <w:b/>
                <w:color w:val="000000"/>
                <w:sz w:val="18"/>
                <w:szCs w:val="18"/>
              </w:rPr>
              <w:t>Strata na zisku</w:t>
            </w:r>
          </w:p>
          <w:p w14:paraId="0BA7E041" w14:textId="77777777" w:rsidR="000F6C27" w:rsidRPr="000E0FE9" w:rsidRDefault="000F6C27">
            <w:pPr>
              <w:pBdr>
                <w:top w:val="nil"/>
                <w:left w:val="nil"/>
                <w:bottom w:val="nil"/>
                <w:right w:val="nil"/>
                <w:between w:val="nil"/>
              </w:pBdr>
              <w:spacing w:before="5"/>
              <w:rPr>
                <w:rFonts w:ascii="Poppins" w:hAnsi="Poppins" w:cs="Poppins"/>
                <w:color w:val="000000"/>
                <w:sz w:val="18"/>
                <w:szCs w:val="18"/>
              </w:rPr>
            </w:pPr>
          </w:p>
          <w:p w14:paraId="0BA7E042" w14:textId="77777777" w:rsidR="000F6C27" w:rsidRPr="000E0FE9" w:rsidRDefault="00437EA0">
            <w:pPr>
              <w:pBdr>
                <w:top w:val="nil"/>
                <w:left w:val="nil"/>
                <w:bottom w:val="nil"/>
                <w:right w:val="nil"/>
                <w:between w:val="nil"/>
              </w:pBdr>
              <w:ind w:left="108" w:right="365"/>
              <w:rPr>
                <w:rFonts w:ascii="Poppins" w:hAnsi="Poppins" w:cs="Poppins"/>
                <w:b/>
                <w:color w:val="000000"/>
                <w:sz w:val="18"/>
                <w:szCs w:val="18"/>
              </w:rPr>
            </w:pPr>
            <w:r w:rsidRPr="000E0FE9">
              <w:rPr>
                <w:rFonts w:ascii="Poppins" w:hAnsi="Poppins" w:cs="Poppins"/>
                <w:b/>
                <w:color w:val="000000"/>
                <w:sz w:val="18"/>
                <w:szCs w:val="18"/>
              </w:rPr>
              <w:t>(mena účtu)</w:t>
            </w:r>
          </w:p>
        </w:tc>
      </w:tr>
      <w:tr w:rsidR="000F6C27" w:rsidRPr="000E0FE9" w14:paraId="0BA7E04C" w14:textId="77777777" w:rsidTr="000E0FE9">
        <w:trPr>
          <w:trHeight w:val="397"/>
        </w:trPr>
        <w:tc>
          <w:tcPr>
            <w:tcW w:w="1351" w:type="dxa"/>
          </w:tcPr>
          <w:p w14:paraId="0BA7E044" w14:textId="77777777" w:rsidR="000F6C27" w:rsidRPr="000E0FE9" w:rsidRDefault="00437EA0">
            <w:pPr>
              <w:pBdr>
                <w:top w:val="nil"/>
                <w:left w:val="nil"/>
                <w:bottom w:val="nil"/>
                <w:right w:val="nil"/>
                <w:between w:val="nil"/>
              </w:pBdr>
              <w:spacing w:before="1"/>
              <w:ind w:left="107"/>
              <w:rPr>
                <w:rFonts w:ascii="Poppins" w:hAnsi="Poppins" w:cs="Poppins"/>
                <w:color w:val="000000"/>
                <w:sz w:val="18"/>
                <w:szCs w:val="18"/>
              </w:rPr>
            </w:pPr>
            <w:r w:rsidRPr="000E0FE9">
              <w:rPr>
                <w:rFonts w:ascii="Poppins" w:hAnsi="Poppins" w:cs="Poppins"/>
                <w:color w:val="000000"/>
                <w:sz w:val="18"/>
                <w:szCs w:val="18"/>
              </w:rPr>
              <w:t>Priaznivý</w:t>
            </w:r>
          </w:p>
        </w:tc>
        <w:tc>
          <w:tcPr>
            <w:tcW w:w="1260" w:type="dxa"/>
          </w:tcPr>
          <w:p w14:paraId="0BA7E045" w14:textId="77777777" w:rsidR="000F6C27" w:rsidRPr="000E0FE9" w:rsidRDefault="00437EA0">
            <w:pPr>
              <w:pBdr>
                <w:top w:val="nil"/>
                <w:left w:val="nil"/>
                <w:bottom w:val="nil"/>
                <w:right w:val="nil"/>
                <w:between w:val="nil"/>
              </w:pBdr>
              <w:spacing w:before="1"/>
              <w:ind w:left="107"/>
              <w:rPr>
                <w:rFonts w:ascii="Poppins" w:hAnsi="Poppins" w:cs="Poppins"/>
                <w:color w:val="000000"/>
                <w:sz w:val="18"/>
                <w:szCs w:val="18"/>
              </w:rPr>
            </w:pPr>
            <w:r w:rsidRPr="000E0FE9">
              <w:rPr>
                <w:rFonts w:ascii="Poppins" w:hAnsi="Poppins" w:cs="Poppins"/>
                <w:color w:val="000000"/>
                <w:sz w:val="18"/>
                <w:szCs w:val="18"/>
              </w:rPr>
              <w:t>12 %</w:t>
            </w:r>
          </w:p>
        </w:tc>
        <w:tc>
          <w:tcPr>
            <w:tcW w:w="1349" w:type="dxa"/>
          </w:tcPr>
          <w:p w14:paraId="0BA7E046" w14:textId="77777777" w:rsidR="000F6C27" w:rsidRPr="000E0FE9" w:rsidRDefault="00437EA0">
            <w:pPr>
              <w:pBdr>
                <w:top w:val="nil"/>
                <w:left w:val="nil"/>
                <w:bottom w:val="nil"/>
                <w:right w:val="nil"/>
                <w:between w:val="nil"/>
              </w:pBdr>
              <w:spacing w:before="1"/>
              <w:ind w:left="107"/>
              <w:rPr>
                <w:rFonts w:ascii="Poppins" w:hAnsi="Poppins" w:cs="Poppins"/>
                <w:color w:val="000000"/>
                <w:sz w:val="18"/>
                <w:szCs w:val="18"/>
              </w:rPr>
            </w:pPr>
            <w:r w:rsidRPr="000E0FE9">
              <w:rPr>
                <w:rFonts w:ascii="Poppins" w:hAnsi="Poppins" w:cs="Poppins"/>
                <w:color w:val="000000"/>
                <w:sz w:val="18"/>
                <w:szCs w:val="18"/>
              </w:rPr>
              <w:t>+1,13 USD</w:t>
            </w:r>
          </w:p>
        </w:tc>
        <w:tc>
          <w:tcPr>
            <w:tcW w:w="1171" w:type="dxa"/>
          </w:tcPr>
          <w:p w14:paraId="0BA7E047" w14:textId="77777777" w:rsidR="000F6C27" w:rsidRPr="000E0FE9" w:rsidRDefault="00437EA0">
            <w:pPr>
              <w:pBdr>
                <w:top w:val="nil"/>
                <w:left w:val="nil"/>
                <w:bottom w:val="nil"/>
                <w:right w:val="nil"/>
                <w:between w:val="nil"/>
              </w:pBdr>
              <w:spacing w:before="1"/>
              <w:ind w:left="107"/>
              <w:rPr>
                <w:rFonts w:ascii="Poppins" w:hAnsi="Poppins" w:cs="Poppins"/>
                <w:color w:val="000000"/>
                <w:sz w:val="18"/>
                <w:szCs w:val="18"/>
              </w:rPr>
            </w:pPr>
            <w:r w:rsidRPr="000E0FE9">
              <w:rPr>
                <w:rFonts w:ascii="Poppins" w:hAnsi="Poppins" w:cs="Poppins"/>
                <w:color w:val="000000"/>
                <w:sz w:val="18"/>
                <w:szCs w:val="18"/>
              </w:rPr>
              <w:t>+11,26 USD</w:t>
            </w:r>
          </w:p>
        </w:tc>
        <w:tc>
          <w:tcPr>
            <w:tcW w:w="1260" w:type="dxa"/>
          </w:tcPr>
          <w:p w14:paraId="0BA7E048" w14:textId="77777777" w:rsidR="000F6C27" w:rsidRPr="000E0FE9" w:rsidRDefault="00437EA0">
            <w:pPr>
              <w:pBdr>
                <w:top w:val="nil"/>
                <w:left w:val="nil"/>
                <w:bottom w:val="nil"/>
                <w:right w:val="nil"/>
                <w:between w:val="nil"/>
              </w:pBdr>
              <w:spacing w:before="1"/>
              <w:ind w:left="107"/>
              <w:rPr>
                <w:rFonts w:ascii="Poppins" w:hAnsi="Poppins" w:cs="Poppins"/>
                <w:color w:val="000000"/>
                <w:sz w:val="18"/>
                <w:szCs w:val="18"/>
              </w:rPr>
            </w:pPr>
            <w:r w:rsidRPr="000E0FE9">
              <w:rPr>
                <w:rFonts w:ascii="Poppins" w:hAnsi="Poppins" w:cs="Poppins"/>
                <w:color w:val="000000"/>
                <w:sz w:val="18"/>
                <w:szCs w:val="18"/>
              </w:rPr>
              <w:t>Priaznivý</w:t>
            </w:r>
          </w:p>
        </w:tc>
        <w:tc>
          <w:tcPr>
            <w:tcW w:w="1260" w:type="dxa"/>
          </w:tcPr>
          <w:p w14:paraId="0BA7E049" w14:textId="77777777" w:rsidR="000F6C27" w:rsidRPr="000E0FE9" w:rsidRDefault="00437EA0">
            <w:pPr>
              <w:pBdr>
                <w:top w:val="nil"/>
                <w:left w:val="nil"/>
                <w:bottom w:val="nil"/>
                <w:right w:val="nil"/>
                <w:between w:val="nil"/>
              </w:pBdr>
              <w:spacing w:before="1"/>
              <w:ind w:left="107"/>
              <w:rPr>
                <w:rFonts w:ascii="Poppins" w:hAnsi="Poppins" w:cs="Poppins"/>
                <w:color w:val="000000"/>
                <w:sz w:val="18"/>
                <w:szCs w:val="18"/>
              </w:rPr>
            </w:pPr>
            <w:r w:rsidRPr="000E0FE9">
              <w:rPr>
                <w:rFonts w:ascii="Poppins" w:hAnsi="Poppins" w:cs="Poppins"/>
                <w:color w:val="000000"/>
                <w:sz w:val="18"/>
                <w:szCs w:val="18"/>
              </w:rPr>
              <w:t>-12 %</w:t>
            </w:r>
          </w:p>
        </w:tc>
        <w:tc>
          <w:tcPr>
            <w:tcW w:w="1440" w:type="dxa"/>
          </w:tcPr>
          <w:p w14:paraId="0BA7E04A" w14:textId="77777777" w:rsidR="000F6C27" w:rsidRPr="000E0FE9" w:rsidRDefault="00437EA0">
            <w:pPr>
              <w:pBdr>
                <w:top w:val="nil"/>
                <w:left w:val="nil"/>
                <w:bottom w:val="nil"/>
                <w:right w:val="nil"/>
                <w:between w:val="nil"/>
              </w:pBdr>
              <w:spacing w:before="1"/>
              <w:ind w:left="107"/>
              <w:rPr>
                <w:rFonts w:ascii="Poppins" w:hAnsi="Poppins" w:cs="Poppins"/>
                <w:color w:val="000000"/>
                <w:sz w:val="18"/>
                <w:szCs w:val="18"/>
              </w:rPr>
            </w:pPr>
            <w:r w:rsidRPr="000E0FE9">
              <w:rPr>
                <w:rFonts w:ascii="Poppins" w:hAnsi="Poppins" w:cs="Poppins"/>
                <w:color w:val="000000"/>
                <w:sz w:val="18"/>
                <w:szCs w:val="18"/>
              </w:rPr>
              <w:t>-1,13 USD</w:t>
            </w:r>
          </w:p>
        </w:tc>
        <w:tc>
          <w:tcPr>
            <w:tcW w:w="1349" w:type="dxa"/>
          </w:tcPr>
          <w:p w14:paraId="0BA7E04B" w14:textId="77777777" w:rsidR="000F6C27" w:rsidRPr="000E0FE9" w:rsidRDefault="00437EA0">
            <w:pPr>
              <w:pBdr>
                <w:top w:val="nil"/>
                <w:left w:val="nil"/>
                <w:bottom w:val="nil"/>
                <w:right w:val="nil"/>
                <w:between w:val="nil"/>
              </w:pBdr>
              <w:spacing w:before="1"/>
              <w:ind w:left="108"/>
              <w:rPr>
                <w:rFonts w:ascii="Poppins" w:hAnsi="Poppins" w:cs="Poppins"/>
                <w:color w:val="000000"/>
                <w:sz w:val="18"/>
                <w:szCs w:val="18"/>
              </w:rPr>
            </w:pPr>
            <w:r w:rsidRPr="000E0FE9">
              <w:rPr>
                <w:rFonts w:ascii="Poppins" w:hAnsi="Poppins" w:cs="Poppins"/>
                <w:color w:val="000000"/>
                <w:sz w:val="18"/>
                <w:szCs w:val="18"/>
              </w:rPr>
              <w:t>+11,26 USD</w:t>
            </w:r>
          </w:p>
        </w:tc>
      </w:tr>
    </w:tbl>
    <w:p w14:paraId="0BA7E04D" w14:textId="77777777" w:rsidR="000F6C27" w:rsidRPr="000E0FE9" w:rsidRDefault="000F6C27">
      <w:pPr>
        <w:rPr>
          <w:rFonts w:ascii="Poppins" w:hAnsi="Poppins" w:cs="Poppins"/>
          <w:sz w:val="18"/>
          <w:szCs w:val="18"/>
        </w:rPr>
        <w:sectPr w:rsidR="000F6C27" w:rsidRPr="000E0FE9" w:rsidSect="000E0FE9">
          <w:headerReference w:type="default" r:id="rId13"/>
          <w:footerReference w:type="default" r:id="rId14"/>
          <w:pgSz w:w="12240" w:h="15840"/>
          <w:pgMar w:top="2016" w:right="1440" w:bottom="2016" w:left="1440" w:header="0" w:footer="552" w:gutter="0"/>
          <w:cols w:space="720"/>
          <w:docGrid w:linePitch="299"/>
        </w:sectPr>
      </w:pPr>
    </w:p>
    <w:p w14:paraId="0BA7E04E" w14:textId="77777777" w:rsidR="000F6C27" w:rsidRPr="000E0FE9" w:rsidRDefault="000F6C27">
      <w:pPr>
        <w:pBdr>
          <w:top w:val="nil"/>
          <w:left w:val="nil"/>
          <w:bottom w:val="nil"/>
          <w:right w:val="nil"/>
          <w:between w:val="nil"/>
        </w:pBdr>
        <w:spacing w:line="276" w:lineRule="auto"/>
        <w:rPr>
          <w:rFonts w:ascii="Poppins" w:hAnsi="Poppins" w:cs="Poppins"/>
          <w:sz w:val="18"/>
          <w:szCs w:val="18"/>
        </w:rPr>
      </w:pPr>
    </w:p>
    <w:tbl>
      <w:tblPr>
        <w:tblStyle w:val="ListTable6Colorful-Accent2"/>
        <w:tblW w:w="10440" w:type="dxa"/>
        <w:tblLayout w:type="fixed"/>
        <w:tblLook w:val="0400" w:firstRow="0" w:lastRow="0" w:firstColumn="0" w:lastColumn="0" w:noHBand="0" w:noVBand="1"/>
      </w:tblPr>
      <w:tblGrid>
        <w:gridCol w:w="1351"/>
        <w:gridCol w:w="1260"/>
        <w:gridCol w:w="1349"/>
        <w:gridCol w:w="1171"/>
        <w:gridCol w:w="1260"/>
        <w:gridCol w:w="1260"/>
        <w:gridCol w:w="1440"/>
        <w:gridCol w:w="1349"/>
      </w:tblGrid>
      <w:tr w:rsidR="000F6C27" w:rsidRPr="000E0FE9" w14:paraId="0BA7E057" w14:textId="77777777" w:rsidTr="000E0FE9">
        <w:trPr>
          <w:cnfStyle w:val="000000100000" w:firstRow="0" w:lastRow="0" w:firstColumn="0" w:lastColumn="0" w:oddVBand="0" w:evenVBand="0" w:oddHBand="1" w:evenHBand="0" w:firstRowFirstColumn="0" w:firstRowLastColumn="0" w:lastRowFirstColumn="0" w:lastRowLastColumn="0"/>
          <w:trHeight w:val="397"/>
        </w:trPr>
        <w:tc>
          <w:tcPr>
            <w:tcW w:w="1351" w:type="dxa"/>
          </w:tcPr>
          <w:p w14:paraId="0BA7E04F" w14:textId="77777777" w:rsidR="000F6C27" w:rsidRPr="000E0FE9" w:rsidRDefault="00437EA0">
            <w:pPr>
              <w:pBdr>
                <w:top w:val="nil"/>
                <w:left w:val="nil"/>
                <w:bottom w:val="nil"/>
                <w:right w:val="nil"/>
                <w:between w:val="nil"/>
              </w:pBdr>
              <w:spacing w:line="219" w:lineRule="auto"/>
              <w:ind w:left="107"/>
              <w:rPr>
                <w:rFonts w:ascii="Poppins" w:hAnsi="Poppins" w:cs="Poppins"/>
                <w:color w:val="000000"/>
                <w:sz w:val="18"/>
                <w:szCs w:val="18"/>
              </w:rPr>
            </w:pPr>
            <w:r w:rsidRPr="000E0FE9">
              <w:rPr>
                <w:rFonts w:ascii="Poppins" w:hAnsi="Poppins" w:cs="Poppins"/>
                <w:color w:val="000000"/>
                <w:sz w:val="18"/>
                <w:szCs w:val="18"/>
              </w:rPr>
              <w:t>Mierne</w:t>
            </w:r>
          </w:p>
        </w:tc>
        <w:tc>
          <w:tcPr>
            <w:tcW w:w="1260" w:type="dxa"/>
          </w:tcPr>
          <w:p w14:paraId="0BA7E050" w14:textId="77777777" w:rsidR="000F6C27" w:rsidRPr="000E0FE9" w:rsidRDefault="00437EA0">
            <w:pPr>
              <w:pBdr>
                <w:top w:val="nil"/>
                <w:left w:val="nil"/>
                <w:bottom w:val="nil"/>
                <w:right w:val="nil"/>
                <w:between w:val="nil"/>
              </w:pBdr>
              <w:spacing w:line="194" w:lineRule="auto"/>
              <w:ind w:left="107"/>
              <w:rPr>
                <w:rFonts w:ascii="Poppins" w:hAnsi="Poppins" w:cs="Poppins"/>
                <w:color w:val="000000"/>
                <w:sz w:val="18"/>
                <w:szCs w:val="18"/>
              </w:rPr>
            </w:pPr>
            <w:r w:rsidRPr="000E0FE9">
              <w:rPr>
                <w:rFonts w:ascii="Poppins" w:hAnsi="Poppins" w:cs="Poppins"/>
                <w:color w:val="000000"/>
                <w:sz w:val="18"/>
                <w:szCs w:val="18"/>
              </w:rPr>
              <w:t>6%</w:t>
            </w:r>
          </w:p>
        </w:tc>
        <w:tc>
          <w:tcPr>
            <w:tcW w:w="1349" w:type="dxa"/>
          </w:tcPr>
          <w:p w14:paraId="0BA7E051" w14:textId="77777777" w:rsidR="000F6C27" w:rsidRPr="000E0FE9" w:rsidRDefault="00437EA0">
            <w:pPr>
              <w:pBdr>
                <w:top w:val="nil"/>
                <w:left w:val="nil"/>
                <w:bottom w:val="nil"/>
                <w:right w:val="nil"/>
                <w:between w:val="nil"/>
              </w:pBdr>
              <w:spacing w:line="194" w:lineRule="auto"/>
              <w:ind w:left="107"/>
              <w:rPr>
                <w:rFonts w:ascii="Poppins" w:hAnsi="Poppins" w:cs="Poppins"/>
                <w:color w:val="000000"/>
                <w:sz w:val="18"/>
                <w:szCs w:val="18"/>
              </w:rPr>
            </w:pPr>
            <w:r w:rsidRPr="000E0FE9">
              <w:rPr>
                <w:rFonts w:ascii="Poppins" w:hAnsi="Poppins" w:cs="Poppins"/>
                <w:color w:val="000000"/>
                <w:sz w:val="18"/>
                <w:szCs w:val="18"/>
              </w:rPr>
              <w:t>+0,56 USD</w:t>
            </w:r>
          </w:p>
        </w:tc>
        <w:tc>
          <w:tcPr>
            <w:tcW w:w="1171" w:type="dxa"/>
          </w:tcPr>
          <w:p w14:paraId="0BA7E052" w14:textId="77777777" w:rsidR="000F6C27" w:rsidRPr="000E0FE9" w:rsidRDefault="00437EA0">
            <w:pPr>
              <w:pBdr>
                <w:top w:val="nil"/>
                <w:left w:val="nil"/>
                <w:bottom w:val="nil"/>
                <w:right w:val="nil"/>
                <w:between w:val="nil"/>
              </w:pBdr>
              <w:spacing w:line="194" w:lineRule="auto"/>
              <w:ind w:left="107"/>
              <w:rPr>
                <w:rFonts w:ascii="Poppins" w:hAnsi="Poppins" w:cs="Poppins"/>
                <w:color w:val="000000"/>
                <w:sz w:val="18"/>
                <w:szCs w:val="18"/>
              </w:rPr>
            </w:pPr>
            <w:r w:rsidRPr="000E0FE9">
              <w:rPr>
                <w:rFonts w:ascii="Poppins" w:hAnsi="Poppins" w:cs="Poppins"/>
                <w:color w:val="000000"/>
                <w:sz w:val="18"/>
                <w:szCs w:val="18"/>
              </w:rPr>
              <w:t>+5,63 USD</w:t>
            </w:r>
          </w:p>
        </w:tc>
        <w:tc>
          <w:tcPr>
            <w:tcW w:w="1260" w:type="dxa"/>
          </w:tcPr>
          <w:p w14:paraId="0BA7E053" w14:textId="77777777" w:rsidR="000F6C27" w:rsidRPr="000E0FE9" w:rsidRDefault="00437EA0">
            <w:pPr>
              <w:pBdr>
                <w:top w:val="nil"/>
                <w:left w:val="nil"/>
                <w:bottom w:val="nil"/>
                <w:right w:val="nil"/>
                <w:between w:val="nil"/>
              </w:pBdr>
              <w:spacing w:line="194" w:lineRule="auto"/>
              <w:ind w:left="107"/>
              <w:rPr>
                <w:rFonts w:ascii="Poppins" w:hAnsi="Poppins" w:cs="Poppins"/>
                <w:color w:val="000000"/>
                <w:sz w:val="18"/>
                <w:szCs w:val="18"/>
              </w:rPr>
            </w:pPr>
            <w:r w:rsidRPr="000E0FE9">
              <w:rPr>
                <w:rFonts w:ascii="Poppins" w:hAnsi="Poppins" w:cs="Poppins"/>
                <w:color w:val="000000"/>
                <w:sz w:val="18"/>
                <w:szCs w:val="18"/>
              </w:rPr>
              <w:t>Mierne</w:t>
            </w:r>
          </w:p>
        </w:tc>
        <w:tc>
          <w:tcPr>
            <w:tcW w:w="1260" w:type="dxa"/>
          </w:tcPr>
          <w:p w14:paraId="0BA7E054" w14:textId="77777777" w:rsidR="000F6C27" w:rsidRPr="000E0FE9" w:rsidRDefault="00437EA0">
            <w:pPr>
              <w:pBdr>
                <w:top w:val="nil"/>
                <w:left w:val="nil"/>
                <w:bottom w:val="nil"/>
                <w:right w:val="nil"/>
                <w:between w:val="nil"/>
              </w:pBdr>
              <w:spacing w:line="194" w:lineRule="auto"/>
              <w:ind w:left="107"/>
              <w:rPr>
                <w:rFonts w:ascii="Poppins" w:hAnsi="Poppins" w:cs="Poppins"/>
                <w:color w:val="000000"/>
                <w:sz w:val="18"/>
                <w:szCs w:val="18"/>
              </w:rPr>
            </w:pPr>
            <w:r w:rsidRPr="000E0FE9">
              <w:rPr>
                <w:rFonts w:ascii="Poppins" w:hAnsi="Poppins" w:cs="Poppins"/>
                <w:color w:val="000000"/>
                <w:sz w:val="18"/>
                <w:szCs w:val="18"/>
              </w:rPr>
              <w:t>-6%</w:t>
            </w:r>
          </w:p>
        </w:tc>
        <w:tc>
          <w:tcPr>
            <w:tcW w:w="1440" w:type="dxa"/>
          </w:tcPr>
          <w:p w14:paraId="0BA7E055" w14:textId="77777777" w:rsidR="000F6C27" w:rsidRPr="000E0FE9" w:rsidRDefault="00437EA0">
            <w:pPr>
              <w:pBdr>
                <w:top w:val="nil"/>
                <w:left w:val="nil"/>
                <w:bottom w:val="nil"/>
                <w:right w:val="nil"/>
                <w:between w:val="nil"/>
              </w:pBdr>
              <w:spacing w:line="194" w:lineRule="auto"/>
              <w:ind w:left="107"/>
              <w:rPr>
                <w:rFonts w:ascii="Poppins" w:hAnsi="Poppins" w:cs="Poppins"/>
                <w:color w:val="000000"/>
                <w:sz w:val="18"/>
                <w:szCs w:val="18"/>
              </w:rPr>
            </w:pPr>
            <w:r w:rsidRPr="000E0FE9">
              <w:rPr>
                <w:rFonts w:ascii="Poppins" w:hAnsi="Poppins" w:cs="Poppins"/>
                <w:color w:val="000000"/>
                <w:sz w:val="18"/>
                <w:szCs w:val="18"/>
              </w:rPr>
              <w:t>-0,56 USD</w:t>
            </w:r>
          </w:p>
        </w:tc>
        <w:tc>
          <w:tcPr>
            <w:tcW w:w="1349" w:type="dxa"/>
          </w:tcPr>
          <w:p w14:paraId="0BA7E056" w14:textId="77777777" w:rsidR="000F6C27" w:rsidRPr="000E0FE9" w:rsidRDefault="00437EA0">
            <w:pPr>
              <w:pBdr>
                <w:top w:val="nil"/>
                <w:left w:val="nil"/>
                <w:bottom w:val="nil"/>
                <w:right w:val="nil"/>
                <w:between w:val="nil"/>
              </w:pBdr>
              <w:spacing w:line="194" w:lineRule="auto"/>
              <w:ind w:left="108"/>
              <w:rPr>
                <w:rFonts w:ascii="Poppins" w:hAnsi="Poppins" w:cs="Poppins"/>
                <w:color w:val="000000"/>
                <w:sz w:val="18"/>
                <w:szCs w:val="18"/>
              </w:rPr>
            </w:pPr>
            <w:r w:rsidRPr="000E0FE9">
              <w:rPr>
                <w:rFonts w:ascii="Poppins" w:hAnsi="Poppins" w:cs="Poppins"/>
                <w:color w:val="000000"/>
                <w:sz w:val="18"/>
                <w:szCs w:val="18"/>
              </w:rPr>
              <w:t>+5,63 USD</w:t>
            </w:r>
          </w:p>
        </w:tc>
      </w:tr>
      <w:tr w:rsidR="000F6C27" w:rsidRPr="000E0FE9" w14:paraId="0BA7E060" w14:textId="77777777" w:rsidTr="000E0FE9">
        <w:trPr>
          <w:trHeight w:val="395"/>
        </w:trPr>
        <w:tc>
          <w:tcPr>
            <w:tcW w:w="1351" w:type="dxa"/>
          </w:tcPr>
          <w:p w14:paraId="0BA7E058" w14:textId="77777777" w:rsidR="000F6C27" w:rsidRPr="000E0FE9" w:rsidRDefault="00437EA0">
            <w:pPr>
              <w:pBdr>
                <w:top w:val="nil"/>
                <w:left w:val="nil"/>
                <w:bottom w:val="nil"/>
                <w:right w:val="nil"/>
                <w:between w:val="nil"/>
              </w:pBdr>
              <w:spacing w:line="219" w:lineRule="auto"/>
              <w:ind w:left="107"/>
              <w:rPr>
                <w:rFonts w:ascii="Poppins" w:hAnsi="Poppins" w:cs="Poppins"/>
                <w:color w:val="000000"/>
                <w:sz w:val="18"/>
                <w:szCs w:val="18"/>
              </w:rPr>
            </w:pPr>
            <w:r w:rsidRPr="000E0FE9">
              <w:rPr>
                <w:rFonts w:ascii="Poppins" w:hAnsi="Poppins" w:cs="Poppins"/>
                <w:color w:val="000000"/>
                <w:sz w:val="18"/>
                <w:szCs w:val="18"/>
              </w:rPr>
              <w:t>Nepriaznivé</w:t>
            </w:r>
          </w:p>
        </w:tc>
        <w:tc>
          <w:tcPr>
            <w:tcW w:w="1260" w:type="dxa"/>
          </w:tcPr>
          <w:p w14:paraId="0BA7E059" w14:textId="77777777" w:rsidR="000F6C27" w:rsidRPr="000E0FE9" w:rsidRDefault="00437EA0">
            <w:pPr>
              <w:pBdr>
                <w:top w:val="nil"/>
                <w:left w:val="nil"/>
                <w:bottom w:val="nil"/>
                <w:right w:val="nil"/>
                <w:between w:val="nil"/>
              </w:pBdr>
              <w:spacing w:line="194" w:lineRule="auto"/>
              <w:ind w:left="107"/>
              <w:rPr>
                <w:rFonts w:ascii="Poppins" w:hAnsi="Poppins" w:cs="Poppins"/>
                <w:color w:val="000000"/>
                <w:sz w:val="18"/>
                <w:szCs w:val="18"/>
              </w:rPr>
            </w:pPr>
            <w:r w:rsidRPr="000E0FE9">
              <w:rPr>
                <w:rFonts w:ascii="Poppins" w:hAnsi="Poppins" w:cs="Poppins"/>
                <w:color w:val="000000"/>
                <w:sz w:val="18"/>
                <w:szCs w:val="18"/>
              </w:rPr>
              <w:t>-3%</w:t>
            </w:r>
          </w:p>
        </w:tc>
        <w:tc>
          <w:tcPr>
            <w:tcW w:w="1349" w:type="dxa"/>
          </w:tcPr>
          <w:p w14:paraId="0BA7E05A" w14:textId="77777777" w:rsidR="000F6C27" w:rsidRPr="000E0FE9" w:rsidRDefault="00437EA0">
            <w:pPr>
              <w:pBdr>
                <w:top w:val="nil"/>
                <w:left w:val="nil"/>
                <w:bottom w:val="nil"/>
                <w:right w:val="nil"/>
                <w:between w:val="nil"/>
              </w:pBdr>
              <w:spacing w:line="194" w:lineRule="auto"/>
              <w:ind w:left="107"/>
              <w:rPr>
                <w:rFonts w:ascii="Poppins" w:hAnsi="Poppins" w:cs="Poppins"/>
                <w:color w:val="000000"/>
                <w:sz w:val="18"/>
                <w:szCs w:val="18"/>
              </w:rPr>
            </w:pPr>
            <w:r w:rsidRPr="000E0FE9">
              <w:rPr>
                <w:rFonts w:ascii="Poppins" w:hAnsi="Poppins" w:cs="Poppins"/>
                <w:color w:val="000000"/>
                <w:sz w:val="18"/>
                <w:szCs w:val="18"/>
              </w:rPr>
              <w:t>-0,28 USD</w:t>
            </w:r>
          </w:p>
        </w:tc>
        <w:tc>
          <w:tcPr>
            <w:tcW w:w="1171" w:type="dxa"/>
          </w:tcPr>
          <w:p w14:paraId="0BA7E05B" w14:textId="77777777" w:rsidR="000F6C27" w:rsidRPr="000E0FE9" w:rsidRDefault="00437EA0">
            <w:pPr>
              <w:pBdr>
                <w:top w:val="nil"/>
                <w:left w:val="nil"/>
                <w:bottom w:val="nil"/>
                <w:right w:val="nil"/>
                <w:between w:val="nil"/>
              </w:pBdr>
              <w:spacing w:line="194" w:lineRule="auto"/>
              <w:ind w:left="107"/>
              <w:rPr>
                <w:rFonts w:ascii="Poppins" w:hAnsi="Poppins" w:cs="Poppins"/>
                <w:color w:val="000000"/>
                <w:sz w:val="18"/>
                <w:szCs w:val="18"/>
              </w:rPr>
            </w:pPr>
            <w:r w:rsidRPr="000E0FE9">
              <w:rPr>
                <w:rFonts w:ascii="Poppins" w:hAnsi="Poppins" w:cs="Poppins"/>
                <w:color w:val="000000"/>
                <w:sz w:val="18"/>
                <w:szCs w:val="18"/>
              </w:rPr>
              <w:t>-2,81 USD</w:t>
            </w:r>
          </w:p>
        </w:tc>
        <w:tc>
          <w:tcPr>
            <w:tcW w:w="1260" w:type="dxa"/>
          </w:tcPr>
          <w:p w14:paraId="0BA7E05C" w14:textId="77777777" w:rsidR="000F6C27" w:rsidRPr="000E0FE9" w:rsidRDefault="00437EA0">
            <w:pPr>
              <w:pBdr>
                <w:top w:val="nil"/>
                <w:left w:val="nil"/>
                <w:bottom w:val="nil"/>
                <w:right w:val="nil"/>
                <w:between w:val="nil"/>
              </w:pBdr>
              <w:spacing w:line="194" w:lineRule="auto"/>
              <w:ind w:left="107"/>
              <w:rPr>
                <w:rFonts w:ascii="Poppins" w:hAnsi="Poppins" w:cs="Poppins"/>
                <w:color w:val="000000"/>
                <w:sz w:val="18"/>
                <w:szCs w:val="18"/>
              </w:rPr>
            </w:pPr>
            <w:r w:rsidRPr="000E0FE9">
              <w:rPr>
                <w:rFonts w:ascii="Poppins" w:hAnsi="Poppins" w:cs="Poppins"/>
                <w:color w:val="000000"/>
                <w:sz w:val="18"/>
                <w:szCs w:val="18"/>
              </w:rPr>
              <w:t>Nepriaznivé</w:t>
            </w:r>
          </w:p>
        </w:tc>
        <w:tc>
          <w:tcPr>
            <w:tcW w:w="1260" w:type="dxa"/>
          </w:tcPr>
          <w:p w14:paraId="0BA7E05D" w14:textId="77777777" w:rsidR="000F6C27" w:rsidRPr="000E0FE9" w:rsidRDefault="00437EA0">
            <w:pPr>
              <w:pBdr>
                <w:top w:val="nil"/>
                <w:left w:val="nil"/>
                <w:bottom w:val="nil"/>
                <w:right w:val="nil"/>
                <w:between w:val="nil"/>
              </w:pBdr>
              <w:spacing w:line="194" w:lineRule="auto"/>
              <w:ind w:left="107"/>
              <w:rPr>
                <w:rFonts w:ascii="Poppins" w:hAnsi="Poppins" w:cs="Poppins"/>
                <w:color w:val="000000"/>
                <w:sz w:val="18"/>
                <w:szCs w:val="18"/>
              </w:rPr>
            </w:pPr>
            <w:r w:rsidRPr="000E0FE9">
              <w:rPr>
                <w:rFonts w:ascii="Poppins" w:hAnsi="Poppins" w:cs="Poppins"/>
                <w:color w:val="000000"/>
                <w:sz w:val="18"/>
                <w:szCs w:val="18"/>
              </w:rPr>
              <w:t>3%</w:t>
            </w:r>
          </w:p>
        </w:tc>
        <w:tc>
          <w:tcPr>
            <w:tcW w:w="1440" w:type="dxa"/>
          </w:tcPr>
          <w:p w14:paraId="0BA7E05E" w14:textId="77777777" w:rsidR="000F6C27" w:rsidRPr="000E0FE9" w:rsidRDefault="00437EA0">
            <w:pPr>
              <w:pBdr>
                <w:top w:val="nil"/>
                <w:left w:val="nil"/>
                <w:bottom w:val="nil"/>
                <w:right w:val="nil"/>
                <w:between w:val="nil"/>
              </w:pBdr>
              <w:spacing w:line="194" w:lineRule="auto"/>
              <w:ind w:left="107"/>
              <w:rPr>
                <w:rFonts w:ascii="Poppins" w:hAnsi="Poppins" w:cs="Poppins"/>
                <w:color w:val="000000"/>
                <w:sz w:val="18"/>
                <w:szCs w:val="18"/>
              </w:rPr>
            </w:pPr>
            <w:r w:rsidRPr="000E0FE9">
              <w:rPr>
                <w:rFonts w:ascii="Poppins" w:hAnsi="Poppins" w:cs="Poppins"/>
                <w:color w:val="000000"/>
                <w:sz w:val="18"/>
                <w:szCs w:val="18"/>
              </w:rPr>
              <w:t>+0,28 USD</w:t>
            </w:r>
          </w:p>
        </w:tc>
        <w:tc>
          <w:tcPr>
            <w:tcW w:w="1349" w:type="dxa"/>
          </w:tcPr>
          <w:p w14:paraId="0BA7E05F" w14:textId="77777777" w:rsidR="000F6C27" w:rsidRPr="000E0FE9" w:rsidRDefault="00437EA0">
            <w:pPr>
              <w:pBdr>
                <w:top w:val="nil"/>
                <w:left w:val="nil"/>
                <w:bottom w:val="nil"/>
                <w:right w:val="nil"/>
                <w:between w:val="nil"/>
              </w:pBdr>
              <w:spacing w:line="194" w:lineRule="auto"/>
              <w:ind w:left="108"/>
              <w:rPr>
                <w:rFonts w:ascii="Poppins" w:hAnsi="Poppins" w:cs="Poppins"/>
                <w:color w:val="000000"/>
                <w:sz w:val="18"/>
                <w:szCs w:val="18"/>
              </w:rPr>
            </w:pPr>
            <w:r w:rsidRPr="000E0FE9">
              <w:rPr>
                <w:rFonts w:ascii="Poppins" w:hAnsi="Poppins" w:cs="Poppins"/>
                <w:color w:val="000000"/>
                <w:sz w:val="18"/>
                <w:szCs w:val="18"/>
              </w:rPr>
              <w:t>-2,81 USD</w:t>
            </w:r>
          </w:p>
        </w:tc>
      </w:tr>
      <w:tr w:rsidR="000F6C27" w:rsidRPr="000E0FE9" w14:paraId="0BA7E069" w14:textId="77777777" w:rsidTr="000E0FE9">
        <w:trPr>
          <w:cnfStyle w:val="000000100000" w:firstRow="0" w:lastRow="0" w:firstColumn="0" w:lastColumn="0" w:oddVBand="0" w:evenVBand="0" w:oddHBand="1" w:evenHBand="0" w:firstRowFirstColumn="0" w:firstRowLastColumn="0" w:lastRowFirstColumn="0" w:lastRowLastColumn="0"/>
          <w:trHeight w:val="397"/>
        </w:trPr>
        <w:tc>
          <w:tcPr>
            <w:tcW w:w="1351" w:type="dxa"/>
          </w:tcPr>
          <w:p w14:paraId="0BA7E061" w14:textId="77777777" w:rsidR="000F6C27" w:rsidRPr="000E0FE9" w:rsidRDefault="00437EA0">
            <w:pPr>
              <w:pBdr>
                <w:top w:val="nil"/>
                <w:left w:val="nil"/>
                <w:bottom w:val="nil"/>
                <w:right w:val="nil"/>
                <w:between w:val="nil"/>
              </w:pBdr>
              <w:spacing w:line="219" w:lineRule="auto"/>
              <w:ind w:left="107"/>
              <w:rPr>
                <w:rFonts w:ascii="Poppins" w:hAnsi="Poppins" w:cs="Poppins"/>
                <w:color w:val="000000"/>
                <w:sz w:val="18"/>
                <w:szCs w:val="18"/>
              </w:rPr>
            </w:pPr>
            <w:r w:rsidRPr="000E0FE9">
              <w:rPr>
                <w:rFonts w:ascii="Poppins" w:hAnsi="Poppins" w:cs="Poppins"/>
                <w:color w:val="000000"/>
                <w:sz w:val="18"/>
                <w:szCs w:val="18"/>
              </w:rPr>
              <w:t>Stres</w:t>
            </w:r>
          </w:p>
        </w:tc>
        <w:tc>
          <w:tcPr>
            <w:tcW w:w="1260" w:type="dxa"/>
          </w:tcPr>
          <w:p w14:paraId="0BA7E062" w14:textId="77777777" w:rsidR="000F6C27" w:rsidRPr="000E0FE9" w:rsidRDefault="00437EA0">
            <w:pPr>
              <w:pBdr>
                <w:top w:val="nil"/>
                <w:left w:val="nil"/>
                <w:bottom w:val="nil"/>
                <w:right w:val="nil"/>
                <w:between w:val="nil"/>
              </w:pBdr>
              <w:spacing w:line="194" w:lineRule="auto"/>
              <w:ind w:left="107"/>
              <w:rPr>
                <w:rFonts w:ascii="Poppins" w:hAnsi="Poppins" w:cs="Poppins"/>
                <w:color w:val="000000"/>
                <w:sz w:val="18"/>
                <w:szCs w:val="18"/>
              </w:rPr>
            </w:pPr>
            <w:r w:rsidRPr="000E0FE9">
              <w:rPr>
                <w:rFonts w:ascii="Poppins" w:hAnsi="Poppins" w:cs="Poppins"/>
                <w:color w:val="000000"/>
                <w:sz w:val="18"/>
                <w:szCs w:val="18"/>
              </w:rPr>
              <w:t>-8%</w:t>
            </w:r>
          </w:p>
        </w:tc>
        <w:tc>
          <w:tcPr>
            <w:tcW w:w="1349" w:type="dxa"/>
          </w:tcPr>
          <w:p w14:paraId="0BA7E063" w14:textId="77777777" w:rsidR="000F6C27" w:rsidRPr="000E0FE9" w:rsidRDefault="00437EA0">
            <w:pPr>
              <w:pBdr>
                <w:top w:val="nil"/>
                <w:left w:val="nil"/>
                <w:bottom w:val="nil"/>
                <w:right w:val="nil"/>
                <w:between w:val="nil"/>
              </w:pBdr>
              <w:spacing w:line="194" w:lineRule="auto"/>
              <w:ind w:left="107"/>
              <w:rPr>
                <w:rFonts w:ascii="Poppins" w:hAnsi="Poppins" w:cs="Poppins"/>
                <w:color w:val="000000"/>
                <w:sz w:val="18"/>
                <w:szCs w:val="18"/>
              </w:rPr>
            </w:pPr>
            <w:r w:rsidRPr="000E0FE9">
              <w:rPr>
                <w:rFonts w:ascii="Poppins" w:hAnsi="Poppins" w:cs="Poppins"/>
                <w:color w:val="000000"/>
                <w:sz w:val="18"/>
                <w:szCs w:val="18"/>
              </w:rPr>
              <w:t>-0,75 USD</w:t>
            </w:r>
          </w:p>
        </w:tc>
        <w:tc>
          <w:tcPr>
            <w:tcW w:w="1171" w:type="dxa"/>
          </w:tcPr>
          <w:p w14:paraId="0BA7E064" w14:textId="77777777" w:rsidR="000F6C27" w:rsidRPr="000E0FE9" w:rsidRDefault="00437EA0">
            <w:pPr>
              <w:pBdr>
                <w:top w:val="nil"/>
                <w:left w:val="nil"/>
                <w:bottom w:val="nil"/>
                <w:right w:val="nil"/>
                <w:between w:val="nil"/>
              </w:pBdr>
              <w:spacing w:line="194" w:lineRule="auto"/>
              <w:ind w:left="107"/>
              <w:rPr>
                <w:rFonts w:ascii="Poppins" w:hAnsi="Poppins" w:cs="Poppins"/>
                <w:color w:val="000000"/>
                <w:sz w:val="18"/>
                <w:szCs w:val="18"/>
              </w:rPr>
            </w:pPr>
            <w:r w:rsidRPr="000E0FE9">
              <w:rPr>
                <w:rFonts w:ascii="Poppins" w:hAnsi="Poppins" w:cs="Poppins"/>
                <w:color w:val="000000"/>
                <w:sz w:val="18"/>
                <w:szCs w:val="18"/>
              </w:rPr>
              <w:t>-7,50 USD</w:t>
            </w:r>
          </w:p>
        </w:tc>
        <w:tc>
          <w:tcPr>
            <w:tcW w:w="1260" w:type="dxa"/>
          </w:tcPr>
          <w:p w14:paraId="0BA7E065" w14:textId="77777777" w:rsidR="000F6C27" w:rsidRPr="000E0FE9" w:rsidRDefault="00437EA0">
            <w:pPr>
              <w:pBdr>
                <w:top w:val="nil"/>
                <w:left w:val="nil"/>
                <w:bottom w:val="nil"/>
                <w:right w:val="nil"/>
                <w:between w:val="nil"/>
              </w:pBdr>
              <w:spacing w:line="194" w:lineRule="auto"/>
              <w:ind w:left="107"/>
              <w:rPr>
                <w:rFonts w:ascii="Poppins" w:hAnsi="Poppins" w:cs="Poppins"/>
                <w:color w:val="000000"/>
                <w:sz w:val="18"/>
                <w:szCs w:val="18"/>
              </w:rPr>
            </w:pPr>
            <w:r w:rsidRPr="000E0FE9">
              <w:rPr>
                <w:rFonts w:ascii="Poppins" w:hAnsi="Poppins" w:cs="Poppins"/>
                <w:color w:val="000000"/>
                <w:sz w:val="18"/>
                <w:szCs w:val="18"/>
              </w:rPr>
              <w:t>Stres</w:t>
            </w:r>
          </w:p>
        </w:tc>
        <w:tc>
          <w:tcPr>
            <w:tcW w:w="1260" w:type="dxa"/>
          </w:tcPr>
          <w:p w14:paraId="0BA7E066" w14:textId="77777777" w:rsidR="000F6C27" w:rsidRPr="000E0FE9" w:rsidRDefault="00437EA0">
            <w:pPr>
              <w:pBdr>
                <w:top w:val="nil"/>
                <w:left w:val="nil"/>
                <w:bottom w:val="nil"/>
                <w:right w:val="nil"/>
                <w:between w:val="nil"/>
              </w:pBdr>
              <w:spacing w:line="194" w:lineRule="auto"/>
              <w:ind w:left="107"/>
              <w:rPr>
                <w:rFonts w:ascii="Poppins" w:hAnsi="Poppins" w:cs="Poppins"/>
                <w:color w:val="000000"/>
                <w:sz w:val="18"/>
                <w:szCs w:val="18"/>
              </w:rPr>
            </w:pPr>
            <w:r w:rsidRPr="000E0FE9">
              <w:rPr>
                <w:rFonts w:ascii="Poppins" w:hAnsi="Poppins" w:cs="Poppins"/>
                <w:color w:val="000000"/>
                <w:sz w:val="18"/>
                <w:szCs w:val="18"/>
              </w:rPr>
              <w:t>8%</w:t>
            </w:r>
          </w:p>
        </w:tc>
        <w:tc>
          <w:tcPr>
            <w:tcW w:w="1440" w:type="dxa"/>
          </w:tcPr>
          <w:p w14:paraId="0BA7E067" w14:textId="77777777" w:rsidR="000F6C27" w:rsidRPr="000E0FE9" w:rsidRDefault="00437EA0">
            <w:pPr>
              <w:pBdr>
                <w:top w:val="nil"/>
                <w:left w:val="nil"/>
                <w:bottom w:val="nil"/>
                <w:right w:val="nil"/>
                <w:between w:val="nil"/>
              </w:pBdr>
              <w:spacing w:line="194" w:lineRule="auto"/>
              <w:ind w:left="107"/>
              <w:rPr>
                <w:rFonts w:ascii="Poppins" w:hAnsi="Poppins" w:cs="Poppins"/>
                <w:color w:val="000000"/>
                <w:sz w:val="18"/>
                <w:szCs w:val="18"/>
              </w:rPr>
            </w:pPr>
            <w:r w:rsidRPr="000E0FE9">
              <w:rPr>
                <w:rFonts w:ascii="Poppins" w:hAnsi="Poppins" w:cs="Poppins"/>
                <w:color w:val="000000"/>
                <w:sz w:val="18"/>
                <w:szCs w:val="18"/>
              </w:rPr>
              <w:t>+0,75 USD</w:t>
            </w:r>
          </w:p>
        </w:tc>
        <w:tc>
          <w:tcPr>
            <w:tcW w:w="1349" w:type="dxa"/>
          </w:tcPr>
          <w:p w14:paraId="0BA7E068" w14:textId="77777777" w:rsidR="000F6C27" w:rsidRPr="000E0FE9" w:rsidRDefault="00437EA0">
            <w:pPr>
              <w:pBdr>
                <w:top w:val="nil"/>
                <w:left w:val="nil"/>
                <w:bottom w:val="nil"/>
                <w:right w:val="nil"/>
                <w:between w:val="nil"/>
              </w:pBdr>
              <w:spacing w:line="194" w:lineRule="auto"/>
              <w:ind w:left="108"/>
              <w:rPr>
                <w:rFonts w:ascii="Poppins" w:hAnsi="Poppins" w:cs="Poppins"/>
                <w:color w:val="000000"/>
                <w:sz w:val="18"/>
                <w:szCs w:val="18"/>
              </w:rPr>
            </w:pPr>
            <w:r w:rsidRPr="000E0FE9">
              <w:rPr>
                <w:rFonts w:ascii="Poppins" w:hAnsi="Poppins" w:cs="Poppins"/>
                <w:color w:val="000000"/>
                <w:sz w:val="18"/>
                <w:szCs w:val="18"/>
              </w:rPr>
              <w:t>-7,50 USD</w:t>
            </w:r>
          </w:p>
        </w:tc>
      </w:tr>
    </w:tbl>
    <w:p w14:paraId="0BA7E06A" w14:textId="77777777" w:rsidR="000F6C27" w:rsidRPr="000E0FE9" w:rsidRDefault="000F6C27">
      <w:pPr>
        <w:pBdr>
          <w:top w:val="nil"/>
          <w:left w:val="nil"/>
          <w:bottom w:val="nil"/>
          <w:right w:val="nil"/>
          <w:between w:val="nil"/>
        </w:pBdr>
        <w:spacing w:before="4"/>
        <w:rPr>
          <w:rFonts w:ascii="Poppins" w:hAnsi="Poppins" w:cs="Poppins"/>
          <w:color w:val="000000"/>
          <w:sz w:val="18"/>
          <w:szCs w:val="18"/>
        </w:rPr>
      </w:pPr>
    </w:p>
    <w:p w14:paraId="0BA7E06B" w14:textId="77777777" w:rsidR="000F6C27" w:rsidRPr="000E0FE9" w:rsidRDefault="00437EA0">
      <w:pPr>
        <w:pBdr>
          <w:top w:val="nil"/>
          <w:left w:val="nil"/>
          <w:bottom w:val="nil"/>
          <w:right w:val="nil"/>
          <w:between w:val="nil"/>
        </w:pBdr>
        <w:tabs>
          <w:tab w:val="left" w:pos="9528"/>
        </w:tabs>
        <w:spacing w:before="64" w:line="259" w:lineRule="auto"/>
        <w:ind w:left="140" w:right="1169" w:hanging="29"/>
        <w:jc w:val="both"/>
        <w:rPr>
          <w:rFonts w:ascii="Poppins" w:hAnsi="Poppins" w:cs="Poppins"/>
          <w:color w:val="000000"/>
          <w:sz w:val="18"/>
          <w:szCs w:val="18"/>
        </w:rPr>
      </w:pPr>
      <w:r w:rsidRPr="000E0FE9">
        <w:rPr>
          <w:rFonts w:ascii="Poppins" w:hAnsi="Poppins" w:cs="Poppins"/>
          <w:b/>
          <w:color w:val="000000"/>
          <w:sz w:val="18"/>
          <w:szCs w:val="18"/>
          <w:shd w:val="clear" w:color="auto" w:fill="BEBEBE"/>
        </w:rPr>
        <w:t>Obchodné poplatky/poplatky</w:t>
      </w:r>
      <w:r w:rsidRPr="000E0FE9">
        <w:rPr>
          <w:rFonts w:ascii="Poppins" w:hAnsi="Poppins" w:cs="Poppins"/>
          <w:b/>
          <w:color w:val="000000"/>
          <w:sz w:val="18"/>
          <w:szCs w:val="18"/>
          <w:shd w:val="clear" w:color="auto" w:fill="BEBEBE"/>
        </w:rPr>
        <w:tab/>
      </w:r>
      <w:r w:rsidRPr="000E0FE9">
        <w:rPr>
          <w:rFonts w:ascii="Poppins" w:hAnsi="Poppins" w:cs="Poppins"/>
          <w:b/>
          <w:color w:val="000000"/>
          <w:sz w:val="18"/>
          <w:szCs w:val="18"/>
        </w:rPr>
        <w:t xml:space="preserve"> </w:t>
      </w:r>
      <w:r w:rsidRPr="000E0FE9">
        <w:rPr>
          <w:rFonts w:ascii="Poppins" w:hAnsi="Poppins" w:cs="Poppins"/>
          <w:color w:val="000000"/>
          <w:sz w:val="18"/>
          <w:szCs w:val="18"/>
        </w:rPr>
        <w:t>Predtým, ako začnete obchodovať s CFD na akcii, mali by ste sa oboznámiť so všetkými nákladmi spojenými s obchodovaním. Tieto poplatky znížia akýkoľvek čistý zisk alebo zvýšia vaše straty. Viac informácií nájdete na našej webovej stránke a/alebo platforme.</w:t>
      </w:r>
    </w:p>
    <w:tbl>
      <w:tblPr>
        <w:tblStyle w:val="ListTable6Colorful-Accent2"/>
        <w:tblW w:w="9243" w:type="dxa"/>
        <w:tblLayout w:type="fixed"/>
        <w:tblLook w:val="0400" w:firstRow="0" w:lastRow="0" w:firstColumn="0" w:lastColumn="0" w:noHBand="0" w:noVBand="1"/>
      </w:tblPr>
      <w:tblGrid>
        <w:gridCol w:w="1910"/>
        <w:gridCol w:w="1836"/>
        <w:gridCol w:w="2950"/>
        <w:gridCol w:w="2547"/>
      </w:tblGrid>
      <w:tr w:rsidR="000F6C27" w:rsidRPr="000E0FE9" w14:paraId="0BA7E075" w14:textId="77777777" w:rsidTr="000E0FE9">
        <w:trPr>
          <w:cnfStyle w:val="000000100000" w:firstRow="0" w:lastRow="0" w:firstColumn="0" w:lastColumn="0" w:oddVBand="0" w:evenVBand="0" w:oddHBand="1" w:evenHBand="0" w:firstRowFirstColumn="0" w:firstRowLastColumn="0" w:lastRowFirstColumn="0" w:lastRowLastColumn="0"/>
          <w:trHeight w:val="1108"/>
        </w:trPr>
        <w:tc>
          <w:tcPr>
            <w:tcW w:w="1910" w:type="dxa"/>
            <w:vMerge w:val="restart"/>
          </w:tcPr>
          <w:p w14:paraId="0BA7E06C" w14:textId="77777777" w:rsidR="000F6C27" w:rsidRPr="000E0FE9" w:rsidRDefault="000F6C27">
            <w:pPr>
              <w:pBdr>
                <w:top w:val="nil"/>
                <w:left w:val="nil"/>
                <w:bottom w:val="nil"/>
                <w:right w:val="nil"/>
                <w:between w:val="nil"/>
              </w:pBdr>
              <w:rPr>
                <w:rFonts w:ascii="Poppins" w:hAnsi="Poppins" w:cs="Poppins"/>
                <w:color w:val="000000"/>
                <w:sz w:val="18"/>
                <w:szCs w:val="18"/>
              </w:rPr>
            </w:pPr>
          </w:p>
          <w:p w14:paraId="0BA7E06D" w14:textId="77777777" w:rsidR="000F6C27" w:rsidRPr="000E0FE9" w:rsidRDefault="000F6C27">
            <w:pPr>
              <w:pBdr>
                <w:top w:val="nil"/>
                <w:left w:val="nil"/>
                <w:bottom w:val="nil"/>
                <w:right w:val="nil"/>
                <w:between w:val="nil"/>
              </w:pBdr>
              <w:rPr>
                <w:rFonts w:ascii="Poppins" w:hAnsi="Poppins" w:cs="Poppins"/>
                <w:color w:val="000000"/>
                <w:sz w:val="18"/>
                <w:szCs w:val="18"/>
              </w:rPr>
            </w:pPr>
          </w:p>
          <w:p w14:paraId="0BA7E06E" w14:textId="77777777" w:rsidR="000F6C27" w:rsidRPr="000E0FE9" w:rsidRDefault="000F6C27">
            <w:pPr>
              <w:pBdr>
                <w:top w:val="nil"/>
                <w:left w:val="nil"/>
                <w:bottom w:val="nil"/>
                <w:right w:val="nil"/>
                <w:between w:val="nil"/>
              </w:pBdr>
              <w:rPr>
                <w:rFonts w:ascii="Poppins" w:hAnsi="Poppins" w:cs="Poppins"/>
                <w:color w:val="000000"/>
                <w:sz w:val="18"/>
                <w:szCs w:val="18"/>
              </w:rPr>
            </w:pPr>
          </w:p>
          <w:p w14:paraId="0BA7E06F" w14:textId="77777777" w:rsidR="000F6C27" w:rsidRPr="000E0FE9" w:rsidRDefault="000F6C27">
            <w:pPr>
              <w:pBdr>
                <w:top w:val="nil"/>
                <w:left w:val="nil"/>
                <w:bottom w:val="nil"/>
                <w:right w:val="nil"/>
                <w:between w:val="nil"/>
              </w:pBdr>
              <w:spacing w:before="6"/>
              <w:rPr>
                <w:rFonts w:ascii="Poppins" w:hAnsi="Poppins" w:cs="Poppins"/>
                <w:color w:val="000000"/>
                <w:sz w:val="18"/>
                <w:szCs w:val="18"/>
              </w:rPr>
            </w:pPr>
          </w:p>
          <w:p w14:paraId="0BA7E070" w14:textId="77777777" w:rsidR="000F6C27" w:rsidRPr="000E0FE9" w:rsidRDefault="00437EA0">
            <w:pPr>
              <w:pBdr>
                <w:top w:val="nil"/>
                <w:left w:val="nil"/>
                <w:bottom w:val="nil"/>
                <w:right w:val="nil"/>
                <w:between w:val="nil"/>
              </w:pBdr>
              <w:spacing w:before="1"/>
              <w:ind w:left="458"/>
              <w:rPr>
                <w:rFonts w:ascii="Poppins" w:hAnsi="Poppins" w:cs="Poppins"/>
                <w:b/>
                <w:color w:val="000000"/>
                <w:sz w:val="18"/>
                <w:szCs w:val="18"/>
              </w:rPr>
            </w:pPr>
            <w:r w:rsidRPr="000E0FE9">
              <w:rPr>
                <w:rFonts w:ascii="Poppins" w:hAnsi="Poppins" w:cs="Poppins"/>
                <w:b/>
                <w:color w:val="000000"/>
                <w:sz w:val="18"/>
                <w:szCs w:val="18"/>
              </w:rPr>
              <w:t>Jednorazové náklady</w:t>
            </w:r>
          </w:p>
        </w:tc>
        <w:tc>
          <w:tcPr>
            <w:tcW w:w="1836" w:type="dxa"/>
          </w:tcPr>
          <w:p w14:paraId="0BA7E071" w14:textId="77777777" w:rsidR="000F6C27" w:rsidRPr="000E0FE9" w:rsidRDefault="00437EA0">
            <w:pPr>
              <w:pBdr>
                <w:top w:val="nil"/>
                <w:left w:val="nil"/>
                <w:bottom w:val="nil"/>
                <w:right w:val="nil"/>
                <w:between w:val="nil"/>
              </w:pBdr>
              <w:spacing w:line="216" w:lineRule="auto"/>
              <w:ind w:left="108"/>
              <w:rPr>
                <w:rFonts w:ascii="Poppins" w:hAnsi="Poppins" w:cs="Poppins"/>
                <w:color w:val="000000"/>
                <w:sz w:val="18"/>
                <w:szCs w:val="18"/>
              </w:rPr>
            </w:pPr>
            <w:r w:rsidRPr="000E0FE9">
              <w:rPr>
                <w:rFonts w:ascii="Poppins" w:hAnsi="Poppins" w:cs="Poppins"/>
                <w:color w:val="000000"/>
                <w:sz w:val="18"/>
                <w:szCs w:val="18"/>
              </w:rPr>
              <w:t>Šírenie</w:t>
            </w:r>
          </w:p>
        </w:tc>
        <w:tc>
          <w:tcPr>
            <w:tcW w:w="2950" w:type="dxa"/>
          </w:tcPr>
          <w:p w14:paraId="0BA7E072" w14:textId="77777777" w:rsidR="000F6C27" w:rsidRPr="000E0FE9" w:rsidRDefault="00437EA0">
            <w:pPr>
              <w:pBdr>
                <w:top w:val="nil"/>
                <w:left w:val="nil"/>
                <w:bottom w:val="nil"/>
                <w:right w:val="nil"/>
                <w:between w:val="nil"/>
              </w:pBdr>
              <w:spacing w:line="259" w:lineRule="auto"/>
              <w:ind w:left="108" w:right="97"/>
              <w:jc w:val="both"/>
              <w:rPr>
                <w:rFonts w:ascii="Poppins" w:hAnsi="Poppins" w:cs="Poppins"/>
                <w:color w:val="000000"/>
                <w:sz w:val="18"/>
                <w:szCs w:val="18"/>
              </w:rPr>
            </w:pPr>
            <w:r w:rsidRPr="000E0FE9">
              <w:rPr>
                <w:rFonts w:ascii="Poppins" w:hAnsi="Poppins" w:cs="Poppins"/>
                <w:color w:val="000000"/>
                <w:sz w:val="18"/>
                <w:szCs w:val="18"/>
              </w:rPr>
              <w:t>Rozdiel medzi nákupnou a predajnou cenou sa nazýva spread. Tieto náklady sa realizujú pri každom otvorení a zatvorení obchodu.</w:t>
            </w:r>
          </w:p>
        </w:tc>
        <w:tc>
          <w:tcPr>
            <w:tcW w:w="2547" w:type="dxa"/>
          </w:tcPr>
          <w:p w14:paraId="0BA7E073" w14:textId="0D796CB3" w:rsidR="000F6C27" w:rsidRPr="000E0FE9" w:rsidRDefault="00437EA0">
            <w:pPr>
              <w:spacing w:after="240"/>
              <w:rPr>
                <w:rFonts w:ascii="Poppins" w:hAnsi="Poppins" w:cs="Poppins"/>
                <w:color w:val="004931"/>
                <w:sz w:val="18"/>
                <w:szCs w:val="18"/>
                <w:u w:val="single"/>
              </w:rPr>
            </w:pPr>
            <w:hyperlink r:id="rId15" w:history="1">
              <w:r w:rsidRPr="000E0FE9">
                <w:rPr>
                  <w:rStyle w:val="Hyperlink"/>
                  <w:rFonts w:ascii="Poppins" w:hAnsi="Poppins" w:cs="Poppins"/>
                  <w:color w:val="004931"/>
                  <w:sz w:val="18"/>
                  <w:szCs w:val="18"/>
                </w:rPr>
                <w:t>www.hmvest.eu</w:t>
              </w:r>
            </w:hyperlink>
          </w:p>
          <w:p w14:paraId="0BA7E074" w14:textId="77777777" w:rsidR="000F6C27" w:rsidRPr="000E0FE9" w:rsidRDefault="000F6C27">
            <w:pPr>
              <w:pBdr>
                <w:top w:val="nil"/>
                <w:left w:val="nil"/>
                <w:bottom w:val="nil"/>
                <w:right w:val="nil"/>
                <w:between w:val="nil"/>
              </w:pBdr>
              <w:ind w:left="107"/>
              <w:rPr>
                <w:rFonts w:ascii="Poppins" w:hAnsi="Poppins" w:cs="Poppins"/>
                <w:sz w:val="18"/>
                <w:szCs w:val="18"/>
              </w:rPr>
            </w:pPr>
          </w:p>
        </w:tc>
      </w:tr>
      <w:tr w:rsidR="000F6C27" w:rsidRPr="000E0FE9" w14:paraId="0BA7E07B" w14:textId="77777777" w:rsidTr="000E0FE9">
        <w:trPr>
          <w:trHeight w:val="1108"/>
        </w:trPr>
        <w:tc>
          <w:tcPr>
            <w:tcW w:w="1910" w:type="dxa"/>
            <w:vMerge/>
          </w:tcPr>
          <w:p w14:paraId="0BA7E076" w14:textId="77777777" w:rsidR="000F6C27" w:rsidRPr="000E0FE9" w:rsidRDefault="000F6C27">
            <w:pPr>
              <w:pBdr>
                <w:top w:val="nil"/>
                <w:left w:val="nil"/>
                <w:bottom w:val="nil"/>
                <w:right w:val="nil"/>
                <w:between w:val="nil"/>
              </w:pBdr>
              <w:spacing w:line="276" w:lineRule="auto"/>
              <w:rPr>
                <w:rFonts w:ascii="Poppins" w:hAnsi="Poppins" w:cs="Poppins"/>
                <w:color w:val="000000"/>
                <w:sz w:val="18"/>
                <w:szCs w:val="18"/>
              </w:rPr>
            </w:pPr>
          </w:p>
        </w:tc>
        <w:tc>
          <w:tcPr>
            <w:tcW w:w="1836" w:type="dxa"/>
          </w:tcPr>
          <w:p w14:paraId="0BA7E077" w14:textId="77777777" w:rsidR="000F6C27" w:rsidRPr="000E0FE9" w:rsidRDefault="00437EA0">
            <w:pPr>
              <w:pBdr>
                <w:top w:val="nil"/>
                <w:left w:val="nil"/>
                <w:bottom w:val="nil"/>
                <w:right w:val="nil"/>
                <w:between w:val="nil"/>
              </w:pBdr>
              <w:spacing w:line="216" w:lineRule="auto"/>
              <w:ind w:left="108"/>
              <w:rPr>
                <w:rFonts w:ascii="Poppins" w:hAnsi="Poppins" w:cs="Poppins"/>
                <w:color w:val="000000"/>
                <w:sz w:val="18"/>
                <w:szCs w:val="18"/>
              </w:rPr>
            </w:pPr>
            <w:r w:rsidRPr="000E0FE9">
              <w:rPr>
                <w:rFonts w:ascii="Poppins" w:hAnsi="Poppins" w:cs="Poppins"/>
                <w:color w:val="000000"/>
                <w:sz w:val="18"/>
                <w:szCs w:val="18"/>
              </w:rPr>
              <w:t>provízie</w:t>
            </w:r>
          </w:p>
        </w:tc>
        <w:tc>
          <w:tcPr>
            <w:tcW w:w="2950" w:type="dxa"/>
          </w:tcPr>
          <w:p w14:paraId="0BA7E078" w14:textId="77777777" w:rsidR="000F6C27" w:rsidRPr="000E0FE9" w:rsidRDefault="00437EA0">
            <w:pPr>
              <w:pBdr>
                <w:top w:val="nil"/>
                <w:left w:val="nil"/>
                <w:bottom w:val="nil"/>
                <w:right w:val="nil"/>
                <w:between w:val="nil"/>
              </w:pBdr>
              <w:spacing w:line="259" w:lineRule="auto"/>
              <w:ind w:left="108" w:right="98"/>
              <w:jc w:val="both"/>
              <w:rPr>
                <w:rFonts w:ascii="Poppins" w:hAnsi="Poppins" w:cs="Poppins"/>
                <w:color w:val="000000"/>
                <w:sz w:val="18"/>
                <w:szCs w:val="18"/>
              </w:rPr>
            </w:pPr>
            <w:r w:rsidRPr="000E0FE9">
              <w:rPr>
                <w:rFonts w:ascii="Poppins" w:hAnsi="Poppins" w:cs="Poppins"/>
                <w:color w:val="000000"/>
                <w:sz w:val="18"/>
                <w:szCs w:val="18"/>
              </w:rPr>
              <w:t>Ide o províziu účtovanú pri nákupe alebo predaji CFD na akcie na základe nominálnej hodnoty obchodu.</w:t>
            </w:r>
          </w:p>
        </w:tc>
        <w:tc>
          <w:tcPr>
            <w:tcW w:w="2547" w:type="dxa"/>
          </w:tcPr>
          <w:p w14:paraId="0BA7E079" w14:textId="66CEADE0" w:rsidR="000F6C27" w:rsidRPr="000E0FE9" w:rsidRDefault="00437EA0">
            <w:pPr>
              <w:spacing w:after="240"/>
              <w:rPr>
                <w:rFonts w:ascii="Poppins" w:hAnsi="Poppins" w:cs="Poppins"/>
                <w:color w:val="004931"/>
                <w:sz w:val="18"/>
                <w:szCs w:val="18"/>
                <w:u w:val="single"/>
              </w:rPr>
            </w:pPr>
            <w:hyperlink r:id="rId16" w:history="1">
              <w:r w:rsidRPr="000E0FE9">
                <w:rPr>
                  <w:rStyle w:val="Hyperlink"/>
                  <w:rFonts w:ascii="Poppins" w:hAnsi="Poppins" w:cs="Poppins"/>
                  <w:color w:val="004931"/>
                  <w:sz w:val="18"/>
                  <w:szCs w:val="18"/>
                </w:rPr>
                <w:t>www.hmvest.eu</w:t>
              </w:r>
            </w:hyperlink>
          </w:p>
          <w:p w14:paraId="0BA7E07A" w14:textId="77777777" w:rsidR="000F6C27" w:rsidRPr="000E0FE9" w:rsidRDefault="000F6C27">
            <w:pPr>
              <w:pBdr>
                <w:top w:val="nil"/>
                <w:left w:val="nil"/>
                <w:bottom w:val="nil"/>
                <w:right w:val="nil"/>
                <w:between w:val="nil"/>
              </w:pBdr>
              <w:ind w:left="107"/>
              <w:rPr>
                <w:rFonts w:ascii="Poppins" w:hAnsi="Poppins" w:cs="Poppins"/>
                <w:sz w:val="18"/>
                <w:szCs w:val="18"/>
              </w:rPr>
            </w:pPr>
          </w:p>
        </w:tc>
      </w:tr>
      <w:tr w:rsidR="000F6C27" w:rsidRPr="000E0FE9" w14:paraId="0BA7E082" w14:textId="77777777" w:rsidTr="000E0FE9">
        <w:trPr>
          <w:cnfStyle w:val="000000100000" w:firstRow="0" w:lastRow="0" w:firstColumn="0" w:lastColumn="0" w:oddVBand="0" w:evenVBand="0" w:oddHBand="1" w:evenHBand="0" w:firstRowFirstColumn="0" w:firstRowLastColumn="0" w:lastRowFirstColumn="0" w:lastRowLastColumn="0"/>
          <w:trHeight w:val="1108"/>
        </w:trPr>
        <w:tc>
          <w:tcPr>
            <w:tcW w:w="1910" w:type="dxa"/>
          </w:tcPr>
          <w:p w14:paraId="0BA7E07C" w14:textId="77777777" w:rsidR="000F6C27" w:rsidRPr="000E0FE9" w:rsidRDefault="000F6C27">
            <w:pPr>
              <w:pBdr>
                <w:top w:val="nil"/>
                <w:left w:val="nil"/>
                <w:bottom w:val="nil"/>
                <w:right w:val="nil"/>
                <w:between w:val="nil"/>
              </w:pBdr>
              <w:rPr>
                <w:rFonts w:ascii="Poppins" w:hAnsi="Poppins" w:cs="Poppins"/>
                <w:color w:val="000000"/>
                <w:sz w:val="18"/>
                <w:szCs w:val="18"/>
              </w:rPr>
            </w:pPr>
          </w:p>
          <w:p w14:paraId="0BA7E07D" w14:textId="77777777" w:rsidR="000F6C27" w:rsidRPr="000E0FE9" w:rsidRDefault="00437EA0">
            <w:pPr>
              <w:pBdr>
                <w:top w:val="nil"/>
                <w:left w:val="nil"/>
                <w:bottom w:val="nil"/>
                <w:right w:val="nil"/>
                <w:between w:val="nil"/>
              </w:pBdr>
              <w:spacing w:before="131"/>
              <w:ind w:left="403"/>
              <w:rPr>
                <w:rFonts w:ascii="Poppins" w:hAnsi="Poppins" w:cs="Poppins"/>
                <w:b/>
                <w:color w:val="000000"/>
                <w:sz w:val="18"/>
                <w:szCs w:val="18"/>
              </w:rPr>
            </w:pPr>
            <w:r w:rsidRPr="000E0FE9">
              <w:rPr>
                <w:rFonts w:ascii="Poppins" w:hAnsi="Poppins" w:cs="Poppins"/>
                <w:b/>
                <w:color w:val="000000"/>
                <w:sz w:val="18"/>
                <w:szCs w:val="18"/>
              </w:rPr>
              <w:t>Priebežné náklady</w:t>
            </w:r>
          </w:p>
        </w:tc>
        <w:tc>
          <w:tcPr>
            <w:tcW w:w="1836" w:type="dxa"/>
          </w:tcPr>
          <w:p w14:paraId="0BA7E07E" w14:textId="77777777" w:rsidR="000F6C27" w:rsidRPr="000E0FE9" w:rsidRDefault="00437EA0">
            <w:pPr>
              <w:pBdr>
                <w:top w:val="nil"/>
                <w:left w:val="nil"/>
                <w:bottom w:val="nil"/>
                <w:right w:val="nil"/>
                <w:between w:val="nil"/>
              </w:pBdr>
              <w:spacing w:line="256" w:lineRule="auto"/>
              <w:ind w:left="108" w:right="600"/>
              <w:rPr>
                <w:rFonts w:ascii="Poppins" w:hAnsi="Poppins" w:cs="Poppins"/>
                <w:color w:val="000000"/>
                <w:sz w:val="18"/>
                <w:szCs w:val="18"/>
              </w:rPr>
            </w:pPr>
            <w:r w:rsidRPr="000E0FE9">
              <w:rPr>
                <w:rFonts w:ascii="Poppins" w:hAnsi="Poppins" w:cs="Poppins"/>
                <w:color w:val="000000"/>
                <w:sz w:val="18"/>
                <w:szCs w:val="18"/>
              </w:rPr>
              <w:t>Náklady na financovanie (swapy)</w:t>
            </w:r>
          </w:p>
        </w:tc>
        <w:tc>
          <w:tcPr>
            <w:tcW w:w="2950" w:type="dxa"/>
          </w:tcPr>
          <w:p w14:paraId="0BA7E07F" w14:textId="77777777" w:rsidR="000F6C27" w:rsidRPr="000E0FE9" w:rsidRDefault="00437EA0">
            <w:pPr>
              <w:pBdr>
                <w:top w:val="nil"/>
                <w:left w:val="nil"/>
                <w:bottom w:val="nil"/>
                <w:right w:val="nil"/>
                <w:between w:val="nil"/>
              </w:pBdr>
              <w:spacing w:line="259" w:lineRule="auto"/>
              <w:ind w:left="108" w:right="95"/>
              <w:jc w:val="both"/>
              <w:rPr>
                <w:rFonts w:ascii="Poppins" w:hAnsi="Poppins" w:cs="Poppins"/>
                <w:color w:val="000000"/>
                <w:sz w:val="18"/>
                <w:szCs w:val="18"/>
              </w:rPr>
            </w:pPr>
            <w:r w:rsidRPr="000E0FE9">
              <w:rPr>
                <w:rFonts w:ascii="Poppins" w:hAnsi="Poppins" w:cs="Poppins"/>
                <w:color w:val="000000"/>
                <w:sz w:val="18"/>
                <w:szCs w:val="18"/>
              </w:rPr>
              <w:t>Na váš účet sa účtuje poplatok za každú noc, počas ktorej je vaša pozícia držaná. To znamená, že čím dlhšie držíte pozíciu, tým viac to stojí.</w:t>
            </w:r>
          </w:p>
        </w:tc>
        <w:tc>
          <w:tcPr>
            <w:tcW w:w="2547" w:type="dxa"/>
          </w:tcPr>
          <w:p w14:paraId="0BA7E080" w14:textId="42F02B22" w:rsidR="000F6C27" w:rsidRPr="000E0FE9" w:rsidRDefault="00437EA0">
            <w:pPr>
              <w:spacing w:after="240"/>
              <w:rPr>
                <w:rFonts w:ascii="Poppins" w:hAnsi="Poppins" w:cs="Poppins"/>
                <w:color w:val="004931"/>
                <w:sz w:val="18"/>
                <w:szCs w:val="18"/>
                <w:u w:val="single"/>
              </w:rPr>
            </w:pPr>
            <w:hyperlink r:id="rId17" w:history="1">
              <w:r w:rsidRPr="000E0FE9">
                <w:rPr>
                  <w:rStyle w:val="Hyperlink"/>
                  <w:rFonts w:ascii="Poppins" w:hAnsi="Poppins" w:cs="Poppins"/>
                  <w:color w:val="004931"/>
                  <w:sz w:val="18"/>
                  <w:szCs w:val="18"/>
                </w:rPr>
                <w:t>www.hmvest.eu</w:t>
              </w:r>
            </w:hyperlink>
          </w:p>
          <w:p w14:paraId="0BA7E081" w14:textId="77777777" w:rsidR="000F6C27" w:rsidRPr="000E0FE9" w:rsidRDefault="000F6C27">
            <w:pPr>
              <w:pBdr>
                <w:top w:val="nil"/>
                <w:left w:val="nil"/>
                <w:bottom w:val="nil"/>
                <w:right w:val="nil"/>
                <w:between w:val="nil"/>
              </w:pBdr>
              <w:ind w:left="107"/>
              <w:rPr>
                <w:rFonts w:ascii="Poppins" w:hAnsi="Poppins" w:cs="Poppins"/>
                <w:sz w:val="18"/>
                <w:szCs w:val="18"/>
              </w:rPr>
            </w:pPr>
          </w:p>
        </w:tc>
      </w:tr>
    </w:tbl>
    <w:p w14:paraId="0BA7E083" w14:textId="77777777" w:rsidR="000F6C27" w:rsidRPr="000E0FE9" w:rsidRDefault="000F6C27">
      <w:pPr>
        <w:pBdr>
          <w:top w:val="nil"/>
          <w:left w:val="nil"/>
          <w:bottom w:val="nil"/>
          <w:right w:val="nil"/>
          <w:between w:val="nil"/>
        </w:pBdr>
        <w:rPr>
          <w:rFonts w:ascii="Poppins" w:hAnsi="Poppins" w:cs="Poppins"/>
          <w:color w:val="000000"/>
          <w:sz w:val="18"/>
          <w:szCs w:val="18"/>
        </w:rPr>
      </w:pPr>
    </w:p>
    <w:p w14:paraId="0BA7E084" w14:textId="77777777" w:rsidR="000F6C27" w:rsidRPr="000E0FE9" w:rsidRDefault="000F6C27">
      <w:pPr>
        <w:pBdr>
          <w:top w:val="nil"/>
          <w:left w:val="nil"/>
          <w:bottom w:val="nil"/>
          <w:right w:val="nil"/>
          <w:between w:val="nil"/>
        </w:pBdr>
        <w:spacing w:before="6"/>
        <w:rPr>
          <w:rFonts w:ascii="Poppins" w:hAnsi="Poppins" w:cs="Poppins"/>
          <w:color w:val="000000"/>
          <w:sz w:val="18"/>
          <w:szCs w:val="18"/>
        </w:rPr>
      </w:pPr>
    </w:p>
    <w:p w14:paraId="0BA7E085" w14:textId="77777777" w:rsidR="000F6C27" w:rsidRPr="000E0FE9" w:rsidRDefault="00437EA0">
      <w:pPr>
        <w:pStyle w:val="Heading2"/>
        <w:tabs>
          <w:tab w:val="left" w:pos="9528"/>
        </w:tabs>
        <w:ind w:left="140" w:hanging="29"/>
        <w:jc w:val="both"/>
        <w:rPr>
          <w:rFonts w:ascii="Poppins" w:hAnsi="Poppins" w:cs="Poppins"/>
        </w:rPr>
      </w:pPr>
      <w:r w:rsidRPr="000E0FE9">
        <w:rPr>
          <w:rFonts w:ascii="Poppins" w:hAnsi="Poppins" w:cs="Poppins"/>
          <w:color w:val="000000"/>
          <w:shd w:val="clear" w:color="auto" w:fill="BEBEBE"/>
        </w:rPr>
        <w:t xml:space="preserve"> Ako dlho ho mám držať a môžem si peniaze vybrať skôr?</w:t>
      </w:r>
      <w:r w:rsidRPr="000E0FE9">
        <w:rPr>
          <w:rFonts w:ascii="Poppins" w:hAnsi="Poppins" w:cs="Poppins"/>
          <w:color w:val="000000"/>
          <w:shd w:val="clear" w:color="auto" w:fill="BEBEBE"/>
        </w:rPr>
        <w:tab/>
      </w:r>
    </w:p>
    <w:p w14:paraId="0BA7E086" w14:textId="77777777" w:rsidR="000F6C27" w:rsidRPr="000E0FE9" w:rsidRDefault="000F6C27">
      <w:pPr>
        <w:pBdr>
          <w:top w:val="nil"/>
          <w:left w:val="nil"/>
          <w:bottom w:val="nil"/>
          <w:right w:val="nil"/>
          <w:between w:val="nil"/>
        </w:pBdr>
        <w:spacing w:before="8"/>
        <w:rPr>
          <w:rFonts w:ascii="Poppins" w:hAnsi="Poppins" w:cs="Poppins"/>
          <w:b/>
          <w:color w:val="000000"/>
          <w:sz w:val="18"/>
          <w:szCs w:val="18"/>
        </w:rPr>
      </w:pPr>
    </w:p>
    <w:p w14:paraId="0BA7E087" w14:textId="77777777" w:rsidR="000F6C27" w:rsidRPr="000E0FE9" w:rsidRDefault="00437EA0">
      <w:pPr>
        <w:pBdr>
          <w:top w:val="nil"/>
          <w:left w:val="nil"/>
          <w:bottom w:val="nil"/>
          <w:right w:val="nil"/>
          <w:between w:val="nil"/>
        </w:pBdr>
        <w:spacing w:line="256" w:lineRule="auto"/>
        <w:ind w:left="140" w:right="1201"/>
        <w:jc w:val="both"/>
        <w:rPr>
          <w:rFonts w:ascii="Poppins" w:hAnsi="Poppins" w:cs="Poppins"/>
          <w:color w:val="000000"/>
          <w:sz w:val="18"/>
          <w:szCs w:val="18"/>
        </w:rPr>
      </w:pPr>
      <w:r w:rsidRPr="000E0FE9">
        <w:rPr>
          <w:rFonts w:ascii="Poppins" w:hAnsi="Poppins" w:cs="Poppins"/>
          <w:color w:val="000000"/>
          <w:sz w:val="18"/>
          <w:szCs w:val="18"/>
        </w:rPr>
        <w:t>Neexistuje žiadna odporúčaná doba držania, žiadna lehota na zrušenie a teda žiadne storno poplatky. CFD môžete otvárať a zatvárať kedykoľvek počas trhových hodín.</w:t>
      </w:r>
    </w:p>
    <w:p w14:paraId="0BA7E088" w14:textId="77777777" w:rsidR="000F6C27" w:rsidRPr="000E0FE9" w:rsidRDefault="000F6C27">
      <w:pPr>
        <w:pBdr>
          <w:top w:val="nil"/>
          <w:left w:val="nil"/>
          <w:bottom w:val="nil"/>
          <w:right w:val="nil"/>
          <w:between w:val="nil"/>
        </w:pBdr>
        <w:spacing w:before="2"/>
        <w:rPr>
          <w:rFonts w:ascii="Poppins" w:hAnsi="Poppins" w:cs="Poppins"/>
          <w:color w:val="000000"/>
          <w:sz w:val="18"/>
          <w:szCs w:val="18"/>
        </w:rPr>
      </w:pPr>
    </w:p>
    <w:p w14:paraId="0BA7E089" w14:textId="0505E3D4" w:rsidR="000F6C27" w:rsidRPr="000E0FE9" w:rsidRDefault="00437EA0">
      <w:pPr>
        <w:pBdr>
          <w:top w:val="nil"/>
          <w:left w:val="nil"/>
          <w:bottom w:val="nil"/>
          <w:right w:val="nil"/>
          <w:between w:val="nil"/>
        </w:pBdr>
        <w:tabs>
          <w:tab w:val="left" w:pos="9528"/>
        </w:tabs>
        <w:spacing w:before="64" w:line="259" w:lineRule="auto"/>
        <w:ind w:left="140" w:right="1169" w:hanging="29"/>
        <w:jc w:val="both"/>
        <w:rPr>
          <w:rFonts w:ascii="Poppins" w:hAnsi="Poppins" w:cs="Poppins"/>
          <w:color w:val="000000"/>
          <w:sz w:val="18"/>
          <w:szCs w:val="18"/>
        </w:rPr>
      </w:pPr>
      <w:r w:rsidRPr="000E0FE9">
        <w:rPr>
          <w:rFonts w:ascii="Poppins" w:hAnsi="Poppins" w:cs="Poppins"/>
          <w:b/>
          <w:color w:val="000000"/>
          <w:sz w:val="18"/>
          <w:szCs w:val="18"/>
          <w:shd w:val="clear" w:color="auto" w:fill="BEBEBE"/>
        </w:rPr>
        <w:t xml:space="preserve">Čo sa stane, ak </w:t>
      </w:r>
      <w:r w:rsidR="00FA3B7C" w:rsidRPr="000E0FE9">
        <w:rPr>
          <w:rFonts w:ascii="Poppins" w:hAnsi="Poppins" w:cs="Poppins"/>
          <w:b/>
          <w:color w:val="000000"/>
          <w:sz w:val="18"/>
          <w:szCs w:val="18"/>
          <w:shd w:val="clear" w:color="auto" w:fill="BEBEBE"/>
        </w:rPr>
        <w:t xml:space="preserve">HARMOVEST CAPITAL (CYPRUS) LTD </w:t>
      </w:r>
      <w:r w:rsidRPr="000E0FE9">
        <w:rPr>
          <w:rFonts w:ascii="Poppins" w:hAnsi="Poppins" w:cs="Poppins"/>
          <w:b/>
          <w:color w:val="000000"/>
          <w:sz w:val="18"/>
          <w:szCs w:val="18"/>
          <w:shd w:val="clear" w:color="auto" w:fill="BEBEBE"/>
        </w:rPr>
        <w:t>nebude môcť vyplatiť?</w:t>
      </w:r>
      <w:r w:rsidRPr="000E0FE9">
        <w:rPr>
          <w:rFonts w:ascii="Poppins" w:hAnsi="Poppins" w:cs="Poppins"/>
          <w:b/>
          <w:color w:val="000000"/>
          <w:sz w:val="18"/>
          <w:szCs w:val="18"/>
          <w:shd w:val="clear" w:color="auto" w:fill="BEBEBE"/>
        </w:rPr>
        <w:tab/>
      </w:r>
      <w:r w:rsidRPr="000E0FE9">
        <w:rPr>
          <w:rFonts w:ascii="Poppins" w:hAnsi="Poppins" w:cs="Poppins"/>
          <w:b/>
          <w:color w:val="000000"/>
          <w:sz w:val="18"/>
          <w:szCs w:val="18"/>
        </w:rPr>
        <w:t xml:space="preserve"> </w:t>
      </w:r>
      <w:r w:rsidRPr="000E0FE9">
        <w:rPr>
          <w:rFonts w:ascii="Poppins" w:hAnsi="Poppins" w:cs="Poppins"/>
          <w:color w:val="000000"/>
          <w:sz w:val="18"/>
          <w:szCs w:val="18"/>
        </w:rPr>
        <w:t>Spoločnosť je členom Kompenzačného fondu pre investorov (ďalej len „Fond“) pre zákazníkov cyperských investičných spoločností (CIF) a iných investičných spoločností (IF), ktoré nie sú úverovými inštitúciami. Cieľom Fondu je zabezpečiť pohľadávky krytých klientov voči členom Fondu (t. j. Spoločnosti) vyplatením náhrady za ich nároky vyplývajúce z krytých služieb poskytovaných jeho členmi, pokiaľ neúspech Spoločnosti na splnenie svojich povinností. Ak Spoločnosť nemôže splniť svoju povinnosť týkajúcu sa finančných prostriedkov klientov, vaša investícia je krytá Fondom náhrady pre investorov, ktorý pokrýva oprávnené investície až do výšky 20 000 EUR na osobu. Ďalšie podrobnosti nájdete v Oznámení Spoločnosti o Kompenzačnom fonde pre investorov.</w:t>
      </w:r>
    </w:p>
    <w:p w14:paraId="0BA7E08A" w14:textId="77777777" w:rsidR="000F6C27" w:rsidRPr="000E0FE9" w:rsidRDefault="00437EA0">
      <w:pPr>
        <w:pBdr>
          <w:top w:val="nil"/>
          <w:left w:val="nil"/>
          <w:bottom w:val="nil"/>
          <w:right w:val="nil"/>
          <w:between w:val="nil"/>
        </w:pBdr>
        <w:tabs>
          <w:tab w:val="left" w:pos="9528"/>
        </w:tabs>
        <w:spacing w:line="259" w:lineRule="auto"/>
        <w:ind w:left="140" w:right="1169" w:hanging="29"/>
        <w:jc w:val="both"/>
        <w:rPr>
          <w:rFonts w:ascii="Poppins" w:hAnsi="Poppins" w:cs="Poppins"/>
          <w:color w:val="000000"/>
          <w:sz w:val="18"/>
          <w:szCs w:val="18"/>
        </w:rPr>
      </w:pPr>
      <w:r w:rsidRPr="000E0FE9">
        <w:rPr>
          <w:rFonts w:ascii="Poppins" w:hAnsi="Poppins" w:cs="Poppins"/>
          <w:b/>
          <w:color w:val="000000"/>
          <w:sz w:val="18"/>
          <w:szCs w:val="18"/>
          <w:shd w:val="clear" w:color="auto" w:fill="BEBEBE"/>
        </w:rPr>
        <w:t>Ako sa môžem sťažovať?</w:t>
      </w:r>
      <w:r w:rsidRPr="000E0FE9">
        <w:rPr>
          <w:rFonts w:ascii="Poppins" w:hAnsi="Poppins" w:cs="Poppins"/>
          <w:b/>
          <w:color w:val="000000"/>
          <w:sz w:val="18"/>
          <w:szCs w:val="18"/>
          <w:shd w:val="clear" w:color="auto" w:fill="BEBEBE"/>
        </w:rPr>
        <w:lastRenderedPageBreak/>
        <w:tab/>
      </w:r>
      <w:r w:rsidRPr="000E0FE9">
        <w:rPr>
          <w:rFonts w:ascii="Poppins" w:hAnsi="Poppins" w:cs="Poppins"/>
          <w:b/>
          <w:color w:val="000000"/>
          <w:sz w:val="18"/>
          <w:szCs w:val="18"/>
        </w:rPr>
        <w:t xml:space="preserve"> </w:t>
      </w:r>
      <w:r w:rsidRPr="000E0FE9">
        <w:rPr>
          <w:rFonts w:ascii="Poppins" w:hAnsi="Poppins" w:cs="Poppins"/>
          <w:color w:val="000000"/>
          <w:sz w:val="18"/>
          <w:szCs w:val="18"/>
        </w:rPr>
        <w:t>Retailoví investori môžu podávať svoje sťažnosti alebo sťažnosti v súvislosti s CFD pomocou „Formulára sťažnosti“ vedúcemu oddelenia Compliance. „Reklamačný formulár“ môže byť zaslaný Spoločnosti e-mailom, faxom alebo poštou. Ďalšie podrobnosti si investori môžu pozrieť vo formulári na vybavovanie sťažností na webovej stránke spoločnosti.</w:t>
      </w:r>
    </w:p>
    <w:p w14:paraId="0BA7E08B" w14:textId="77777777" w:rsidR="000F6C27" w:rsidRPr="000E0FE9" w:rsidRDefault="000F6C27">
      <w:pPr>
        <w:pBdr>
          <w:top w:val="nil"/>
          <w:left w:val="nil"/>
          <w:bottom w:val="nil"/>
          <w:right w:val="nil"/>
          <w:between w:val="nil"/>
        </w:pBdr>
        <w:spacing w:before="2"/>
        <w:rPr>
          <w:rFonts w:ascii="Poppins" w:hAnsi="Poppins" w:cs="Poppins"/>
          <w:color w:val="000000"/>
          <w:sz w:val="18"/>
          <w:szCs w:val="18"/>
        </w:rPr>
      </w:pPr>
    </w:p>
    <w:p w14:paraId="0BA7E08C" w14:textId="77777777" w:rsidR="000F6C27" w:rsidRPr="000E0FE9" w:rsidRDefault="00437EA0">
      <w:pPr>
        <w:pBdr>
          <w:top w:val="nil"/>
          <w:left w:val="nil"/>
          <w:bottom w:val="nil"/>
          <w:right w:val="nil"/>
          <w:between w:val="nil"/>
        </w:pBdr>
        <w:tabs>
          <w:tab w:val="left" w:pos="9528"/>
        </w:tabs>
        <w:spacing w:before="63" w:line="259" w:lineRule="auto"/>
        <w:ind w:left="140" w:right="1169" w:hanging="29"/>
        <w:jc w:val="both"/>
        <w:rPr>
          <w:rFonts w:ascii="Poppins" w:hAnsi="Poppins" w:cs="Poppins"/>
          <w:color w:val="000000"/>
          <w:sz w:val="18"/>
          <w:szCs w:val="18"/>
        </w:rPr>
      </w:pPr>
      <w:r w:rsidRPr="000E0FE9">
        <w:rPr>
          <w:rFonts w:ascii="Poppins" w:hAnsi="Poppins" w:cs="Poppins"/>
          <w:b/>
          <w:color w:val="000000"/>
          <w:sz w:val="18"/>
          <w:szCs w:val="18"/>
          <w:shd w:val="clear" w:color="auto" w:fill="BEBEBE"/>
        </w:rPr>
        <w:t>Ďalšie relevantné informácie</w:t>
      </w:r>
      <w:r w:rsidRPr="000E0FE9">
        <w:rPr>
          <w:rFonts w:ascii="Poppins" w:hAnsi="Poppins" w:cs="Poppins"/>
          <w:b/>
          <w:color w:val="000000"/>
          <w:sz w:val="18"/>
          <w:szCs w:val="18"/>
          <w:shd w:val="clear" w:color="auto" w:fill="BEBEBE"/>
        </w:rPr>
        <w:tab/>
      </w:r>
      <w:r w:rsidRPr="000E0FE9">
        <w:rPr>
          <w:rFonts w:ascii="Poppins" w:hAnsi="Poppins" w:cs="Poppins"/>
          <w:b/>
          <w:color w:val="000000"/>
          <w:sz w:val="18"/>
          <w:szCs w:val="18"/>
        </w:rPr>
        <w:t xml:space="preserve"> </w:t>
      </w:r>
      <w:r w:rsidRPr="000E0FE9">
        <w:rPr>
          <w:rFonts w:ascii="Poppins" w:hAnsi="Poppins" w:cs="Poppins"/>
          <w:color w:val="000000"/>
          <w:sz w:val="18"/>
          <w:szCs w:val="18"/>
        </w:rPr>
        <w:t>Retailoví investori sa musia uistiť, že si prečítali a porozumeli zmluvným podmienkam a všetkým ostatným právnym dokumentom Spoločnosti, ako sú napríklad Vyhlásenie o riziku, Zásady vykonávania pokynov, Zásady konfliktu záujmov a Vyhlásenie o ochrane osobných údajov zobrazené v právnej časti našej webovej stránky. Toto sú dôležité dokumenty, ktoré si musíte prečítať a pochopiť pred otvorením účtu a začatím obchodovania so Spoločnosťou.</w:t>
      </w:r>
    </w:p>
    <w:sectPr w:rsidR="000F6C27" w:rsidRPr="000E0FE9" w:rsidSect="000E0FE9">
      <w:type w:val="continuous"/>
      <w:pgSz w:w="12240" w:h="15840"/>
      <w:pgMar w:top="2016" w:right="1440" w:bottom="2016" w:left="1440" w:header="0" w:footer="55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F5F94" w14:textId="77777777" w:rsidR="00ED75E0" w:rsidRDefault="00ED75E0">
      <w:r>
        <w:separator/>
      </w:r>
    </w:p>
  </w:endnote>
  <w:endnote w:type="continuationSeparator" w:id="0">
    <w:p w14:paraId="66F14BFB" w14:textId="77777777" w:rsidR="00ED75E0" w:rsidRDefault="00ED7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oppins">
    <w:panose1 w:val="00000500000000000000"/>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86B5A" w14:textId="7864132D" w:rsidR="00437EA0" w:rsidRDefault="000E0FE9" w:rsidP="00437EA0">
    <w:pPr>
      <w:spacing w:line="184" w:lineRule="exact"/>
      <w:ind w:left="31" w:right="31"/>
      <w:jc w:val="center"/>
      <w:rPr>
        <w:sz w:val="16"/>
      </w:rPr>
    </w:pPr>
    <w:r w:rsidRPr="00FD35F4">
      <w:rPr>
        <w:rFonts w:ascii="Poppins" w:hAnsi="Poppins" w:cs="Poppins"/>
        <w:noProof/>
      </w:rPr>
      <w:drawing>
        <wp:anchor distT="0" distB="0" distL="114300" distR="114300" simplePos="0" relativeHeight="251661312" behindDoc="0" locked="0" layoutInCell="1" allowOverlap="1" wp14:anchorId="168F6903" wp14:editId="0861DA7B">
          <wp:simplePos x="0" y="0"/>
          <wp:positionH relativeFrom="margin">
            <wp:posOffset>2301875</wp:posOffset>
          </wp:positionH>
          <wp:positionV relativeFrom="paragraph">
            <wp:posOffset>-371475</wp:posOffset>
          </wp:positionV>
          <wp:extent cx="1152525" cy="307340"/>
          <wp:effectExtent l="0" t="0" r="9525" b="0"/>
          <wp:wrapNone/>
          <wp:docPr id="4398980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31497"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52525" cy="307340"/>
                  </a:xfrm>
                  <a:prstGeom prst="rect">
                    <a:avLst/>
                  </a:prstGeom>
                </pic:spPr>
              </pic:pic>
            </a:graphicData>
          </a:graphic>
        </wp:anchor>
      </w:drawing>
    </w:r>
    <w:r w:rsidR="00437EA0" w:rsidRPr="0032102E">
      <w:rPr>
        <w:sz w:val="16"/>
      </w:rPr>
      <w:t xml:space="preserve">Harmovest Capital (Cyprus) Ltd (former: GVD Korimcy Ltd) </w:t>
    </w:r>
    <w:r w:rsidR="00437EA0">
      <w:rPr>
        <w:sz w:val="16"/>
      </w:rPr>
      <w:t>is</w:t>
    </w:r>
    <w:r w:rsidR="00437EA0">
      <w:rPr>
        <w:spacing w:val="-4"/>
        <w:sz w:val="16"/>
      </w:rPr>
      <w:t xml:space="preserve"> </w:t>
    </w:r>
    <w:r w:rsidR="00437EA0">
      <w:rPr>
        <w:sz w:val="16"/>
      </w:rPr>
      <w:t>a</w:t>
    </w:r>
    <w:r w:rsidR="00437EA0">
      <w:rPr>
        <w:spacing w:val="-4"/>
        <w:sz w:val="16"/>
      </w:rPr>
      <w:t xml:space="preserve"> </w:t>
    </w:r>
    <w:r w:rsidR="00437EA0">
      <w:rPr>
        <w:sz w:val="16"/>
      </w:rPr>
      <w:t>Cyprus</w:t>
    </w:r>
    <w:r w:rsidR="00437EA0">
      <w:rPr>
        <w:spacing w:val="-4"/>
        <w:sz w:val="16"/>
      </w:rPr>
      <w:t xml:space="preserve"> </w:t>
    </w:r>
    <w:r w:rsidR="00437EA0">
      <w:rPr>
        <w:sz w:val="16"/>
      </w:rPr>
      <w:t>Investment</w:t>
    </w:r>
    <w:r w:rsidR="00437EA0">
      <w:rPr>
        <w:spacing w:val="-5"/>
        <w:sz w:val="16"/>
      </w:rPr>
      <w:t xml:space="preserve"> </w:t>
    </w:r>
    <w:r w:rsidR="00437EA0">
      <w:rPr>
        <w:sz w:val="16"/>
      </w:rPr>
      <w:t>Firm</w:t>
    </w:r>
    <w:r w:rsidR="00437EA0">
      <w:rPr>
        <w:spacing w:val="-3"/>
        <w:sz w:val="16"/>
      </w:rPr>
      <w:t xml:space="preserve"> </w:t>
    </w:r>
    <w:r w:rsidR="00437EA0">
      <w:rPr>
        <w:sz w:val="16"/>
      </w:rPr>
      <w:t>authorized</w:t>
    </w:r>
    <w:r w:rsidR="00437EA0">
      <w:rPr>
        <w:spacing w:val="-4"/>
        <w:sz w:val="16"/>
      </w:rPr>
      <w:t xml:space="preserve"> </w:t>
    </w:r>
    <w:r w:rsidR="00437EA0">
      <w:rPr>
        <w:sz w:val="16"/>
      </w:rPr>
      <w:t>and</w:t>
    </w:r>
    <w:r w:rsidR="00437EA0">
      <w:rPr>
        <w:spacing w:val="-4"/>
        <w:sz w:val="16"/>
      </w:rPr>
      <w:t xml:space="preserve"> </w:t>
    </w:r>
    <w:r w:rsidR="00437EA0">
      <w:rPr>
        <w:sz w:val="16"/>
      </w:rPr>
      <w:t>regulated</w:t>
    </w:r>
    <w:r w:rsidR="00437EA0">
      <w:rPr>
        <w:spacing w:val="-3"/>
        <w:sz w:val="16"/>
      </w:rPr>
      <w:t xml:space="preserve"> </w:t>
    </w:r>
    <w:r w:rsidR="00437EA0">
      <w:rPr>
        <w:sz w:val="16"/>
      </w:rPr>
      <w:t>by</w:t>
    </w:r>
    <w:r w:rsidR="00437EA0">
      <w:rPr>
        <w:spacing w:val="-5"/>
        <w:sz w:val="16"/>
      </w:rPr>
      <w:t xml:space="preserve"> </w:t>
    </w:r>
    <w:r w:rsidR="00437EA0">
      <w:rPr>
        <w:sz w:val="16"/>
      </w:rPr>
      <w:t>the</w:t>
    </w:r>
    <w:r w:rsidR="00437EA0">
      <w:rPr>
        <w:spacing w:val="-4"/>
        <w:sz w:val="16"/>
      </w:rPr>
      <w:t xml:space="preserve"> </w:t>
    </w:r>
    <w:r w:rsidR="00437EA0">
      <w:rPr>
        <w:spacing w:val="-2"/>
        <w:sz w:val="16"/>
      </w:rPr>
      <w:t>Cyprus</w:t>
    </w:r>
    <w:r w:rsidR="00437EA0">
      <w:rPr>
        <w:sz w:val="16"/>
      </w:rPr>
      <w:t xml:space="preserve"> Securities</w:t>
    </w:r>
    <w:r w:rsidR="00437EA0">
      <w:rPr>
        <w:spacing w:val="-3"/>
        <w:sz w:val="16"/>
      </w:rPr>
      <w:t xml:space="preserve"> </w:t>
    </w:r>
    <w:r w:rsidR="00437EA0">
      <w:rPr>
        <w:sz w:val="16"/>
      </w:rPr>
      <w:t>and</w:t>
    </w:r>
    <w:r w:rsidR="00437EA0">
      <w:rPr>
        <w:spacing w:val="-5"/>
        <w:sz w:val="16"/>
      </w:rPr>
      <w:t xml:space="preserve"> </w:t>
    </w:r>
    <w:r w:rsidR="00437EA0">
      <w:rPr>
        <w:sz w:val="16"/>
      </w:rPr>
      <w:t>Exchange</w:t>
    </w:r>
    <w:r w:rsidR="00437EA0">
      <w:rPr>
        <w:spacing w:val="-5"/>
        <w:sz w:val="16"/>
      </w:rPr>
      <w:t xml:space="preserve"> </w:t>
    </w:r>
    <w:r w:rsidR="00437EA0">
      <w:rPr>
        <w:sz w:val="16"/>
      </w:rPr>
      <w:t>Commission</w:t>
    </w:r>
    <w:r w:rsidR="00437EA0">
      <w:rPr>
        <w:spacing w:val="-5"/>
        <w:sz w:val="16"/>
      </w:rPr>
      <w:t xml:space="preserve"> </w:t>
    </w:r>
    <w:r w:rsidR="00437EA0">
      <w:rPr>
        <w:sz w:val="16"/>
      </w:rPr>
      <w:t>(CySEC)</w:t>
    </w:r>
    <w:r w:rsidR="00437EA0">
      <w:rPr>
        <w:spacing w:val="-6"/>
        <w:sz w:val="16"/>
      </w:rPr>
      <w:t xml:space="preserve"> </w:t>
    </w:r>
    <w:r w:rsidR="00437EA0">
      <w:rPr>
        <w:sz w:val="16"/>
      </w:rPr>
      <w:t>under</w:t>
    </w:r>
    <w:r w:rsidR="00437EA0">
      <w:rPr>
        <w:spacing w:val="-6"/>
        <w:sz w:val="16"/>
      </w:rPr>
      <w:t xml:space="preserve"> </w:t>
    </w:r>
    <w:r w:rsidR="00437EA0">
      <w:rPr>
        <w:sz w:val="16"/>
      </w:rPr>
      <w:t>license</w:t>
    </w:r>
    <w:r w:rsidR="00437EA0">
      <w:rPr>
        <w:spacing w:val="-5"/>
        <w:sz w:val="16"/>
      </w:rPr>
      <w:t xml:space="preserve"> </w:t>
    </w:r>
    <w:r w:rsidR="00437EA0">
      <w:rPr>
        <w:sz w:val="16"/>
      </w:rPr>
      <w:t>number</w:t>
    </w:r>
    <w:r w:rsidR="00437EA0">
      <w:rPr>
        <w:spacing w:val="-6"/>
        <w:sz w:val="16"/>
      </w:rPr>
      <w:t xml:space="preserve"> </w:t>
    </w:r>
    <w:r w:rsidR="00437EA0">
      <w:rPr>
        <w:sz w:val="16"/>
      </w:rPr>
      <w:t>411/22</w:t>
    </w:r>
    <w:r w:rsidR="00437EA0">
      <w:rPr>
        <w:spacing w:val="40"/>
        <w:sz w:val="16"/>
      </w:rPr>
      <w:t xml:space="preserve"> </w:t>
    </w:r>
  </w:p>
  <w:p w14:paraId="0BA7E091" w14:textId="5F91578B" w:rsidR="000F6C27" w:rsidRPr="00437EA0" w:rsidRDefault="000F6C27" w:rsidP="00437E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09E1C" w14:textId="77777777" w:rsidR="00ED75E0" w:rsidRDefault="00ED75E0">
      <w:r>
        <w:separator/>
      </w:r>
    </w:p>
  </w:footnote>
  <w:footnote w:type="continuationSeparator" w:id="0">
    <w:p w14:paraId="5AD1FA83" w14:textId="77777777" w:rsidR="00ED75E0" w:rsidRDefault="00ED75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18D6" w14:textId="7DB7E238" w:rsidR="000E0FE9" w:rsidRDefault="000E0FE9">
    <w:pPr>
      <w:pStyle w:val="Header"/>
    </w:pPr>
    <w:r>
      <w:rPr>
        <w:noProof/>
      </w:rPr>
      <w:drawing>
        <wp:anchor distT="0" distB="0" distL="114300" distR="114300" simplePos="0" relativeHeight="251659264" behindDoc="0" locked="0" layoutInCell="1" allowOverlap="1" wp14:anchorId="126E8751" wp14:editId="31107E1F">
          <wp:simplePos x="0" y="0"/>
          <wp:positionH relativeFrom="page">
            <wp:align>left</wp:align>
          </wp:positionH>
          <wp:positionV relativeFrom="paragraph">
            <wp:posOffset>0</wp:posOffset>
          </wp:positionV>
          <wp:extent cx="7791450" cy="951130"/>
          <wp:effectExtent l="0" t="0" r="0" b="1905"/>
          <wp:wrapNone/>
          <wp:docPr id="20618057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0048" name=""/>
                  <pic:cNvPicPr/>
                </pic:nvPicPr>
                <pic:blipFill>
                  <a:blip r:embed="rId1">
                    <a:extLst>
                      <a:ext uri="{96DAC541-7B7A-43D3-8B79-37D633B846F1}">
                        <asvg:svgBlip xmlns:asvg="http://schemas.microsoft.com/office/drawing/2016/SVG/main" r:embed="rId2"/>
                      </a:ext>
                    </a:extLst>
                  </a:blip>
                  <a:stretch>
                    <a:fillRect/>
                  </a:stretch>
                </pic:blipFill>
                <pic:spPr>
                  <a:xfrm>
                    <a:off x="0" y="0"/>
                    <a:ext cx="7791450" cy="9511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64118"/>
    <w:multiLevelType w:val="multilevel"/>
    <w:tmpl w:val="EBA22A1E"/>
    <w:lvl w:ilvl="0">
      <w:start w:val="1"/>
      <w:numFmt w:val="lowerLetter"/>
      <w:lvlText w:val="(%1)"/>
      <w:lvlJc w:val="left"/>
      <w:pPr>
        <w:ind w:left="377" w:hanging="237"/>
      </w:pPr>
      <w:rPr>
        <w:rFonts w:ascii="Calibri" w:eastAsia="Calibri" w:hAnsi="Calibri" w:cs="Calibri"/>
        <w:b w:val="0"/>
        <w:i w:val="0"/>
        <w:sz w:val="18"/>
        <w:szCs w:val="18"/>
      </w:rPr>
    </w:lvl>
    <w:lvl w:ilvl="1">
      <w:numFmt w:val="bullet"/>
      <w:lvlText w:val="•"/>
      <w:lvlJc w:val="left"/>
      <w:pPr>
        <w:ind w:left="1412" w:hanging="238"/>
      </w:pPr>
    </w:lvl>
    <w:lvl w:ilvl="2">
      <w:numFmt w:val="bullet"/>
      <w:lvlText w:val="•"/>
      <w:lvlJc w:val="left"/>
      <w:pPr>
        <w:ind w:left="2444" w:hanging="238"/>
      </w:pPr>
    </w:lvl>
    <w:lvl w:ilvl="3">
      <w:numFmt w:val="bullet"/>
      <w:lvlText w:val="•"/>
      <w:lvlJc w:val="left"/>
      <w:pPr>
        <w:ind w:left="3476" w:hanging="238"/>
      </w:pPr>
    </w:lvl>
    <w:lvl w:ilvl="4">
      <w:numFmt w:val="bullet"/>
      <w:lvlText w:val="•"/>
      <w:lvlJc w:val="left"/>
      <w:pPr>
        <w:ind w:left="4508" w:hanging="238"/>
      </w:pPr>
    </w:lvl>
    <w:lvl w:ilvl="5">
      <w:numFmt w:val="bullet"/>
      <w:lvlText w:val="•"/>
      <w:lvlJc w:val="left"/>
      <w:pPr>
        <w:ind w:left="5540" w:hanging="238"/>
      </w:pPr>
    </w:lvl>
    <w:lvl w:ilvl="6">
      <w:numFmt w:val="bullet"/>
      <w:lvlText w:val="•"/>
      <w:lvlJc w:val="left"/>
      <w:pPr>
        <w:ind w:left="6572" w:hanging="237"/>
      </w:pPr>
    </w:lvl>
    <w:lvl w:ilvl="7">
      <w:numFmt w:val="bullet"/>
      <w:lvlText w:val="•"/>
      <w:lvlJc w:val="left"/>
      <w:pPr>
        <w:ind w:left="7604" w:hanging="238"/>
      </w:pPr>
    </w:lvl>
    <w:lvl w:ilvl="8">
      <w:numFmt w:val="bullet"/>
      <w:lvlText w:val="•"/>
      <w:lvlJc w:val="left"/>
      <w:pPr>
        <w:ind w:left="8636" w:hanging="238"/>
      </w:pPr>
    </w:lvl>
  </w:abstractNum>
  <w:num w:numId="1" w16cid:durableId="1650093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C27"/>
    <w:rsid w:val="000E0FE9"/>
    <w:rsid w:val="000F6C27"/>
    <w:rsid w:val="001C5DD6"/>
    <w:rsid w:val="00437EA0"/>
    <w:rsid w:val="00796AD7"/>
    <w:rsid w:val="00ED75E0"/>
    <w:rsid w:val="00FA3B7C"/>
    <w:rsid w:val="00FD0FC3"/>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7DFF3"/>
  <w15:docId w15:val="{0D67E036-3A8F-4861-BD41-7B468556E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eastAsia="en-US"/>
    </w:rPr>
  </w:style>
  <w:style w:type="paragraph" w:styleId="Heading1">
    <w:name w:val="heading 1"/>
    <w:basedOn w:val="Normal"/>
    <w:next w:val="Normal"/>
    <w:uiPriority w:val="9"/>
    <w:qFormat/>
    <w:pPr>
      <w:ind w:left="140"/>
      <w:outlineLvl w:val="0"/>
    </w:pPr>
    <w:rPr>
      <w:b/>
      <w:bCs/>
      <w:sz w:val="20"/>
      <w:szCs w:val="20"/>
      <w:u w:val="single" w:color="000000"/>
    </w:rPr>
  </w:style>
  <w:style w:type="paragraph" w:styleId="Heading2">
    <w:name w:val="heading 2"/>
    <w:basedOn w:val="Normal"/>
    <w:next w:val="Normal"/>
    <w:uiPriority w:val="9"/>
    <w:unhideWhenUsed/>
    <w:qFormat/>
    <w:pPr>
      <w:ind w:left="111"/>
      <w:outlineLvl w:val="1"/>
    </w:pPr>
    <w:rPr>
      <w:b/>
      <w:bCs/>
      <w:sz w:val="18"/>
      <w:szCs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8"/>
      <w:ind w:left="384" w:hanging="246"/>
    </w:pPr>
  </w:style>
  <w:style w:type="paragraph" w:customStyle="1" w:styleId="TableParagraph">
    <w:name w:val="Table Paragraph"/>
    <w:basedOn w:val="Normal"/>
    <w:uiPriority w:val="1"/>
    <w:qFormat/>
    <w:pPr>
      <w:ind w:left="107"/>
    </w:pPr>
  </w:style>
  <w:style w:type="paragraph" w:styleId="Header">
    <w:name w:val="header"/>
    <w:basedOn w:val="Normal"/>
    <w:link w:val="HeaderChar"/>
    <w:rsid w:val="0084257B"/>
    <w:pPr>
      <w:tabs>
        <w:tab w:val="center" w:pos="4680"/>
        <w:tab w:val="right" w:pos="9360"/>
      </w:tabs>
    </w:pPr>
  </w:style>
  <w:style w:type="character" w:customStyle="1" w:styleId="HeaderChar">
    <w:name w:val="Header Char"/>
    <w:basedOn w:val="DefaultParagraphFont"/>
    <w:link w:val="Header"/>
    <w:rsid w:val="0084257B"/>
    <w:rPr>
      <w:rFonts w:ascii="Calibri" w:eastAsia="Calibri" w:hAnsi="Calibri" w:cs="Calibri"/>
      <w:sz w:val="22"/>
      <w:szCs w:val="22"/>
      <w:lang w:val="en-US" w:eastAsia="en-US"/>
    </w:rPr>
  </w:style>
  <w:style w:type="paragraph" w:styleId="Footer">
    <w:name w:val="footer"/>
    <w:basedOn w:val="Normal"/>
    <w:link w:val="FooterChar"/>
    <w:uiPriority w:val="99"/>
    <w:qFormat/>
    <w:rsid w:val="0084257B"/>
    <w:pPr>
      <w:tabs>
        <w:tab w:val="center" w:pos="4680"/>
        <w:tab w:val="right" w:pos="9360"/>
      </w:tabs>
    </w:pPr>
  </w:style>
  <w:style w:type="character" w:customStyle="1" w:styleId="FooterChar">
    <w:name w:val="Footer Char"/>
    <w:basedOn w:val="DefaultParagraphFont"/>
    <w:link w:val="Footer"/>
    <w:uiPriority w:val="99"/>
    <w:rsid w:val="0084257B"/>
    <w:rPr>
      <w:rFonts w:ascii="Calibri" w:eastAsia="Calibri" w:hAnsi="Calibri" w:cs="Calibri"/>
      <w:sz w:val="22"/>
      <w:szCs w:val="22"/>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437EA0"/>
    <w:rPr>
      <w:color w:val="50771B" w:themeColor="hyperlink"/>
      <w:u w:val="single"/>
    </w:rPr>
  </w:style>
  <w:style w:type="character" w:styleId="UnresolvedMention">
    <w:name w:val="Unresolved Mention"/>
    <w:basedOn w:val="DefaultParagraphFont"/>
    <w:uiPriority w:val="99"/>
    <w:semiHidden/>
    <w:unhideWhenUsed/>
    <w:rsid w:val="00437EA0"/>
    <w:rPr>
      <w:color w:val="605E5C"/>
      <w:shd w:val="clear" w:color="auto" w:fill="E1DFDD"/>
    </w:rPr>
  </w:style>
  <w:style w:type="table" w:styleId="ListTable6Colorful-Accent3">
    <w:name w:val="List Table 6 Colorful Accent 3"/>
    <w:basedOn w:val="TableNormal"/>
    <w:uiPriority w:val="51"/>
    <w:rsid w:val="000E0FE9"/>
    <w:rPr>
      <w:color w:val="B09042" w:themeColor="accent3" w:themeShade="BF"/>
    </w:rPr>
    <w:tblPr>
      <w:tblStyleRowBandSize w:val="1"/>
      <w:tblStyleColBandSize w:val="1"/>
      <w:tblBorders>
        <w:top w:val="single" w:sz="4" w:space="0" w:color="CCB478" w:themeColor="accent3"/>
        <w:bottom w:val="single" w:sz="4" w:space="0" w:color="CCB478" w:themeColor="accent3"/>
      </w:tblBorders>
    </w:tblPr>
    <w:tblStylePr w:type="firstRow">
      <w:rPr>
        <w:b/>
        <w:bCs/>
      </w:rPr>
      <w:tblPr/>
      <w:tcPr>
        <w:tcBorders>
          <w:bottom w:val="single" w:sz="4" w:space="0" w:color="CCB478" w:themeColor="accent3"/>
        </w:tcBorders>
      </w:tcPr>
    </w:tblStylePr>
    <w:tblStylePr w:type="lastRow">
      <w:rPr>
        <w:b/>
        <w:bCs/>
      </w:rPr>
      <w:tblPr/>
      <w:tcPr>
        <w:tcBorders>
          <w:top w:val="double" w:sz="4" w:space="0" w:color="CCB478" w:themeColor="accent3"/>
        </w:tcBorders>
      </w:tcPr>
    </w:tblStylePr>
    <w:tblStylePr w:type="firstCol">
      <w:rPr>
        <w:b/>
        <w:bCs/>
      </w:rPr>
    </w:tblStylePr>
    <w:tblStylePr w:type="lastCol">
      <w:rPr>
        <w:b/>
        <w:bCs/>
      </w:rPr>
    </w:tblStylePr>
    <w:tblStylePr w:type="band1Vert">
      <w:tblPr/>
      <w:tcPr>
        <w:shd w:val="clear" w:color="auto" w:fill="F4EFE3" w:themeFill="accent3" w:themeFillTint="33"/>
      </w:tcPr>
    </w:tblStylePr>
    <w:tblStylePr w:type="band1Horz">
      <w:tblPr/>
      <w:tcPr>
        <w:shd w:val="clear" w:color="auto" w:fill="F4EFE3" w:themeFill="accent3" w:themeFillTint="33"/>
      </w:tcPr>
    </w:tblStylePr>
  </w:style>
  <w:style w:type="table" w:styleId="ListTable6Colorful-Accent2">
    <w:name w:val="List Table 6 Colorful Accent 2"/>
    <w:basedOn w:val="TableNormal"/>
    <w:uiPriority w:val="51"/>
    <w:rsid w:val="000E0FE9"/>
    <w:rPr>
      <w:color w:val="B09042" w:themeColor="accent2" w:themeShade="BF"/>
    </w:rPr>
    <w:tblPr>
      <w:tblStyleRowBandSize w:val="1"/>
      <w:tblStyleColBandSize w:val="1"/>
      <w:tblBorders>
        <w:top w:val="single" w:sz="4" w:space="0" w:color="CCB478" w:themeColor="accent2"/>
        <w:bottom w:val="single" w:sz="4" w:space="0" w:color="CCB478" w:themeColor="accent2"/>
      </w:tblBorders>
    </w:tblPr>
    <w:tblStylePr w:type="firstRow">
      <w:rPr>
        <w:b/>
        <w:bCs/>
      </w:rPr>
      <w:tblPr/>
      <w:tcPr>
        <w:tcBorders>
          <w:bottom w:val="single" w:sz="4" w:space="0" w:color="CCB478" w:themeColor="accent2"/>
        </w:tcBorders>
      </w:tcPr>
    </w:tblStylePr>
    <w:tblStylePr w:type="lastRow">
      <w:rPr>
        <w:b/>
        <w:bCs/>
      </w:rPr>
      <w:tblPr/>
      <w:tcPr>
        <w:tcBorders>
          <w:top w:val="double" w:sz="4" w:space="0" w:color="CCB478" w:themeColor="accent2"/>
        </w:tcBorders>
      </w:tcPr>
    </w:tblStylePr>
    <w:tblStylePr w:type="firstCol">
      <w:rPr>
        <w:b/>
        <w:bCs/>
      </w:rPr>
    </w:tblStylePr>
    <w:tblStylePr w:type="lastCol">
      <w:rPr>
        <w:b/>
        <w:bCs/>
      </w:rPr>
    </w:tblStylePr>
    <w:tblStylePr w:type="band1Vert">
      <w:tblPr/>
      <w:tcPr>
        <w:shd w:val="clear" w:color="auto" w:fill="F4EFE3" w:themeFill="accent2" w:themeFillTint="33"/>
      </w:tcPr>
    </w:tblStylePr>
    <w:tblStylePr w:type="band1Horz">
      <w:tblPr/>
      <w:tcPr>
        <w:shd w:val="clear" w:color="auto" w:fill="F4EFE3"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www.hmvest.eu" TargetMode="External"/><Relationship Id="rId2" Type="http://schemas.openxmlformats.org/officeDocument/2006/relationships/customXml" Target="../customXml/item2.xml"/><Relationship Id="rId16" Type="http://schemas.openxmlformats.org/officeDocument/2006/relationships/hyperlink" Target="http://www.hmvest.e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www.hmvest.eu"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373545"/>
      </a:dk2>
      <a:lt2>
        <a:srgbClr val="CEDBE6"/>
      </a:lt2>
      <a:accent1>
        <a:srgbClr val="CCB478"/>
      </a:accent1>
      <a:accent2>
        <a:srgbClr val="CCB478"/>
      </a:accent2>
      <a:accent3>
        <a:srgbClr val="CCB478"/>
      </a:accent3>
      <a:accent4>
        <a:srgbClr val="CCB478"/>
      </a:accent4>
      <a:accent5>
        <a:srgbClr val="CCB478"/>
      </a:accent5>
      <a:accent6>
        <a:srgbClr val="CCB478"/>
      </a:accent6>
      <a:hlink>
        <a:srgbClr val="50771B"/>
      </a:hlink>
      <a:folHlink>
        <a:srgbClr val="CCB47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js9CeRd9X95lgxiLjjQ5TjXaWg==">CgMxLjA4AHIhMVdLU0NONzd3TURfV0NHaG1mYUpJLS1ZTDVmUjRyU1Bu</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FA0CFE0FCB7C4D4D8064000D263D108F" ma:contentTypeVersion="12" ma:contentTypeDescription="Create a new document." ma:contentTypeScope="" ma:versionID="d7c1b16c8d87d6c86b8593b8d2e85606">
  <xsd:schema xmlns:xsd="http://www.w3.org/2001/XMLSchema" xmlns:xs="http://www.w3.org/2001/XMLSchema" xmlns:p="http://schemas.microsoft.com/office/2006/metadata/properties" xmlns:ns2="6e5c95d3-5332-43d7-8b75-ddaf6f54b710" xmlns:ns3="a104c4c2-d6e5-4f26-a7e2-db21f40d6e52" targetNamespace="http://schemas.microsoft.com/office/2006/metadata/properties" ma:root="true" ma:fieldsID="6e843289234a4388b7f951f4c6b69276" ns2:_="" ns3:_="">
    <xsd:import namespace="6e5c95d3-5332-43d7-8b75-ddaf6f54b710"/>
    <xsd:import namespace="a104c4c2-d6e5-4f26-a7e2-db21f40d6e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5c95d3-5332-43d7-8b75-ddaf6f54b7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b1f6500-ed73-400a-97cb-3757a3cf22c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04c4c2-d6e5-4f26-a7e2-db21f40d6e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3070828-855f-4265-a7ce-f2afdda6582e}" ma:internalName="TaxCatchAll" ma:showField="CatchAllData" ma:web="a104c4c2-d6e5-4f26-a7e2-db21f40d6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5c95d3-5332-43d7-8b75-ddaf6f54b710">
      <Terms xmlns="http://schemas.microsoft.com/office/infopath/2007/PartnerControls"/>
    </lcf76f155ced4ddcb4097134ff3c332f>
    <TaxCatchAll xmlns="a104c4c2-d6e5-4f26-a7e2-db21f40d6e52"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4B7A2A2-2F24-43BC-8121-F35DAD981C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5c95d3-5332-43d7-8b75-ddaf6f54b710"/>
    <ds:schemaRef ds:uri="a104c4c2-d6e5-4f26-a7e2-db21f40d6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97026E-DD21-400E-B02A-C1F14DD2DBAD}">
  <ds:schemaRefs>
    <ds:schemaRef ds:uri="http://schemas.microsoft.com/sharepoint/v3/contenttype/forms"/>
  </ds:schemaRefs>
</ds:datastoreItem>
</file>

<file path=customXml/itemProps4.xml><?xml version="1.0" encoding="utf-8"?>
<ds:datastoreItem xmlns:ds="http://schemas.openxmlformats.org/officeDocument/2006/customXml" ds:itemID="{0B89F65E-FE0F-414E-940E-81CAB8E0CAF4}">
  <ds:schemaRefs>
    <ds:schemaRef ds:uri="http://schemas.microsoft.com/office/2006/metadata/properties"/>
    <ds:schemaRef ds:uri="http://schemas.microsoft.com/office/infopath/2007/PartnerControls"/>
    <ds:schemaRef ds:uri="6e5c95d3-5332-43d7-8b75-ddaf6f54b710"/>
    <ds:schemaRef ds:uri="a104c4c2-d6e5-4f26-a7e2-db21f40d6e52"/>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1485</Words>
  <Characters>8471</Characters>
  <Application>Microsoft Office Word</Application>
  <DocSecurity>0</DocSecurity>
  <Lines>70</Lines>
  <Paragraphs>19</Paragraphs>
  <ScaleCrop>false</ScaleCrop>
  <Company/>
  <LinksUpToDate>false</LinksUpToDate>
  <CharactersWithSpaces>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FIVECOMPLY</dc:creator>
  <cp:lastModifiedBy>Rawan</cp:lastModifiedBy>
  <cp:revision>5</cp:revision>
  <dcterms:created xsi:type="dcterms:W3CDTF">2022-09-29T10:33:00Z</dcterms:created>
  <dcterms:modified xsi:type="dcterms:W3CDTF">2025-11-24T16:07:00Z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2022-07-22T00:00:00Z</vt:filetime>
  </property>
  <property fmtid="{D5CDD505-2E9C-101B-9397-08002B2CF9AE}" pid="3" name="Creator">
    <vt:lpwstr>Acrobat PDFMaker 22 for Word</vt:lpwstr>
  </property>
  <property fmtid="{D5CDD505-2E9C-101B-9397-08002B2CF9AE}" pid="4" name="LastSaved">
    <vt:filetime>2022-09-29T00:00:00Z</vt:filetime>
  </property>
  <property fmtid="{D5CDD505-2E9C-101B-9397-08002B2CF9AE}" pid="5" name="Producer">
    <vt:lpwstr>Adobe PDF Library 22.1.201</vt:lpwstr>
  </property>
  <property fmtid="{D5CDD505-2E9C-101B-9397-08002B2CF9AE}" pid="6" name="SourceModified">
    <vt:lpwstr>D:20220722120059</vt:lpwstr>
  </property>
  <property fmtid="{D5CDD505-2E9C-101B-9397-08002B2CF9AE}" pid="7" name="KSOProductBuildVer">
    <vt:lpwstr>1033-11.2.0.11341</vt:lpwstr>
  </property>
  <property fmtid="{D5CDD505-2E9C-101B-9397-08002B2CF9AE}" pid="8" name="ICV">
    <vt:lpwstr>2EE3F5E897524E16A3724AA5BD7A6222</vt:lpwstr>
  </property>
  <property fmtid="{D5CDD505-2E9C-101B-9397-08002B2CF9AE}" pid="9" name="ContentTypeId">
    <vt:lpwstr>0x010100FA0CFE0FCB7C4D4D8064000D263D108F</vt:lpwstr>
  </property>
  <property fmtid="{D5CDD505-2E9C-101B-9397-08002B2CF9AE}" pid="10" name="MediaServiceImageTags">
    <vt:lpwstr/>
  </property>
</Properties>
</file>