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FE032" w14:textId="77777777" w:rsidR="0048064C" w:rsidRPr="00C53DE9" w:rsidRDefault="0048064C">
      <w:pPr>
        <w:rPr>
          <w:rFonts w:ascii="Poppins" w:hAnsi="Poppins" w:cs="Poppins"/>
          <w:sz w:val="18"/>
          <w:szCs w:val="18"/>
        </w:rPr>
      </w:pPr>
    </w:p>
    <w:p w14:paraId="39FFE033" w14:textId="77777777" w:rsidR="0048064C" w:rsidRPr="00C53DE9" w:rsidRDefault="00020658">
      <w:pPr>
        <w:jc w:val="both"/>
        <w:rPr>
          <w:rFonts w:ascii="Poppins" w:hAnsi="Poppins" w:cs="Poppins"/>
          <w:sz w:val="18"/>
          <w:szCs w:val="18"/>
        </w:rPr>
      </w:pPr>
      <w:r w:rsidRPr="00C53DE9">
        <w:rPr>
          <w:rFonts w:ascii="Poppins" w:hAnsi="Poppins" w:cs="Poppins"/>
          <w:b/>
          <w:sz w:val="18"/>
          <w:szCs w:val="18"/>
          <w:u w:val="single"/>
        </w:rPr>
        <w:t>Avaintietoasiakirja – CFD valuuttaparilla</w:t>
      </w:r>
    </w:p>
    <w:p w14:paraId="39FFE034" w14:textId="77777777" w:rsidR="0048064C" w:rsidRPr="00C53DE9" w:rsidRDefault="00020658">
      <w:pPr>
        <w:jc w:val="both"/>
        <w:rPr>
          <w:rFonts w:ascii="Poppins" w:hAnsi="Poppins" w:cs="Poppins"/>
          <w:sz w:val="18"/>
          <w:szCs w:val="18"/>
        </w:rPr>
      </w:pPr>
      <w:r w:rsidRPr="00C53DE9">
        <w:rPr>
          <w:rFonts w:ascii="Poppins" w:hAnsi="Poppins" w:cs="Poppins"/>
          <w:sz w:val="18"/>
          <w:szCs w:val="18"/>
        </w:rPr>
        <w:t>Tämä asiakirja sisältää keskeiset tiedot tästä sijoitustuotteesta. Se ei ole markkinointimateriaalia. Tietoja vaaditaan lain mukaan, jotta voit ymmärtää tämän tuotteen luonteen, riskit, kustannukset, mahdolliset hyödyt ja tappiot ja auttaa sinua vertaamaan sitä muihin tuotteisiin.</w:t>
      </w:r>
    </w:p>
    <w:p w14:paraId="39FFE035" w14:textId="2253B5E8" w:rsidR="0048064C" w:rsidRPr="00C53DE9" w:rsidRDefault="00020658">
      <w:pPr>
        <w:jc w:val="both"/>
        <w:rPr>
          <w:rFonts w:ascii="Poppins" w:hAnsi="Poppins" w:cs="Poppins"/>
          <w:sz w:val="18"/>
          <w:szCs w:val="18"/>
        </w:rPr>
      </w:pPr>
      <w:r w:rsidRPr="00C53DE9">
        <w:rPr>
          <w:rFonts w:ascii="Poppins" w:hAnsi="Poppins" w:cs="Poppins"/>
          <w:b/>
          <w:sz w:val="18"/>
          <w:szCs w:val="18"/>
        </w:rPr>
        <w:t>Valmistaja:</w:t>
      </w:r>
      <w:r w:rsidRPr="00C53DE9">
        <w:rPr>
          <w:rFonts w:ascii="Poppins" w:hAnsi="Poppins" w:cs="Poppins"/>
          <w:b/>
          <w:sz w:val="18"/>
          <w:szCs w:val="18"/>
        </w:rPr>
        <w:tab/>
      </w:r>
      <w:r w:rsidRPr="00C53DE9">
        <w:rPr>
          <w:rFonts w:ascii="Poppins" w:hAnsi="Poppins" w:cs="Poppins"/>
          <w:b/>
          <w:sz w:val="18"/>
          <w:szCs w:val="18"/>
        </w:rPr>
        <w:tab/>
      </w:r>
      <w:r w:rsidRPr="00C53DE9">
        <w:rPr>
          <w:rFonts w:ascii="Poppins" w:hAnsi="Poppins" w:cs="Poppins"/>
          <w:b/>
          <w:sz w:val="18"/>
          <w:szCs w:val="18"/>
        </w:rPr>
        <w:tab/>
      </w:r>
      <w:r w:rsidR="00A36713" w:rsidRPr="00C53DE9">
        <w:rPr>
          <w:rFonts w:ascii="Poppins" w:hAnsi="Poppins" w:cs="Poppins"/>
          <w:sz w:val="18"/>
          <w:szCs w:val="18"/>
        </w:rPr>
        <w:t>HARMOVEST CAPITAL (CYPRUS) LTD</w:t>
      </w:r>
    </w:p>
    <w:p w14:paraId="39FFE036" w14:textId="77777777" w:rsidR="0048064C" w:rsidRPr="00C53DE9" w:rsidRDefault="00020658">
      <w:pPr>
        <w:jc w:val="both"/>
        <w:rPr>
          <w:rFonts w:ascii="Poppins" w:hAnsi="Poppins" w:cs="Poppins"/>
          <w:sz w:val="18"/>
          <w:szCs w:val="18"/>
        </w:rPr>
      </w:pPr>
      <w:r w:rsidRPr="00C53DE9">
        <w:rPr>
          <w:rFonts w:ascii="Poppins" w:hAnsi="Poppins" w:cs="Poppins"/>
          <w:sz w:val="18"/>
          <w:szCs w:val="18"/>
        </w:rPr>
        <w:tab/>
      </w:r>
      <w:r w:rsidRPr="00C53DE9">
        <w:rPr>
          <w:rFonts w:ascii="Poppins" w:hAnsi="Poppins" w:cs="Poppins"/>
          <w:sz w:val="18"/>
          <w:szCs w:val="18"/>
        </w:rPr>
        <w:tab/>
      </w:r>
      <w:r w:rsidRPr="00C53DE9">
        <w:rPr>
          <w:rFonts w:ascii="Poppins" w:hAnsi="Poppins" w:cs="Poppins"/>
          <w:sz w:val="18"/>
          <w:szCs w:val="18"/>
        </w:rPr>
        <w:tab/>
      </w:r>
      <w:r w:rsidRPr="00C53DE9">
        <w:rPr>
          <w:rFonts w:ascii="Poppins" w:hAnsi="Poppins" w:cs="Poppins"/>
          <w:sz w:val="18"/>
          <w:szCs w:val="18"/>
        </w:rPr>
        <w:tab/>
        <w:t>Lisenssi nro 411/22</w:t>
      </w:r>
    </w:p>
    <w:p w14:paraId="39FFE037" w14:textId="5E2AB77D" w:rsidR="0048064C" w:rsidRPr="00C53DE9" w:rsidRDefault="00BD5EA2">
      <w:pPr>
        <w:ind w:left="2160" w:firstLine="720"/>
        <w:jc w:val="both"/>
        <w:rPr>
          <w:rFonts w:ascii="Poppins" w:hAnsi="Poppins" w:cs="Poppins"/>
          <w:sz w:val="18"/>
          <w:szCs w:val="18"/>
        </w:rPr>
      </w:pPr>
      <w:r w:rsidRPr="00C53DE9">
        <w:rPr>
          <w:rFonts w:ascii="Poppins" w:hAnsi="Poppins" w:cs="Poppins"/>
          <w:sz w:val="18"/>
          <w:szCs w:val="18"/>
        </w:rPr>
        <w:t>61 Griva Digeni A&amp;V COURT Flat 401 Agios Nikolas, 3101</w:t>
      </w:r>
      <w:r w:rsidR="00020658" w:rsidRPr="00C53DE9">
        <w:rPr>
          <w:rFonts w:ascii="Poppins" w:hAnsi="Poppins" w:cs="Poppins"/>
          <w:sz w:val="18"/>
          <w:szCs w:val="18"/>
        </w:rPr>
        <w:t>,</w:t>
      </w:r>
      <w:r w:rsidRPr="00C53DE9">
        <w:rPr>
          <w:rFonts w:ascii="Poppins" w:hAnsi="Poppins" w:cs="Poppins"/>
          <w:sz w:val="18"/>
          <w:szCs w:val="18"/>
        </w:rPr>
        <w:t xml:space="preserve"> </w:t>
      </w:r>
      <w:r w:rsidR="00020658" w:rsidRPr="00C53DE9">
        <w:rPr>
          <w:rFonts w:ascii="Poppins" w:hAnsi="Poppins" w:cs="Poppins"/>
          <w:sz w:val="18"/>
          <w:szCs w:val="18"/>
        </w:rPr>
        <w:t>Limassol, Kypros</w:t>
      </w:r>
    </w:p>
    <w:p w14:paraId="39FFE038" w14:textId="77777777" w:rsidR="0048064C" w:rsidRPr="00C53DE9" w:rsidRDefault="00020658">
      <w:pPr>
        <w:jc w:val="both"/>
        <w:rPr>
          <w:rFonts w:ascii="Poppins" w:hAnsi="Poppins" w:cs="Poppins"/>
          <w:sz w:val="18"/>
          <w:szCs w:val="18"/>
        </w:rPr>
      </w:pPr>
      <w:r w:rsidRPr="00C53DE9">
        <w:rPr>
          <w:rFonts w:ascii="Poppins" w:hAnsi="Poppins" w:cs="Poppins"/>
          <w:b/>
          <w:sz w:val="18"/>
          <w:szCs w:val="18"/>
        </w:rPr>
        <w:t>Valvottu viranomainen:</w:t>
      </w:r>
      <w:r w:rsidRPr="00C53DE9">
        <w:rPr>
          <w:rFonts w:ascii="Poppins" w:hAnsi="Poppins" w:cs="Poppins"/>
          <w:sz w:val="18"/>
          <w:szCs w:val="18"/>
        </w:rPr>
        <w:t xml:space="preserve"> </w:t>
      </w:r>
      <w:r w:rsidRPr="00C53DE9">
        <w:rPr>
          <w:rFonts w:ascii="Poppins" w:hAnsi="Poppins" w:cs="Poppins"/>
          <w:sz w:val="18"/>
          <w:szCs w:val="18"/>
        </w:rPr>
        <w:tab/>
        <w:t>Kypros Securities and Exchange Commission</w:t>
      </w:r>
    </w:p>
    <w:p w14:paraId="39FFE039" w14:textId="77777777" w:rsidR="0048064C" w:rsidRPr="00C53DE9" w:rsidRDefault="00020658">
      <w:pPr>
        <w:jc w:val="both"/>
        <w:rPr>
          <w:rFonts w:ascii="Poppins" w:hAnsi="Poppins" w:cs="Poppins"/>
          <w:sz w:val="18"/>
          <w:szCs w:val="18"/>
        </w:rPr>
      </w:pPr>
      <w:r w:rsidRPr="00C53DE9">
        <w:rPr>
          <w:rFonts w:ascii="Poppins" w:hAnsi="Poppins" w:cs="Poppins"/>
          <w:sz w:val="18"/>
          <w:szCs w:val="18"/>
        </w:rPr>
        <w:tab/>
      </w:r>
      <w:r w:rsidRPr="00C53DE9">
        <w:rPr>
          <w:rFonts w:ascii="Poppins" w:hAnsi="Poppins" w:cs="Poppins"/>
          <w:sz w:val="18"/>
          <w:szCs w:val="18"/>
        </w:rPr>
        <w:tab/>
      </w:r>
      <w:r w:rsidRPr="00C53DE9">
        <w:rPr>
          <w:rFonts w:ascii="Poppins" w:hAnsi="Poppins" w:cs="Poppins"/>
          <w:sz w:val="18"/>
          <w:szCs w:val="18"/>
        </w:rPr>
        <w:tab/>
      </w:r>
      <w:r w:rsidRPr="00C53DE9">
        <w:rPr>
          <w:rFonts w:ascii="Poppins" w:hAnsi="Poppins" w:cs="Poppins"/>
          <w:sz w:val="18"/>
          <w:szCs w:val="18"/>
        </w:rPr>
        <w:tab/>
        <w:t>19 Diagorou Str., 1097, Nikosia</w:t>
      </w:r>
    </w:p>
    <w:p w14:paraId="39FFE03A" w14:textId="77777777" w:rsidR="0048064C" w:rsidRPr="00C53DE9" w:rsidRDefault="00020658">
      <w:pPr>
        <w:ind w:left="180" w:hanging="180"/>
        <w:rPr>
          <w:rFonts w:ascii="Poppins" w:hAnsi="Poppins" w:cs="Poppins"/>
          <w:b/>
          <w:sz w:val="18"/>
          <w:szCs w:val="18"/>
          <w:u w:val="single"/>
        </w:rPr>
      </w:pPr>
      <w:r w:rsidRPr="00C53DE9">
        <w:rPr>
          <w:rFonts w:ascii="Poppins" w:hAnsi="Poppins" w:cs="Poppins"/>
          <w:b/>
          <w:sz w:val="18"/>
          <w:szCs w:val="18"/>
          <w:u w:val="single"/>
        </w:rPr>
        <w:t xml:space="preserve"> </w:t>
      </w:r>
      <w:r w:rsidRPr="00C53DE9">
        <w:rPr>
          <w:rFonts w:ascii="Poppins" w:hAnsi="Poppins" w:cs="Poppins"/>
          <w:b/>
          <w:noProof/>
          <w:sz w:val="18"/>
          <w:szCs w:val="18"/>
          <w:u w:val="single"/>
        </w:rPr>
        <w:drawing>
          <wp:inline distT="0" distB="0" distL="0" distR="0" wp14:anchorId="39FFE0C3" wp14:editId="39FFE0C4">
            <wp:extent cx="209550" cy="209550"/>
            <wp:effectExtent l="0" t="0" r="0" b="0"/>
            <wp:docPr id="1073741827" name="image1.png" descr="C:\Users\user\Downloads\download.jpg"/>
            <wp:cNvGraphicFramePr/>
            <a:graphic xmlns:a="http://schemas.openxmlformats.org/drawingml/2006/main">
              <a:graphicData uri="http://schemas.openxmlformats.org/drawingml/2006/picture">
                <pic:pic xmlns:pic="http://schemas.openxmlformats.org/drawingml/2006/picture">
                  <pic:nvPicPr>
                    <pic:cNvPr id="0" name="image1.png" descr="C:\Users\user\Downloads\download.jpg"/>
                    <pic:cNvPicPr preferRelativeResize="0"/>
                  </pic:nvPicPr>
                  <pic:blipFill>
                    <a:blip r:embed="rId10"/>
                    <a:srcRect/>
                    <a:stretch>
                      <a:fillRect/>
                    </a:stretch>
                  </pic:blipFill>
                  <pic:spPr>
                    <a:xfrm>
                      <a:off x="0" y="0"/>
                      <a:ext cx="209550" cy="209550"/>
                    </a:xfrm>
                    <a:prstGeom prst="rect">
                      <a:avLst/>
                    </a:prstGeom>
                    <a:ln/>
                  </pic:spPr>
                </pic:pic>
              </a:graphicData>
            </a:graphic>
          </wp:inline>
        </w:drawing>
      </w:r>
      <w:r w:rsidRPr="00C53DE9">
        <w:rPr>
          <w:rFonts w:ascii="Poppins" w:hAnsi="Poppins" w:cs="Poppins"/>
          <w:b/>
          <w:sz w:val="18"/>
          <w:szCs w:val="18"/>
          <w:u w:val="single"/>
        </w:rPr>
        <w:t>Olet ostamassa monimutkaista tuotetta, jota on vaikea ymmärtää ja johon liittyy suuri riski menettää koko sijoitetun pääomasi</w:t>
      </w:r>
    </w:p>
    <w:p w14:paraId="39FFE03B" w14:textId="77777777" w:rsidR="0048064C" w:rsidRPr="00C53DE9" w:rsidRDefault="00020658">
      <w:pPr>
        <w:pBdr>
          <w:top w:val="nil"/>
          <w:left w:val="nil"/>
          <w:bottom w:val="nil"/>
          <w:right w:val="nil"/>
          <w:between w:val="nil"/>
        </w:pBdr>
        <w:shd w:val="clear" w:color="auto" w:fill="BFBFBF"/>
        <w:spacing w:after="0"/>
        <w:ind w:left="720" w:hanging="720"/>
        <w:jc w:val="both"/>
        <w:rPr>
          <w:rFonts w:ascii="Poppins" w:hAnsi="Poppins" w:cs="Poppins"/>
          <w:b/>
          <w:color w:val="000000"/>
          <w:sz w:val="18"/>
          <w:szCs w:val="18"/>
        </w:rPr>
      </w:pPr>
      <w:r w:rsidRPr="00C53DE9">
        <w:rPr>
          <w:rFonts w:ascii="Poppins" w:hAnsi="Poppins" w:cs="Poppins"/>
          <w:b/>
          <w:color w:val="000000"/>
          <w:sz w:val="18"/>
          <w:szCs w:val="18"/>
        </w:rPr>
        <w:t>Tuotteen Kuvaus</w:t>
      </w:r>
    </w:p>
    <w:p w14:paraId="39FFE03C" w14:textId="77777777" w:rsidR="0048064C" w:rsidRPr="00C53DE9" w:rsidRDefault="00020658">
      <w:pPr>
        <w:spacing w:after="0" w:line="240" w:lineRule="auto"/>
        <w:jc w:val="both"/>
        <w:rPr>
          <w:rFonts w:ascii="Poppins" w:hAnsi="Poppins" w:cs="Poppins"/>
          <w:color w:val="000000"/>
          <w:sz w:val="18"/>
          <w:szCs w:val="18"/>
        </w:rPr>
      </w:pPr>
      <w:r w:rsidRPr="00C53DE9">
        <w:rPr>
          <w:rFonts w:ascii="Poppins" w:hAnsi="Poppins" w:cs="Poppins"/>
          <w:color w:val="000000"/>
          <w:sz w:val="18"/>
          <w:szCs w:val="18"/>
        </w:rPr>
        <w:t xml:space="preserve">Erotussopimukset (CFD) ovat monimutkaisia </w:t>
      </w:r>
      <w:r w:rsidRPr="00C53DE9">
        <w:rPr>
          <w:rFonts w:ascii="Times New Roman" w:hAnsi="Times New Roman" w:cs="Times New Roman"/>
          <w:color w:val="000000"/>
          <w:sz w:val="18"/>
          <w:szCs w:val="18"/>
        </w:rPr>
        <w:t>​​</w:t>
      </w:r>
      <w:r w:rsidRPr="00C53DE9">
        <w:rPr>
          <w:rFonts w:ascii="Poppins" w:hAnsi="Poppins" w:cs="Poppins"/>
          <w:color w:val="000000"/>
          <w:sz w:val="18"/>
          <w:szCs w:val="18"/>
        </w:rPr>
        <w:t>rahoitustuotteita sovellettavan lain mukaisesti. Niillä käydään kauppaa OTC-periaatteella eikä säänneltyjen markkinoiden kautta. CFD:t, jotka ovat sopimuksia, joilla vaihdetaan tietyn kohde-etuutena olevan instrumentin arvon ero sopimuksen tekohetken ja sen sulkemisajankohdan välillä, jolloin sijoittajat voivat jäljitellä tietyillä valuutoilla tai muilla valuutoilla käytävän kaupan taloudellista vaikutusta. omaisuusluokat ilman todellista omistusta. Valuuttapari (eli EUR/USD) sisältää kahden eri valuutan samanaikaisen ostamisen ja myynnin. Mainitun parin (EUR) edustaa perusvaluuttaa ja (USD) lainausvaluuttaa. CFD-kaupankäynnissä ei tapahdu fyysistä varojen vaihtoa; siksi, rahoitusselvitys johtuu erosta position sulkemishetkellä ja kohde-etuuden hinnasta (vastapuolen laatima) positio avaushetkellä. Yleisimpiä kohde-etuuksia ovat osakkeet, hyödykkeet, valuutat ja markkinaindeksit.</w:t>
      </w:r>
    </w:p>
    <w:p w14:paraId="39FFE03D"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CFD-kaupan voiton tai tappion määrän määrää:</w:t>
      </w:r>
    </w:p>
    <w:p w14:paraId="39FFE03E"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(a) kaupan avaushinnan ja kaupan sulkemishetken hinnan välinen ero;</w:t>
      </w:r>
    </w:p>
    <w:p w14:paraId="39FFE03F"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(b) Osuudet, joilla käydään kauppaa;</w:t>
      </w:r>
    </w:p>
    <w:p w14:paraId="39FFE040" w14:textId="77777777" w:rsidR="0048064C" w:rsidRPr="00C53DE9" w:rsidRDefault="00020658">
      <w:pPr>
        <w:spacing w:after="0"/>
        <w:ind w:left="360" w:hanging="360"/>
        <w:jc w:val="both"/>
        <w:rPr>
          <w:rFonts w:ascii="Poppins" w:hAnsi="Poppins" w:cs="Poppins"/>
          <w:sz w:val="18"/>
          <w:szCs w:val="18"/>
        </w:rPr>
      </w:pPr>
      <w:r w:rsidRPr="00C53DE9">
        <w:rPr>
          <w:rFonts w:ascii="Poppins" w:hAnsi="Poppins" w:cs="Poppins"/>
          <w:sz w:val="18"/>
          <w:szCs w:val="18"/>
        </w:rPr>
        <w:t>(c) CFD:hen liittyvät oikaisut, esimerkiksi silloin, kun kohde-etuutena olevalle osakkeelle/indeksille maksetaan osinkoa;</w:t>
      </w:r>
    </w:p>
    <w:p w14:paraId="39FFE041"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(d) CFD:hen liittyvät hallussapitokustannukset tai palkkiot;</w:t>
      </w:r>
    </w:p>
    <w:p w14:paraId="39FFE042"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(e) kaupankäynnin kohteena olevan instrumentin tick- tai pip-arvo;</w:t>
      </w:r>
    </w:p>
    <w:p w14:paraId="39FFE043" w14:textId="77777777" w:rsidR="0048064C" w:rsidRPr="00C53DE9" w:rsidRDefault="00020658">
      <w:pPr>
        <w:spacing w:after="0" w:line="240" w:lineRule="auto"/>
        <w:jc w:val="both"/>
        <w:rPr>
          <w:rFonts w:ascii="Poppins" w:hAnsi="Poppins" w:cs="Poppins"/>
          <w:color w:val="000000"/>
          <w:sz w:val="18"/>
          <w:szCs w:val="18"/>
        </w:rPr>
      </w:pPr>
      <w:r w:rsidRPr="00C53DE9">
        <w:rPr>
          <w:rFonts w:ascii="Poppins" w:hAnsi="Poppins" w:cs="Poppins"/>
          <w:color w:val="000000"/>
          <w:sz w:val="18"/>
          <w:szCs w:val="18"/>
        </w:rPr>
        <w:t>Jotta positio voitaisiin avata, sijoittajalla tulee olla kaupankäyntitilillä riittävästi varoja kattamaan positiosta vaadittava marginaali. Eri CFD-sopimuksiin vaadittava marginaali löytyy verkkosivustoltamme ja/tai alustaltamme. Kun positio suljetaan, sijoittaja saa erotuksen kohde-etuuden markkina-arvon välillä positioiden sulkemishetkellä, jos:</w:t>
      </w:r>
    </w:p>
    <w:p w14:paraId="39FFE044" w14:textId="77777777" w:rsidR="0048064C" w:rsidRPr="00C53DE9" w:rsidRDefault="00020658">
      <w:pPr>
        <w:spacing w:after="0" w:line="240" w:lineRule="auto"/>
        <w:jc w:val="both"/>
        <w:rPr>
          <w:rFonts w:ascii="Poppins" w:hAnsi="Poppins" w:cs="Poppins"/>
          <w:color w:val="000000"/>
          <w:sz w:val="18"/>
          <w:szCs w:val="18"/>
        </w:rPr>
      </w:pPr>
      <w:r w:rsidRPr="00C53DE9">
        <w:rPr>
          <w:rFonts w:ascii="Poppins" w:hAnsi="Poppins" w:cs="Poppins"/>
          <w:color w:val="000000"/>
          <w:sz w:val="18"/>
          <w:szCs w:val="18"/>
        </w:rPr>
        <w:t>Pitkää positiota pidettäessä (ostettaessa CFD:tä) hinta positioiden sulkemishetkellä on korkeampi kuin positio avaushetken hinta, joka muunnetaan automaattisesti kaupankäyntitilin valuutaksi; tai</w:t>
      </w:r>
    </w:p>
    <w:p w14:paraId="39FFE045" w14:textId="77777777" w:rsidR="0048064C" w:rsidRPr="00C53DE9" w:rsidRDefault="00020658">
      <w:pPr>
        <w:spacing w:after="0" w:line="240" w:lineRule="auto"/>
        <w:jc w:val="both"/>
        <w:rPr>
          <w:rFonts w:ascii="Poppins" w:hAnsi="Poppins" w:cs="Poppins"/>
          <w:color w:val="000000"/>
          <w:sz w:val="18"/>
          <w:szCs w:val="18"/>
        </w:rPr>
      </w:pPr>
      <w:r w:rsidRPr="00C53DE9">
        <w:rPr>
          <w:rFonts w:ascii="Poppins" w:hAnsi="Poppins" w:cs="Poppins"/>
          <w:color w:val="000000"/>
          <w:sz w:val="18"/>
          <w:szCs w:val="18"/>
        </w:rPr>
        <w:lastRenderedPageBreak/>
        <w:t>Kun pidät lyhyttä positiota (myydät CFD:tä), hinta positioiden sulkemishetkellä on alhaisempi kuin positio avaushetken hinta, joka muunnetaan automaattisesti kaupankäyntitilin valuutaksi.</w:t>
      </w:r>
    </w:p>
    <w:p w14:paraId="39FFE046" w14:textId="77777777" w:rsidR="0048064C" w:rsidRPr="00C53DE9" w:rsidRDefault="00020658">
      <w:pPr>
        <w:spacing w:after="0" w:line="240" w:lineRule="auto"/>
        <w:jc w:val="both"/>
        <w:rPr>
          <w:rFonts w:ascii="Poppins" w:hAnsi="Poppins" w:cs="Poppins"/>
          <w:color w:val="000000"/>
          <w:sz w:val="18"/>
          <w:szCs w:val="18"/>
        </w:rPr>
      </w:pPr>
      <w:r w:rsidRPr="00C53DE9">
        <w:rPr>
          <w:rFonts w:ascii="Poppins" w:hAnsi="Poppins" w:cs="Poppins"/>
          <w:color w:val="000000"/>
          <w:sz w:val="18"/>
          <w:szCs w:val="18"/>
        </w:rPr>
        <w:t>Sulkeaksesi avoimen "osta" tai "pitkän" CFD:n myyt sen ja suljet avoimen "lyhyen" tai "myydyn" CFD:n ostat sen. Useimmilla CFD-sopimuksilla voit pitää positiota niin kauan kuin haluat, mikä voi olla alle päivän tai kuukausia. Sulkemistaso on viimeinen saatavilla oleva hinta sulkemispäivänä tai ennen sitä tai sovellettavaa virallista päätösnoteerausta tai arvoa asiaankuuluvilla kohde-etuuksilla, kuten alustassa on raportoitu; vähennettynä kaikki välityspalkkiot tai spreadit, joita sovelletaan CFD:hen, kun se suljetaan.</w:t>
      </w:r>
    </w:p>
    <w:p w14:paraId="39FFE047" w14:textId="77777777" w:rsidR="0048064C" w:rsidRPr="00C53DE9" w:rsidRDefault="00020658">
      <w:pPr>
        <w:pBdr>
          <w:top w:val="nil"/>
          <w:left w:val="nil"/>
          <w:bottom w:val="nil"/>
          <w:right w:val="nil"/>
          <w:between w:val="nil"/>
        </w:pBdr>
        <w:shd w:val="clear" w:color="auto" w:fill="BFBFBF"/>
        <w:spacing w:after="0"/>
        <w:ind w:left="720" w:hanging="720"/>
        <w:jc w:val="both"/>
        <w:rPr>
          <w:rFonts w:ascii="Poppins" w:hAnsi="Poppins" w:cs="Poppins"/>
          <w:b/>
          <w:color w:val="000000"/>
          <w:sz w:val="18"/>
          <w:szCs w:val="18"/>
        </w:rPr>
      </w:pPr>
      <w:r w:rsidRPr="00C53DE9">
        <w:rPr>
          <w:rFonts w:ascii="Poppins" w:hAnsi="Poppins" w:cs="Poppins"/>
          <w:b/>
          <w:color w:val="000000"/>
          <w:sz w:val="18"/>
          <w:szCs w:val="18"/>
        </w:rPr>
        <w:t>Vipu ja marginaali</w:t>
      </w:r>
    </w:p>
    <w:p w14:paraId="39FFE048" w14:textId="77777777" w:rsidR="0048064C" w:rsidRPr="00C53DE9" w:rsidRDefault="00020658">
      <w:pPr>
        <w:pBdr>
          <w:top w:val="nil"/>
          <w:left w:val="nil"/>
          <w:bottom w:val="nil"/>
          <w:right w:val="nil"/>
          <w:between w:val="nil"/>
        </w:pBdr>
        <w:spacing w:after="0"/>
        <w:jc w:val="both"/>
        <w:rPr>
          <w:rFonts w:ascii="Poppins" w:hAnsi="Poppins" w:cs="Poppins"/>
          <w:color w:val="000000"/>
          <w:sz w:val="18"/>
          <w:szCs w:val="18"/>
        </w:rPr>
      </w:pPr>
      <w:r w:rsidRPr="00C53DE9">
        <w:rPr>
          <w:rFonts w:ascii="Poppins" w:hAnsi="Poppins" w:cs="Poppins"/>
          <w:color w:val="000000"/>
          <w:sz w:val="18"/>
          <w:szCs w:val="18"/>
        </w:rPr>
        <w:t xml:space="preserve">CFD:t ovat vipuvaikutteisia rahoitusinstrumentteja, joiden avulla sijoittaja voi käydä kauppaa kohde-etuutena olevien omaisuuserien korkeammilla positioilla verrattuna sijoituksiin. CFD-sopimuksissa sinun täytyy sijoittaa vain osa kohde-etuutena olevan instrumentin markkina-arvosta kauppaa tehdessäsi. Vipuvaikutus määritellään yleensä suhdelukuna, kuten 1:25, 1:50, 1:100 tai 1:200. Tämä tarkoittaa, että voit käydä kauppaa suhteellisesti suuremmilla summilla kuin voisit sijoittaa tiettyyn CFD:hen. Alkumarginaali on määrä, jonka sijoittaja tarvitsee avatakseen tietyn CFD-positioiden, ja se ilmaistaan </w:t>
      </w:r>
      <w:r w:rsidRPr="00C53DE9">
        <w:rPr>
          <w:rFonts w:ascii="Times New Roman" w:hAnsi="Times New Roman" w:cs="Times New Roman"/>
          <w:color w:val="000000"/>
          <w:sz w:val="18"/>
          <w:szCs w:val="18"/>
        </w:rPr>
        <w:t>​​</w:t>
      </w:r>
      <w:r w:rsidRPr="00C53DE9">
        <w:rPr>
          <w:rFonts w:ascii="Poppins" w:hAnsi="Poppins" w:cs="Poppins"/>
          <w:color w:val="000000"/>
          <w:sz w:val="18"/>
          <w:szCs w:val="18"/>
        </w:rPr>
        <w:t>prosentteina nimellispositiosta. Mitä pienempi prosenttiosuus, sitä suurempi on taloudellinen vipuvaikutus.</w:t>
      </w:r>
    </w:p>
    <w:p w14:paraId="39FFE049" w14:textId="77777777" w:rsidR="0048064C" w:rsidRPr="00C53DE9" w:rsidRDefault="00020658">
      <w:pPr>
        <w:pBdr>
          <w:top w:val="nil"/>
          <w:left w:val="nil"/>
          <w:bottom w:val="nil"/>
          <w:right w:val="nil"/>
          <w:between w:val="nil"/>
        </w:pBdr>
        <w:spacing w:after="0"/>
        <w:jc w:val="both"/>
        <w:rPr>
          <w:rFonts w:ascii="Poppins" w:hAnsi="Poppins" w:cs="Poppins"/>
          <w:b/>
          <w:color w:val="000000"/>
          <w:sz w:val="18"/>
          <w:szCs w:val="18"/>
        </w:rPr>
      </w:pPr>
      <w:r w:rsidRPr="00C53DE9">
        <w:rPr>
          <w:rFonts w:ascii="Poppins" w:hAnsi="Poppins" w:cs="Poppins"/>
          <w:b/>
          <w:color w:val="000000"/>
          <w:sz w:val="18"/>
          <w:szCs w:val="18"/>
        </w:rPr>
        <w:t>Esimerkkejä:</w:t>
      </w:r>
    </w:p>
    <w:p w14:paraId="39FFE04A" w14:textId="77777777" w:rsidR="0048064C" w:rsidRPr="00C53DE9" w:rsidRDefault="00020658">
      <w:pPr>
        <w:pBdr>
          <w:top w:val="nil"/>
          <w:left w:val="nil"/>
          <w:bottom w:val="nil"/>
          <w:right w:val="nil"/>
          <w:between w:val="nil"/>
        </w:pBdr>
        <w:spacing w:after="0"/>
        <w:jc w:val="both"/>
        <w:rPr>
          <w:rFonts w:ascii="Poppins" w:hAnsi="Poppins" w:cs="Poppins"/>
          <w:i/>
          <w:color w:val="000000"/>
          <w:sz w:val="18"/>
          <w:szCs w:val="18"/>
          <w:u w:val="single"/>
        </w:rPr>
      </w:pPr>
      <w:r w:rsidRPr="00C53DE9">
        <w:rPr>
          <w:rFonts w:ascii="Poppins" w:hAnsi="Poppins" w:cs="Poppins"/>
          <w:i/>
          <w:color w:val="000000"/>
          <w:sz w:val="18"/>
          <w:szCs w:val="18"/>
        </w:rPr>
        <w:t>Sijoittaja haluaa ostaa 150 000 EURUSD-yksikköä hintaan 1,16650 marginaalivaatimuksella 3,33 % (joka vastaa 1:30 vipuvaikutusta) kyseiselle instrumentille. Tämä edellyttää, että sijoittaja asettaa marginaalin:</w:t>
      </w:r>
      <w:r w:rsidRPr="00C53DE9">
        <w:rPr>
          <w:rFonts w:ascii="Poppins" w:hAnsi="Poppins" w:cs="Poppins"/>
          <w:i/>
          <w:color w:val="000000"/>
          <w:sz w:val="18"/>
          <w:szCs w:val="18"/>
        </w:rPr>
        <w:br/>
        <w:t>150 000 yksikköä / vipuvaikutus (30) = 5 000 euroa (kaupankäynnin kohteena olevan parin perusvaluutta - EURUSD).</w:t>
      </w:r>
    </w:p>
    <w:p w14:paraId="39FFE04B" w14:textId="77777777" w:rsidR="0048064C" w:rsidRPr="00C53DE9" w:rsidRDefault="00020658">
      <w:pPr>
        <w:pBdr>
          <w:top w:val="nil"/>
          <w:left w:val="nil"/>
          <w:bottom w:val="nil"/>
          <w:right w:val="nil"/>
          <w:between w:val="nil"/>
        </w:pBdr>
        <w:spacing w:after="0"/>
        <w:jc w:val="both"/>
        <w:rPr>
          <w:rFonts w:ascii="Poppins" w:hAnsi="Poppins" w:cs="Poppins"/>
          <w:i/>
          <w:color w:val="000000"/>
          <w:sz w:val="18"/>
          <w:szCs w:val="18"/>
          <w:u w:val="single"/>
        </w:rPr>
      </w:pPr>
      <w:r w:rsidRPr="00C53DE9">
        <w:rPr>
          <w:rFonts w:ascii="Poppins" w:hAnsi="Poppins" w:cs="Poppins"/>
          <w:i/>
          <w:color w:val="000000"/>
          <w:sz w:val="18"/>
          <w:szCs w:val="18"/>
          <w:u w:val="single"/>
        </w:rPr>
        <w:t>Tai vastaavasti:</w:t>
      </w:r>
    </w:p>
    <w:p w14:paraId="39FFE04C" w14:textId="77777777" w:rsidR="0048064C" w:rsidRPr="00C53DE9" w:rsidRDefault="00020658">
      <w:pPr>
        <w:pBdr>
          <w:top w:val="nil"/>
          <w:left w:val="nil"/>
          <w:bottom w:val="nil"/>
          <w:right w:val="nil"/>
          <w:between w:val="nil"/>
        </w:pBdr>
        <w:spacing w:after="0"/>
        <w:jc w:val="both"/>
        <w:rPr>
          <w:rFonts w:ascii="Poppins" w:hAnsi="Poppins" w:cs="Poppins"/>
          <w:i/>
          <w:color w:val="000000"/>
          <w:sz w:val="18"/>
          <w:szCs w:val="18"/>
          <w:u w:val="single"/>
        </w:rPr>
      </w:pPr>
      <w:r w:rsidRPr="00C53DE9">
        <w:rPr>
          <w:rFonts w:ascii="Poppins" w:hAnsi="Poppins" w:cs="Poppins"/>
          <w:i/>
          <w:color w:val="000000"/>
          <w:sz w:val="18"/>
          <w:szCs w:val="18"/>
        </w:rPr>
        <w:t>150 000 yksikköä * marginaalivaatimus (3,33 %) = 5 000 euroa (kaupankäynnin kohteena olevan parin perusvaluutta - EURUSD).</w:t>
      </w:r>
    </w:p>
    <w:p w14:paraId="39FFE04D" w14:textId="77777777" w:rsidR="0048064C" w:rsidRPr="00C53DE9" w:rsidRDefault="0048064C">
      <w:pPr>
        <w:pBdr>
          <w:top w:val="nil"/>
          <w:left w:val="nil"/>
          <w:bottom w:val="nil"/>
          <w:right w:val="nil"/>
          <w:between w:val="nil"/>
        </w:pBdr>
        <w:spacing w:after="0"/>
        <w:jc w:val="both"/>
        <w:rPr>
          <w:rFonts w:ascii="Poppins" w:hAnsi="Poppins" w:cs="Poppins"/>
          <w:i/>
          <w:color w:val="000000"/>
          <w:sz w:val="18"/>
          <w:szCs w:val="18"/>
          <w:u w:val="single"/>
        </w:rPr>
      </w:pPr>
    </w:p>
    <w:p w14:paraId="39FFE04E" w14:textId="77777777" w:rsidR="0048064C" w:rsidRPr="00C53DE9" w:rsidRDefault="00020658">
      <w:pPr>
        <w:pBdr>
          <w:top w:val="nil"/>
          <w:left w:val="nil"/>
          <w:bottom w:val="nil"/>
          <w:right w:val="nil"/>
          <w:between w:val="nil"/>
        </w:pBdr>
        <w:spacing w:after="0"/>
        <w:jc w:val="both"/>
        <w:rPr>
          <w:rFonts w:ascii="Poppins" w:hAnsi="Poppins" w:cs="Poppins"/>
          <w:i/>
          <w:color w:val="000000"/>
          <w:sz w:val="18"/>
          <w:szCs w:val="18"/>
        </w:rPr>
      </w:pPr>
      <w:r w:rsidRPr="00C53DE9">
        <w:rPr>
          <w:rFonts w:ascii="Poppins" w:hAnsi="Poppins" w:cs="Poppins"/>
          <w:i/>
          <w:color w:val="000000"/>
          <w:sz w:val="18"/>
          <w:szCs w:val="18"/>
        </w:rPr>
        <w:t>Tämä marginaalivaatimus muunnetaan sitten tilin valuutaksi.</w:t>
      </w:r>
    </w:p>
    <w:p w14:paraId="39FFE04F" w14:textId="77777777" w:rsidR="0048064C" w:rsidRPr="00C53DE9" w:rsidRDefault="00020658">
      <w:pPr>
        <w:pBdr>
          <w:top w:val="nil"/>
          <w:left w:val="nil"/>
          <w:bottom w:val="nil"/>
          <w:right w:val="nil"/>
          <w:between w:val="nil"/>
        </w:pBdr>
        <w:shd w:val="clear" w:color="auto" w:fill="BFBFBF"/>
        <w:spacing w:after="0"/>
        <w:ind w:left="720" w:hanging="720"/>
        <w:jc w:val="both"/>
        <w:rPr>
          <w:rFonts w:ascii="Poppins" w:hAnsi="Poppins" w:cs="Poppins"/>
          <w:b/>
          <w:color w:val="000000"/>
          <w:sz w:val="18"/>
          <w:szCs w:val="18"/>
        </w:rPr>
      </w:pPr>
      <w:r w:rsidRPr="00C53DE9">
        <w:rPr>
          <w:rFonts w:ascii="Poppins" w:hAnsi="Poppins" w:cs="Poppins"/>
          <w:b/>
          <w:color w:val="000000"/>
          <w:sz w:val="18"/>
          <w:szCs w:val="18"/>
        </w:rPr>
        <w:t>Tarkoitettu yksityissijoittaja</w:t>
      </w:r>
    </w:p>
    <w:p w14:paraId="39FFE050" w14:textId="77777777" w:rsidR="0048064C" w:rsidRPr="00C53DE9" w:rsidRDefault="00020658">
      <w:pPr>
        <w:pBdr>
          <w:top w:val="nil"/>
          <w:left w:val="nil"/>
          <w:bottom w:val="nil"/>
          <w:right w:val="nil"/>
          <w:between w:val="nil"/>
        </w:pBdr>
        <w:spacing w:after="0"/>
        <w:jc w:val="both"/>
        <w:rPr>
          <w:rFonts w:ascii="Poppins" w:hAnsi="Poppins" w:cs="Poppins"/>
          <w:color w:val="000000"/>
          <w:sz w:val="18"/>
          <w:szCs w:val="18"/>
        </w:rPr>
      </w:pPr>
      <w:r w:rsidRPr="00C53DE9">
        <w:rPr>
          <w:rFonts w:ascii="Poppins" w:hAnsi="Poppins" w:cs="Poppins"/>
          <w:color w:val="000000"/>
          <w:sz w:val="18"/>
          <w:szCs w:val="18"/>
        </w:rPr>
        <w:t xml:space="preserve">Kaupankäynti tällä tuotteella ei sovi kaikille. Tätä tuotetta käyttäisivät yleisesti henkilöt, jotka haluavat yleensä saada lyhytaikaisia </w:t>
      </w:r>
      <w:r w:rsidRPr="00C53DE9">
        <w:rPr>
          <w:rFonts w:ascii="Times New Roman" w:hAnsi="Times New Roman" w:cs="Times New Roman"/>
          <w:color w:val="000000"/>
          <w:sz w:val="18"/>
          <w:szCs w:val="18"/>
        </w:rPr>
        <w:t>​​</w:t>
      </w:r>
      <w:r w:rsidRPr="00C53DE9">
        <w:rPr>
          <w:rFonts w:ascii="Poppins" w:hAnsi="Poppins" w:cs="Poppins"/>
          <w:color w:val="000000"/>
          <w:sz w:val="18"/>
          <w:szCs w:val="18"/>
        </w:rPr>
        <w:t>riskejä rahoitusvälineiltä/markkinoilta; käyttävät (käyvät kauppaa) rahaa, jonka heillä on varaa menettää; sinulla on hajautettu sijoitus- ja säästösalkku; niillä on korkea riskinsietokyky; ja ymmärtää marginaalikaupan vaikutukset ja siihen liittyvät riskit.</w:t>
      </w:r>
    </w:p>
    <w:p w14:paraId="39FFE051" w14:textId="77777777" w:rsidR="0048064C" w:rsidRPr="00C53DE9" w:rsidRDefault="0048064C">
      <w:pPr>
        <w:pBdr>
          <w:top w:val="nil"/>
          <w:left w:val="nil"/>
          <w:bottom w:val="nil"/>
          <w:right w:val="nil"/>
          <w:between w:val="nil"/>
        </w:pBdr>
        <w:spacing w:after="0"/>
        <w:jc w:val="both"/>
        <w:rPr>
          <w:rFonts w:ascii="Poppins" w:hAnsi="Poppins" w:cs="Poppins"/>
          <w:color w:val="000000"/>
          <w:sz w:val="18"/>
          <w:szCs w:val="18"/>
        </w:rPr>
      </w:pPr>
    </w:p>
    <w:p w14:paraId="39FFE052" w14:textId="77777777" w:rsidR="0048064C" w:rsidRPr="00C53DE9" w:rsidRDefault="00020658">
      <w:pPr>
        <w:pBdr>
          <w:top w:val="nil"/>
          <w:left w:val="nil"/>
          <w:bottom w:val="nil"/>
          <w:right w:val="nil"/>
          <w:between w:val="nil"/>
        </w:pBdr>
        <w:shd w:val="clear" w:color="auto" w:fill="BFBFBF"/>
        <w:ind w:left="720" w:hanging="720"/>
        <w:jc w:val="both"/>
        <w:rPr>
          <w:rFonts w:ascii="Poppins" w:hAnsi="Poppins" w:cs="Poppins"/>
          <w:b/>
          <w:color w:val="000000"/>
          <w:sz w:val="18"/>
          <w:szCs w:val="18"/>
        </w:rPr>
      </w:pPr>
      <w:r w:rsidRPr="00C53DE9">
        <w:rPr>
          <w:rFonts w:ascii="Poppins" w:hAnsi="Poppins" w:cs="Poppins"/>
          <w:b/>
          <w:color w:val="000000"/>
          <w:sz w:val="18"/>
          <w:szCs w:val="18"/>
        </w:rPr>
        <w:t>Mitkä ovat riskit ja mitä voin saada vastineeksi?</w:t>
      </w:r>
    </w:p>
    <w:p w14:paraId="39FFE053" w14:textId="77777777" w:rsidR="0048064C" w:rsidRPr="00C53DE9" w:rsidRDefault="00020658">
      <w:pPr>
        <w:jc w:val="both"/>
        <w:rPr>
          <w:rFonts w:ascii="Poppins" w:hAnsi="Poppins" w:cs="Poppins"/>
          <w:b/>
          <w:sz w:val="18"/>
          <w:szCs w:val="18"/>
        </w:rPr>
      </w:pPr>
      <w:r w:rsidRPr="00C53DE9">
        <w:rPr>
          <w:rFonts w:ascii="Poppins" w:hAnsi="Poppins" w:cs="Poppins"/>
          <w:b/>
          <w:sz w:val="18"/>
          <w:szCs w:val="18"/>
        </w:rPr>
        <w:t>Riskin indikaattori</w:t>
      </w:r>
      <w:r w:rsidRPr="00C53DE9">
        <w:rPr>
          <w:rFonts w:ascii="Poppins" w:hAnsi="Poppins" w:cs="Poppins"/>
          <w:noProof/>
          <w:sz w:val="18"/>
          <w:szCs w:val="18"/>
        </w:rPr>
        <w:drawing>
          <wp:anchor distT="0" distB="0" distL="114300" distR="114300" simplePos="0" relativeHeight="251658240" behindDoc="0" locked="0" layoutInCell="1" hidden="0" allowOverlap="1" wp14:anchorId="39FFE0C5" wp14:editId="39FFE0C6">
            <wp:simplePos x="0" y="0"/>
            <wp:positionH relativeFrom="column">
              <wp:posOffset>1</wp:posOffset>
            </wp:positionH>
            <wp:positionV relativeFrom="paragraph">
              <wp:posOffset>281940</wp:posOffset>
            </wp:positionV>
            <wp:extent cx="1885950" cy="438150"/>
            <wp:effectExtent l="0" t="0" r="0" b="0"/>
            <wp:wrapSquare wrapText="bothSides" distT="0" distB="0" distL="114300" distR="114300"/>
            <wp:docPr id="1073741826" name="image2.jpg" descr="Picture 228"/>
            <wp:cNvGraphicFramePr/>
            <a:graphic xmlns:a="http://schemas.openxmlformats.org/drawingml/2006/main">
              <a:graphicData uri="http://schemas.openxmlformats.org/drawingml/2006/picture">
                <pic:pic xmlns:pic="http://schemas.openxmlformats.org/drawingml/2006/picture">
                  <pic:nvPicPr>
                    <pic:cNvPr id="0" name="image2.jpg" descr="Picture 228"/>
                    <pic:cNvPicPr preferRelativeResize="0"/>
                  </pic:nvPicPr>
                  <pic:blipFill>
                    <a:blip r:embed="rId11"/>
                    <a:srcRect/>
                    <a:stretch>
                      <a:fillRect/>
                    </a:stretch>
                  </pic:blipFill>
                  <pic:spPr>
                    <a:xfrm>
                      <a:off x="0" y="0"/>
                      <a:ext cx="1885950" cy="438150"/>
                    </a:xfrm>
                    <a:prstGeom prst="rect">
                      <a:avLst/>
                    </a:prstGeom>
                    <a:ln/>
                  </pic:spPr>
                </pic:pic>
              </a:graphicData>
            </a:graphic>
          </wp:anchor>
        </w:drawing>
      </w:r>
    </w:p>
    <w:p w14:paraId="39FFE054" w14:textId="77777777" w:rsidR="0048064C" w:rsidRPr="00C53DE9" w:rsidRDefault="00020658">
      <w:pPr>
        <w:rPr>
          <w:rFonts w:ascii="Poppins" w:hAnsi="Poppins" w:cs="Poppins"/>
          <w:b/>
          <w:sz w:val="18"/>
          <w:szCs w:val="18"/>
        </w:rPr>
      </w:pPr>
      <w:r w:rsidRPr="00C53DE9">
        <w:rPr>
          <w:rFonts w:ascii="Poppins" w:hAnsi="Poppins" w:cs="Poppins"/>
          <w:sz w:val="18"/>
          <w:szCs w:val="18"/>
        </w:rPr>
        <w:t>Riski-indikaattori olettaa, että et ehkä pysty ostamaan tai myymään CFD:täsi haluamallasi hinnalla markkinoiden epävakauden vuoksi tai saatat joutua ostamaan tai myymään CFD:täsi hintaan, joka vaikuttaa merkittävästi siihen, kuinka paljon saat. palata.</w:t>
      </w:r>
    </w:p>
    <w:p w14:paraId="39FFE055" w14:textId="77777777" w:rsidR="0048064C" w:rsidRPr="00C53DE9" w:rsidRDefault="00020658">
      <w:pPr>
        <w:jc w:val="both"/>
        <w:rPr>
          <w:rFonts w:ascii="Poppins" w:hAnsi="Poppins" w:cs="Poppins"/>
          <w:sz w:val="18"/>
          <w:szCs w:val="18"/>
        </w:rPr>
      </w:pPr>
      <w:r w:rsidRPr="00C53DE9">
        <w:rPr>
          <w:rFonts w:ascii="Poppins" w:hAnsi="Poppins" w:cs="Poppins"/>
          <w:sz w:val="18"/>
          <w:szCs w:val="18"/>
        </w:rPr>
        <w:t xml:space="preserve">Riskin yhteenvetoindikaattori on opas tämän tuotteen riskitasolle verrattuna muihin tuotteisiin. Siinä näytetään, kuinka voit kokea tappioita CFD:n volatiliteetin vuoksi. Olemme luokitelleet tämän tuotteen </w:t>
      </w:r>
      <w:r w:rsidRPr="00C53DE9">
        <w:rPr>
          <w:rFonts w:ascii="Poppins" w:hAnsi="Poppins" w:cs="Poppins"/>
          <w:sz w:val="18"/>
          <w:szCs w:val="18"/>
        </w:rPr>
        <w:lastRenderedPageBreak/>
        <w:t>arvosanaksi 7/7, mikä on korkein riskiluokka. Tämä arvioi tuotteen tulevasta suorituskyvystä aiheutuvat mahdolliset menetykset erittäin korkealle tasolle.</w:t>
      </w:r>
    </w:p>
    <w:p w14:paraId="39FFE056"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 xml:space="preserve">CFD:llä käydään kauppaa marginaalilla, ja niihin liittyy riski menettää kaikki sijoittamasi pääoma. Ennen kuin päätät käydä kauppaa marginaalisilla tuotteilla, sinun tulee harkita sijoitustavoitteitasi, riskinsietokykyäsi ja kokemustasi näistä tuotteista. Kaupankäynti korkealla vipuvaikutustasolla voi olla joko sinua vastaan </w:t>
      </w:r>
      <w:r w:rsidRPr="00C53DE9">
        <w:rPr>
          <w:rFonts w:ascii="Times New Roman" w:hAnsi="Times New Roman" w:cs="Times New Roman"/>
          <w:sz w:val="18"/>
          <w:szCs w:val="18"/>
        </w:rPr>
        <w:t>​​</w:t>
      </w:r>
      <w:r w:rsidRPr="00C53DE9">
        <w:rPr>
          <w:rFonts w:ascii="Poppins" w:hAnsi="Poppins" w:cs="Poppins"/>
          <w:sz w:val="18"/>
          <w:szCs w:val="18"/>
        </w:rPr>
        <w:t>tai puolestasi. Sinun tulee olla tietoinen kaikista riskeistä, jotka liittyvät tuotteisiin, joilla käydään kauppaa marginaalilla, ja pyytää tarvittaessa riippumatonta neuvontaa.</w:t>
      </w:r>
    </w:p>
    <w:p w14:paraId="39FFE057" w14:textId="77777777" w:rsidR="0048064C" w:rsidRPr="00C53DE9" w:rsidRDefault="0048064C">
      <w:pPr>
        <w:spacing w:after="0"/>
        <w:jc w:val="both"/>
        <w:rPr>
          <w:rFonts w:ascii="Poppins" w:hAnsi="Poppins" w:cs="Poppins"/>
          <w:sz w:val="18"/>
          <w:szCs w:val="18"/>
        </w:rPr>
      </w:pPr>
    </w:p>
    <w:p w14:paraId="39FFE058" w14:textId="77777777" w:rsidR="0048064C" w:rsidRPr="00C53DE9" w:rsidRDefault="00020658">
      <w:pPr>
        <w:pBdr>
          <w:top w:val="nil"/>
          <w:left w:val="nil"/>
          <w:bottom w:val="nil"/>
          <w:right w:val="nil"/>
          <w:between w:val="nil"/>
        </w:pBdr>
        <w:shd w:val="clear" w:color="auto" w:fill="BFBFBF"/>
        <w:spacing w:after="0"/>
        <w:ind w:left="720" w:hanging="720"/>
        <w:jc w:val="both"/>
        <w:rPr>
          <w:rFonts w:ascii="Poppins" w:hAnsi="Poppins" w:cs="Poppins"/>
          <w:b/>
          <w:color w:val="000000"/>
          <w:sz w:val="18"/>
          <w:szCs w:val="18"/>
        </w:rPr>
      </w:pPr>
      <w:r w:rsidRPr="00C53DE9">
        <w:rPr>
          <w:rFonts w:ascii="Poppins" w:hAnsi="Poppins" w:cs="Poppins"/>
          <w:b/>
          <w:color w:val="000000"/>
          <w:sz w:val="18"/>
          <w:szCs w:val="18"/>
        </w:rPr>
        <w:t>Tilin tehokkuusskenaariot</w:t>
      </w:r>
    </w:p>
    <w:p w14:paraId="39FFE059" w14:textId="77777777" w:rsidR="0048064C" w:rsidRPr="00C53DE9" w:rsidRDefault="0048064C">
      <w:pPr>
        <w:pBdr>
          <w:top w:val="nil"/>
          <w:left w:val="nil"/>
          <w:bottom w:val="nil"/>
          <w:right w:val="nil"/>
          <w:between w:val="nil"/>
        </w:pBdr>
        <w:spacing w:after="0"/>
        <w:jc w:val="both"/>
        <w:rPr>
          <w:rFonts w:ascii="Poppins" w:hAnsi="Poppins" w:cs="Poppins"/>
          <w:b/>
          <w:color w:val="000000"/>
          <w:sz w:val="18"/>
          <w:szCs w:val="18"/>
        </w:rPr>
      </w:pPr>
    </w:p>
    <w:p w14:paraId="39FFE05A" w14:textId="77777777" w:rsidR="0048064C" w:rsidRPr="00C53DE9" w:rsidRDefault="00020658">
      <w:pPr>
        <w:pBdr>
          <w:top w:val="nil"/>
          <w:left w:val="nil"/>
          <w:bottom w:val="nil"/>
          <w:right w:val="nil"/>
          <w:between w:val="nil"/>
        </w:pBdr>
        <w:spacing w:after="0"/>
        <w:jc w:val="both"/>
        <w:rPr>
          <w:rFonts w:ascii="Poppins" w:hAnsi="Poppins" w:cs="Poppins"/>
          <w:b/>
          <w:i/>
          <w:color w:val="000000"/>
          <w:sz w:val="18"/>
          <w:szCs w:val="18"/>
        </w:rPr>
      </w:pPr>
      <w:r w:rsidRPr="00C53DE9">
        <w:rPr>
          <w:rFonts w:ascii="Poppins" w:hAnsi="Poppins" w:cs="Poppins"/>
          <w:b/>
          <w:i/>
          <w:color w:val="000000"/>
          <w:sz w:val="18"/>
          <w:szCs w:val="18"/>
        </w:rPr>
        <w:t>Markkinoiden tulevaa kehitystä ei voida ennustaa tarkasti. Alla esitetyt skenaariot ovat vain viitteitä joistakin mahdollisista tuloksista viimeaikaisten tuottojen perusteella. Todellinen tuotto voisi olla pienempi.</w:t>
      </w:r>
    </w:p>
    <w:p w14:paraId="39FFE05B" w14:textId="77777777" w:rsidR="0048064C" w:rsidRPr="00C53DE9" w:rsidRDefault="0048064C">
      <w:pPr>
        <w:pBdr>
          <w:top w:val="nil"/>
          <w:left w:val="nil"/>
          <w:bottom w:val="nil"/>
          <w:right w:val="nil"/>
          <w:between w:val="nil"/>
        </w:pBdr>
        <w:spacing w:after="0"/>
        <w:jc w:val="both"/>
        <w:rPr>
          <w:rFonts w:ascii="Poppins" w:hAnsi="Poppins" w:cs="Poppins"/>
          <w:color w:val="000000"/>
          <w:sz w:val="18"/>
          <w:szCs w:val="18"/>
        </w:rPr>
      </w:pPr>
    </w:p>
    <w:p w14:paraId="39FFE05C"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Alla olevat skenaariot osoittavat, kuinka sijoituksesi voisi toimia eri tapahtumissa. Alla olevia tuloksia ei pidä pitää tarkoina indikaattoreina tai suosituksina, eivätkä ne sisällä erityyppisiä maksuja, joita tiliisi voi liittyä. Siksi tilisi tehokkuus (positiivinen tai negatiivinen) riippuu useista tekijöistä, kuten siitä, kuinka kauan pidät asemaasi.</w:t>
      </w:r>
    </w:p>
    <w:tbl>
      <w:tblPr>
        <w:tblStyle w:val="ListTable6Colorful-Accent3"/>
        <w:tblW w:w="9460" w:type="dxa"/>
        <w:tblLayout w:type="fixed"/>
        <w:tblLook w:val="0400" w:firstRow="0" w:lastRow="0" w:firstColumn="0" w:lastColumn="0" w:noHBand="0" w:noVBand="1"/>
      </w:tblPr>
      <w:tblGrid>
        <w:gridCol w:w="5860"/>
        <w:gridCol w:w="3600"/>
      </w:tblGrid>
      <w:tr w:rsidR="0048064C" w:rsidRPr="00C53DE9" w14:paraId="39FFE05F" w14:textId="77777777" w:rsidTr="00C53DE9">
        <w:trPr>
          <w:cnfStyle w:val="000000100000" w:firstRow="0" w:lastRow="0" w:firstColumn="0" w:lastColumn="0" w:oddVBand="0" w:evenVBand="0" w:oddHBand="1" w:evenHBand="0" w:firstRowFirstColumn="0" w:firstRowLastColumn="0" w:lastRowFirstColumn="0" w:lastRowLastColumn="0"/>
        </w:trPr>
        <w:tc>
          <w:tcPr>
            <w:tcW w:w="5860" w:type="dxa"/>
          </w:tcPr>
          <w:p w14:paraId="39FFE05D"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CFD:t Forexissä</w:t>
            </w:r>
          </w:p>
        </w:tc>
        <w:tc>
          <w:tcPr>
            <w:tcW w:w="3600" w:type="dxa"/>
          </w:tcPr>
          <w:p w14:paraId="39FFE05E"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EUR/USD</w:t>
            </w:r>
          </w:p>
        </w:tc>
      </w:tr>
      <w:tr w:rsidR="0048064C" w:rsidRPr="00C53DE9" w14:paraId="39FFE068" w14:textId="77777777" w:rsidTr="00C53DE9">
        <w:tc>
          <w:tcPr>
            <w:tcW w:w="5860" w:type="dxa"/>
            <w:vMerge w:val="restart"/>
          </w:tcPr>
          <w:p w14:paraId="39FFE060" w14:textId="77777777" w:rsidR="0048064C" w:rsidRPr="00C53DE9" w:rsidRDefault="00020658">
            <w:pPr>
              <w:pBdr>
                <w:top w:val="nil"/>
                <w:left w:val="nil"/>
                <w:bottom w:val="nil"/>
                <w:right w:val="nil"/>
                <w:between w:val="nil"/>
              </w:pBdr>
              <w:tabs>
                <w:tab w:val="center" w:pos="2772"/>
              </w:tabs>
              <w:jc w:val="both"/>
              <w:rPr>
                <w:rFonts w:ascii="Poppins" w:hAnsi="Poppins" w:cs="Poppins"/>
                <w:color w:val="000000"/>
                <w:sz w:val="18"/>
                <w:szCs w:val="18"/>
              </w:rPr>
            </w:pPr>
            <w:r w:rsidRPr="00C53DE9">
              <w:rPr>
                <w:rFonts w:ascii="Poppins" w:hAnsi="Poppins" w:cs="Poppins"/>
                <w:color w:val="000000"/>
                <w:sz w:val="18"/>
                <w:szCs w:val="18"/>
              </w:rPr>
              <w:t>Avaushinta</w:t>
            </w:r>
            <w:r w:rsidRPr="00C53DE9">
              <w:rPr>
                <w:rFonts w:ascii="Poppins" w:hAnsi="Poppins" w:cs="Poppins"/>
                <w:color w:val="000000"/>
                <w:sz w:val="18"/>
                <w:szCs w:val="18"/>
              </w:rPr>
              <w:tab/>
              <w:t>P</w:t>
            </w:r>
          </w:p>
          <w:p w14:paraId="39FFE061" w14:textId="77777777" w:rsidR="0048064C" w:rsidRPr="00C53DE9" w:rsidRDefault="00020658">
            <w:pPr>
              <w:pBdr>
                <w:top w:val="nil"/>
                <w:left w:val="nil"/>
                <w:bottom w:val="nil"/>
                <w:right w:val="nil"/>
                <w:between w:val="nil"/>
              </w:pBdr>
              <w:tabs>
                <w:tab w:val="center" w:pos="2772"/>
              </w:tabs>
              <w:jc w:val="both"/>
              <w:rPr>
                <w:rFonts w:ascii="Poppins" w:hAnsi="Poppins" w:cs="Poppins"/>
                <w:color w:val="000000"/>
                <w:sz w:val="18"/>
                <w:szCs w:val="18"/>
              </w:rPr>
            </w:pPr>
            <w:r w:rsidRPr="00C53DE9">
              <w:rPr>
                <w:rFonts w:ascii="Poppins" w:hAnsi="Poppins" w:cs="Poppins"/>
                <w:color w:val="000000"/>
                <w:sz w:val="18"/>
                <w:szCs w:val="18"/>
              </w:rPr>
              <w:t>Kaupan koko (per CFD)</w:t>
            </w:r>
            <w:r w:rsidRPr="00C53DE9">
              <w:rPr>
                <w:rFonts w:ascii="Poppins" w:hAnsi="Poppins" w:cs="Poppins"/>
                <w:color w:val="000000"/>
                <w:sz w:val="18"/>
                <w:szCs w:val="18"/>
              </w:rPr>
              <w:tab/>
              <w:t>TS</w:t>
            </w:r>
          </w:p>
          <w:p w14:paraId="39FFE062" w14:textId="77777777" w:rsidR="0048064C" w:rsidRPr="00C53DE9" w:rsidRDefault="00020658">
            <w:pPr>
              <w:pBdr>
                <w:top w:val="nil"/>
                <w:left w:val="nil"/>
                <w:bottom w:val="nil"/>
                <w:right w:val="nil"/>
                <w:between w:val="nil"/>
              </w:pBdr>
              <w:tabs>
                <w:tab w:val="center" w:pos="2772"/>
              </w:tabs>
              <w:jc w:val="both"/>
              <w:rPr>
                <w:rFonts w:ascii="Poppins" w:hAnsi="Poppins" w:cs="Poppins"/>
                <w:color w:val="000000"/>
                <w:sz w:val="18"/>
                <w:szCs w:val="18"/>
              </w:rPr>
            </w:pPr>
            <w:r w:rsidRPr="00C53DE9">
              <w:rPr>
                <w:rFonts w:ascii="Poppins" w:hAnsi="Poppins" w:cs="Poppins"/>
                <w:color w:val="000000"/>
                <w:sz w:val="18"/>
                <w:szCs w:val="18"/>
              </w:rPr>
              <w:t>Marginaaliprosentti</w:t>
            </w:r>
            <w:r w:rsidRPr="00C53DE9">
              <w:rPr>
                <w:rFonts w:ascii="Poppins" w:hAnsi="Poppins" w:cs="Poppins"/>
                <w:color w:val="000000"/>
                <w:sz w:val="18"/>
                <w:szCs w:val="18"/>
              </w:rPr>
              <w:tab/>
              <w:t>M</w:t>
            </w:r>
          </w:p>
          <w:p w14:paraId="39FFE063" w14:textId="77777777" w:rsidR="0048064C" w:rsidRPr="00C53DE9" w:rsidRDefault="00020658">
            <w:pPr>
              <w:pBdr>
                <w:top w:val="nil"/>
                <w:left w:val="nil"/>
                <w:bottom w:val="nil"/>
                <w:right w:val="nil"/>
                <w:between w:val="nil"/>
              </w:pBdr>
              <w:tabs>
                <w:tab w:val="center" w:pos="2772"/>
              </w:tabs>
              <w:jc w:val="both"/>
              <w:rPr>
                <w:rFonts w:ascii="Poppins" w:hAnsi="Poppins" w:cs="Poppins"/>
                <w:color w:val="000000"/>
                <w:sz w:val="18"/>
                <w:szCs w:val="18"/>
              </w:rPr>
            </w:pPr>
            <w:r w:rsidRPr="00C53DE9">
              <w:rPr>
                <w:rFonts w:ascii="Poppins" w:hAnsi="Poppins" w:cs="Poppins"/>
                <w:color w:val="000000"/>
                <w:sz w:val="18"/>
                <w:szCs w:val="18"/>
              </w:rPr>
              <w:t>Marginaali vaaditaan</w:t>
            </w:r>
            <w:r w:rsidRPr="00C53DE9">
              <w:rPr>
                <w:rFonts w:ascii="Poppins" w:hAnsi="Poppins" w:cs="Poppins"/>
                <w:color w:val="000000"/>
                <w:sz w:val="18"/>
                <w:szCs w:val="18"/>
              </w:rPr>
              <w:tab/>
              <w:t>MR = TS x M</w:t>
            </w:r>
          </w:p>
          <w:p w14:paraId="39FFE064" w14:textId="77777777" w:rsidR="0048064C" w:rsidRPr="00C53DE9" w:rsidRDefault="00020658">
            <w:pPr>
              <w:pBdr>
                <w:top w:val="nil"/>
                <w:left w:val="nil"/>
                <w:bottom w:val="nil"/>
                <w:right w:val="nil"/>
                <w:between w:val="nil"/>
              </w:pBdr>
              <w:tabs>
                <w:tab w:val="left" w:pos="2772"/>
              </w:tabs>
              <w:jc w:val="both"/>
              <w:rPr>
                <w:rFonts w:ascii="Poppins" w:hAnsi="Poppins" w:cs="Poppins"/>
                <w:color w:val="000000"/>
                <w:sz w:val="18"/>
                <w:szCs w:val="18"/>
              </w:rPr>
            </w:pPr>
            <w:r w:rsidRPr="00C53DE9">
              <w:rPr>
                <w:rFonts w:ascii="Poppins" w:hAnsi="Poppins" w:cs="Poppins"/>
                <w:color w:val="000000"/>
                <w:sz w:val="18"/>
                <w:szCs w:val="18"/>
              </w:rPr>
              <w:t>Kaupan nimellisarvo</w:t>
            </w:r>
            <w:r w:rsidRPr="00C53DE9">
              <w:rPr>
                <w:rFonts w:ascii="Poppins" w:hAnsi="Poppins" w:cs="Poppins"/>
                <w:color w:val="000000"/>
                <w:sz w:val="18"/>
                <w:szCs w:val="18"/>
              </w:rPr>
              <w:tab/>
              <w:t>TN = MR/M</w:t>
            </w:r>
          </w:p>
          <w:p w14:paraId="39FFE065" w14:textId="77777777" w:rsidR="0048064C" w:rsidRPr="00C53DE9" w:rsidRDefault="0048064C">
            <w:pPr>
              <w:pBdr>
                <w:top w:val="nil"/>
                <w:left w:val="nil"/>
                <w:bottom w:val="nil"/>
                <w:right w:val="nil"/>
                <w:between w:val="nil"/>
              </w:pBdr>
              <w:jc w:val="both"/>
              <w:rPr>
                <w:rFonts w:ascii="Poppins" w:hAnsi="Poppins" w:cs="Poppins"/>
                <w:color w:val="000000"/>
                <w:sz w:val="18"/>
                <w:szCs w:val="18"/>
              </w:rPr>
            </w:pPr>
          </w:p>
          <w:p w14:paraId="39FFE066"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Tilin valuutta</w:t>
            </w:r>
          </w:p>
        </w:tc>
        <w:tc>
          <w:tcPr>
            <w:tcW w:w="3600" w:type="dxa"/>
          </w:tcPr>
          <w:p w14:paraId="39FFE067"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1,16650</w:t>
            </w:r>
          </w:p>
        </w:tc>
      </w:tr>
      <w:tr w:rsidR="0048064C" w:rsidRPr="00C53DE9" w14:paraId="39FFE06B" w14:textId="77777777" w:rsidTr="00C53DE9">
        <w:trPr>
          <w:cnfStyle w:val="000000100000" w:firstRow="0" w:lastRow="0" w:firstColumn="0" w:lastColumn="0" w:oddVBand="0" w:evenVBand="0" w:oddHBand="1" w:evenHBand="0" w:firstRowFirstColumn="0" w:firstRowLastColumn="0" w:lastRowFirstColumn="0" w:lastRowLastColumn="0"/>
        </w:trPr>
        <w:tc>
          <w:tcPr>
            <w:tcW w:w="5860" w:type="dxa"/>
            <w:vMerge/>
          </w:tcPr>
          <w:p w14:paraId="39FFE069" w14:textId="77777777" w:rsidR="0048064C" w:rsidRPr="00C53DE9" w:rsidRDefault="0048064C">
            <w:pPr>
              <w:widowControl w:val="0"/>
              <w:pBdr>
                <w:top w:val="nil"/>
                <w:left w:val="nil"/>
                <w:bottom w:val="nil"/>
                <w:right w:val="nil"/>
                <w:between w:val="nil"/>
              </w:pBdr>
              <w:spacing w:line="276" w:lineRule="auto"/>
              <w:rPr>
                <w:rFonts w:ascii="Poppins" w:hAnsi="Poppins" w:cs="Poppins"/>
                <w:color w:val="000000"/>
                <w:sz w:val="18"/>
                <w:szCs w:val="18"/>
              </w:rPr>
            </w:pPr>
          </w:p>
        </w:tc>
        <w:tc>
          <w:tcPr>
            <w:tcW w:w="3600" w:type="dxa"/>
          </w:tcPr>
          <w:p w14:paraId="39FFE06A"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150 000</w:t>
            </w:r>
          </w:p>
        </w:tc>
      </w:tr>
      <w:tr w:rsidR="0048064C" w:rsidRPr="00C53DE9" w14:paraId="39FFE06E" w14:textId="77777777" w:rsidTr="00C53DE9">
        <w:tc>
          <w:tcPr>
            <w:tcW w:w="5860" w:type="dxa"/>
            <w:vMerge/>
          </w:tcPr>
          <w:p w14:paraId="39FFE06C" w14:textId="77777777" w:rsidR="0048064C" w:rsidRPr="00C53DE9" w:rsidRDefault="0048064C">
            <w:pPr>
              <w:widowControl w:val="0"/>
              <w:pBdr>
                <w:top w:val="nil"/>
                <w:left w:val="nil"/>
                <w:bottom w:val="nil"/>
                <w:right w:val="nil"/>
                <w:between w:val="nil"/>
              </w:pBdr>
              <w:spacing w:line="276" w:lineRule="auto"/>
              <w:rPr>
                <w:rFonts w:ascii="Poppins" w:hAnsi="Poppins" w:cs="Poppins"/>
                <w:color w:val="000000"/>
                <w:sz w:val="18"/>
                <w:szCs w:val="18"/>
              </w:rPr>
            </w:pPr>
          </w:p>
        </w:tc>
        <w:tc>
          <w:tcPr>
            <w:tcW w:w="3600" w:type="dxa"/>
          </w:tcPr>
          <w:p w14:paraId="39FFE06D"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3,33 % (Vipuvaikutus 1:30)</w:t>
            </w:r>
          </w:p>
        </w:tc>
      </w:tr>
      <w:tr w:rsidR="0048064C" w:rsidRPr="00C53DE9" w14:paraId="39FFE071" w14:textId="77777777" w:rsidTr="00C53DE9">
        <w:trPr>
          <w:cnfStyle w:val="000000100000" w:firstRow="0" w:lastRow="0" w:firstColumn="0" w:lastColumn="0" w:oddVBand="0" w:evenVBand="0" w:oddHBand="1" w:evenHBand="0" w:firstRowFirstColumn="0" w:firstRowLastColumn="0" w:lastRowFirstColumn="0" w:lastRowLastColumn="0"/>
        </w:trPr>
        <w:tc>
          <w:tcPr>
            <w:tcW w:w="5860" w:type="dxa"/>
            <w:vMerge/>
          </w:tcPr>
          <w:p w14:paraId="39FFE06F" w14:textId="77777777" w:rsidR="0048064C" w:rsidRPr="00C53DE9" w:rsidRDefault="0048064C">
            <w:pPr>
              <w:widowControl w:val="0"/>
              <w:pBdr>
                <w:top w:val="nil"/>
                <w:left w:val="nil"/>
                <w:bottom w:val="nil"/>
                <w:right w:val="nil"/>
                <w:between w:val="nil"/>
              </w:pBdr>
              <w:spacing w:line="276" w:lineRule="auto"/>
              <w:rPr>
                <w:rFonts w:ascii="Poppins" w:hAnsi="Poppins" w:cs="Poppins"/>
                <w:color w:val="000000"/>
                <w:sz w:val="18"/>
                <w:szCs w:val="18"/>
              </w:rPr>
            </w:pPr>
          </w:p>
        </w:tc>
        <w:tc>
          <w:tcPr>
            <w:tcW w:w="3600" w:type="dxa"/>
          </w:tcPr>
          <w:p w14:paraId="39FFE070"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5832,5 USD</w:t>
            </w:r>
          </w:p>
        </w:tc>
      </w:tr>
      <w:tr w:rsidR="0048064C" w:rsidRPr="00C53DE9" w14:paraId="39FFE074" w14:textId="77777777" w:rsidTr="00C53DE9">
        <w:tc>
          <w:tcPr>
            <w:tcW w:w="5860" w:type="dxa"/>
            <w:vMerge/>
          </w:tcPr>
          <w:p w14:paraId="39FFE072" w14:textId="77777777" w:rsidR="0048064C" w:rsidRPr="00C53DE9" w:rsidRDefault="0048064C">
            <w:pPr>
              <w:widowControl w:val="0"/>
              <w:pBdr>
                <w:top w:val="nil"/>
                <w:left w:val="nil"/>
                <w:bottom w:val="nil"/>
                <w:right w:val="nil"/>
                <w:between w:val="nil"/>
              </w:pBdr>
              <w:spacing w:line="276" w:lineRule="auto"/>
              <w:rPr>
                <w:rFonts w:ascii="Poppins" w:hAnsi="Poppins" w:cs="Poppins"/>
                <w:color w:val="000000"/>
                <w:sz w:val="18"/>
                <w:szCs w:val="18"/>
              </w:rPr>
            </w:pPr>
          </w:p>
        </w:tc>
        <w:tc>
          <w:tcPr>
            <w:tcW w:w="3600" w:type="dxa"/>
          </w:tcPr>
          <w:p w14:paraId="39FFE073" w14:textId="77777777" w:rsidR="0048064C" w:rsidRPr="00C53DE9" w:rsidRDefault="00020658">
            <w:pPr>
              <w:pBdr>
                <w:top w:val="nil"/>
                <w:left w:val="nil"/>
                <w:bottom w:val="nil"/>
                <w:right w:val="nil"/>
                <w:between w:val="nil"/>
              </w:pBdr>
              <w:rPr>
                <w:rFonts w:ascii="Poppins" w:hAnsi="Poppins" w:cs="Poppins"/>
                <w:color w:val="000000"/>
                <w:sz w:val="18"/>
                <w:szCs w:val="18"/>
              </w:rPr>
            </w:pPr>
            <w:r w:rsidRPr="00C53DE9">
              <w:rPr>
                <w:rFonts w:ascii="Poppins" w:hAnsi="Poppins" w:cs="Poppins"/>
                <w:color w:val="000000"/>
                <w:sz w:val="18"/>
                <w:szCs w:val="18"/>
              </w:rPr>
              <w:t>Voitto- ja tappiolaskelma: USD</w:t>
            </w:r>
            <w:r w:rsidRPr="00C53DE9">
              <w:rPr>
                <w:rFonts w:ascii="Poppins" w:hAnsi="Poppins" w:cs="Poppins"/>
                <w:color w:val="000000"/>
                <w:sz w:val="18"/>
                <w:szCs w:val="18"/>
              </w:rPr>
              <w:br/>
              <w:t>(Vaihtuva valuutta)</w:t>
            </w:r>
          </w:p>
        </w:tc>
      </w:tr>
      <w:tr w:rsidR="0048064C" w:rsidRPr="00C53DE9" w14:paraId="39FFE077" w14:textId="77777777" w:rsidTr="00C53DE9">
        <w:trPr>
          <w:cnfStyle w:val="000000100000" w:firstRow="0" w:lastRow="0" w:firstColumn="0" w:lastColumn="0" w:oddVBand="0" w:evenVBand="0" w:oddHBand="1" w:evenHBand="0" w:firstRowFirstColumn="0" w:firstRowLastColumn="0" w:lastRowFirstColumn="0" w:lastRowLastColumn="0"/>
        </w:trPr>
        <w:tc>
          <w:tcPr>
            <w:tcW w:w="5860" w:type="dxa"/>
            <w:vMerge/>
          </w:tcPr>
          <w:p w14:paraId="39FFE075" w14:textId="77777777" w:rsidR="0048064C" w:rsidRPr="00C53DE9" w:rsidRDefault="0048064C">
            <w:pPr>
              <w:widowControl w:val="0"/>
              <w:pBdr>
                <w:top w:val="nil"/>
                <w:left w:val="nil"/>
                <w:bottom w:val="nil"/>
                <w:right w:val="nil"/>
                <w:between w:val="nil"/>
              </w:pBdr>
              <w:spacing w:line="276" w:lineRule="auto"/>
              <w:rPr>
                <w:rFonts w:ascii="Poppins" w:hAnsi="Poppins" w:cs="Poppins"/>
                <w:color w:val="000000"/>
                <w:sz w:val="18"/>
                <w:szCs w:val="18"/>
              </w:rPr>
            </w:pPr>
          </w:p>
        </w:tc>
        <w:tc>
          <w:tcPr>
            <w:tcW w:w="3600" w:type="dxa"/>
          </w:tcPr>
          <w:p w14:paraId="39FFE076"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USD</w:t>
            </w:r>
          </w:p>
        </w:tc>
      </w:tr>
    </w:tbl>
    <w:p w14:paraId="39FFE078" w14:textId="77777777" w:rsidR="0048064C" w:rsidRPr="00C53DE9" w:rsidRDefault="0048064C">
      <w:pPr>
        <w:jc w:val="both"/>
        <w:rPr>
          <w:rFonts w:ascii="Poppins" w:hAnsi="Poppins" w:cs="Poppins"/>
          <w:b/>
          <w:i/>
          <w:color w:val="000000"/>
          <w:sz w:val="18"/>
          <w:szCs w:val="18"/>
        </w:rPr>
      </w:pPr>
    </w:p>
    <w:tbl>
      <w:tblPr>
        <w:tblStyle w:val="ListTable6Colorful-Accent4"/>
        <w:tblW w:w="9545" w:type="dxa"/>
        <w:tblLayout w:type="fixed"/>
        <w:tblLook w:val="0400" w:firstRow="0" w:lastRow="0" w:firstColumn="0" w:lastColumn="0" w:noHBand="0" w:noVBand="1"/>
      </w:tblPr>
      <w:tblGrid>
        <w:gridCol w:w="1175"/>
        <w:gridCol w:w="1350"/>
        <w:gridCol w:w="990"/>
        <w:gridCol w:w="1170"/>
        <w:gridCol w:w="1350"/>
        <w:gridCol w:w="1260"/>
        <w:gridCol w:w="1080"/>
        <w:gridCol w:w="1170"/>
      </w:tblGrid>
      <w:tr w:rsidR="0048064C" w:rsidRPr="00C53DE9" w14:paraId="39FFE082" w14:textId="77777777" w:rsidTr="00C53DE9">
        <w:trPr>
          <w:cnfStyle w:val="000000100000" w:firstRow="0" w:lastRow="0" w:firstColumn="0" w:lastColumn="0" w:oddVBand="0" w:evenVBand="0" w:oddHBand="1" w:evenHBand="0" w:firstRowFirstColumn="0" w:firstRowLastColumn="0" w:lastRowFirstColumn="0" w:lastRowLastColumn="0"/>
          <w:trHeight w:val="1007"/>
        </w:trPr>
        <w:tc>
          <w:tcPr>
            <w:tcW w:w="1175" w:type="dxa"/>
          </w:tcPr>
          <w:p w14:paraId="39FFE079"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Pitkän suorituskyvyn skenaario</w:t>
            </w:r>
          </w:p>
        </w:tc>
        <w:tc>
          <w:tcPr>
            <w:tcW w:w="1350" w:type="dxa"/>
          </w:tcPr>
          <w:p w14:paraId="39FFE07A"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Tilin suorituskyky</w:t>
            </w:r>
            <w:r w:rsidRPr="00C53DE9">
              <w:rPr>
                <w:rFonts w:ascii="Poppins" w:hAnsi="Poppins" w:cs="Poppins"/>
                <w:b/>
                <w:color w:val="000000"/>
                <w:sz w:val="18"/>
                <w:szCs w:val="18"/>
              </w:rPr>
              <w:br/>
            </w:r>
          </w:p>
        </w:tc>
        <w:tc>
          <w:tcPr>
            <w:tcW w:w="990" w:type="dxa"/>
          </w:tcPr>
          <w:p w14:paraId="39FFE07B"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Hintamuutos</w:t>
            </w:r>
          </w:p>
          <w:p w14:paraId="39FFE07C"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(Lainaa valuutta)</w:t>
            </w:r>
            <w:r w:rsidRPr="00C53DE9">
              <w:rPr>
                <w:rFonts w:ascii="Poppins" w:hAnsi="Poppins" w:cs="Poppins"/>
                <w:b/>
                <w:color w:val="000000"/>
                <w:sz w:val="18"/>
                <w:szCs w:val="18"/>
              </w:rPr>
              <w:br/>
            </w:r>
          </w:p>
        </w:tc>
        <w:tc>
          <w:tcPr>
            <w:tcW w:w="1170" w:type="dxa"/>
          </w:tcPr>
          <w:p w14:paraId="39FFE07D"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Voitonmenetys</w:t>
            </w:r>
            <w:r w:rsidRPr="00C53DE9">
              <w:rPr>
                <w:rFonts w:ascii="Poppins" w:hAnsi="Poppins" w:cs="Poppins"/>
                <w:b/>
                <w:color w:val="000000"/>
                <w:sz w:val="18"/>
                <w:szCs w:val="18"/>
              </w:rPr>
              <w:br/>
              <w:t>(tilin valuutta)</w:t>
            </w:r>
          </w:p>
        </w:tc>
        <w:tc>
          <w:tcPr>
            <w:tcW w:w="1350" w:type="dxa"/>
          </w:tcPr>
          <w:p w14:paraId="39FFE07E"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Lyhyt suoritusskenaario</w:t>
            </w:r>
          </w:p>
        </w:tc>
        <w:tc>
          <w:tcPr>
            <w:tcW w:w="1260" w:type="dxa"/>
          </w:tcPr>
          <w:p w14:paraId="39FFE07F"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Tilin suorituskyky</w:t>
            </w:r>
          </w:p>
        </w:tc>
        <w:tc>
          <w:tcPr>
            <w:tcW w:w="1080" w:type="dxa"/>
          </w:tcPr>
          <w:p w14:paraId="39FFE080" w14:textId="77777777" w:rsidR="0048064C" w:rsidRPr="00C53DE9" w:rsidRDefault="00020658">
            <w:pPr>
              <w:pBdr>
                <w:top w:val="nil"/>
                <w:left w:val="nil"/>
                <w:bottom w:val="nil"/>
                <w:right w:val="nil"/>
                <w:between w:val="nil"/>
              </w:pBdr>
              <w:rPr>
                <w:rFonts w:ascii="Poppins" w:hAnsi="Poppins" w:cs="Poppins"/>
                <w:b/>
                <w:color w:val="000000"/>
                <w:sz w:val="18"/>
                <w:szCs w:val="18"/>
              </w:rPr>
            </w:pPr>
            <w:r w:rsidRPr="00C53DE9">
              <w:rPr>
                <w:rFonts w:ascii="Poppins" w:hAnsi="Poppins" w:cs="Poppins"/>
                <w:b/>
                <w:color w:val="000000"/>
                <w:sz w:val="18"/>
                <w:szCs w:val="18"/>
              </w:rPr>
              <w:t>Hintamuutos</w:t>
            </w:r>
            <w:r w:rsidRPr="00C53DE9">
              <w:rPr>
                <w:rFonts w:ascii="Poppins" w:hAnsi="Poppins" w:cs="Poppins"/>
                <w:b/>
                <w:color w:val="000000"/>
                <w:sz w:val="18"/>
                <w:szCs w:val="18"/>
              </w:rPr>
              <w:br/>
              <w:t>(Lainaa valuutta)</w:t>
            </w:r>
          </w:p>
        </w:tc>
        <w:tc>
          <w:tcPr>
            <w:tcW w:w="1170" w:type="dxa"/>
          </w:tcPr>
          <w:p w14:paraId="39FFE081" w14:textId="77777777" w:rsidR="0048064C" w:rsidRPr="00C53DE9" w:rsidRDefault="00020658">
            <w:pPr>
              <w:rPr>
                <w:rFonts w:ascii="Poppins" w:hAnsi="Poppins" w:cs="Poppins"/>
                <w:b/>
                <w:color w:val="000000"/>
                <w:sz w:val="18"/>
                <w:szCs w:val="18"/>
              </w:rPr>
            </w:pPr>
            <w:r w:rsidRPr="00C53DE9">
              <w:rPr>
                <w:rFonts w:ascii="Poppins" w:hAnsi="Poppins" w:cs="Poppins"/>
                <w:b/>
                <w:color w:val="000000"/>
                <w:sz w:val="18"/>
                <w:szCs w:val="18"/>
              </w:rPr>
              <w:t>Voitonmenetys</w:t>
            </w:r>
            <w:r w:rsidRPr="00C53DE9">
              <w:rPr>
                <w:rFonts w:ascii="Poppins" w:hAnsi="Poppins" w:cs="Poppins"/>
                <w:b/>
                <w:color w:val="000000"/>
                <w:sz w:val="18"/>
                <w:szCs w:val="18"/>
              </w:rPr>
              <w:br/>
              <w:t>(tilin valuutta)</w:t>
            </w:r>
          </w:p>
        </w:tc>
      </w:tr>
      <w:tr w:rsidR="0048064C" w:rsidRPr="00C53DE9" w14:paraId="39FFE08B" w14:textId="77777777" w:rsidTr="00C53DE9">
        <w:tc>
          <w:tcPr>
            <w:tcW w:w="1175" w:type="dxa"/>
          </w:tcPr>
          <w:p w14:paraId="39FFE083"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Suotuisa</w:t>
            </w:r>
          </w:p>
        </w:tc>
        <w:tc>
          <w:tcPr>
            <w:tcW w:w="1350" w:type="dxa"/>
          </w:tcPr>
          <w:p w14:paraId="39FFE084"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0,15 %</w:t>
            </w:r>
          </w:p>
        </w:tc>
        <w:tc>
          <w:tcPr>
            <w:tcW w:w="990" w:type="dxa"/>
          </w:tcPr>
          <w:p w14:paraId="39FFE085"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+0,00175</w:t>
            </w:r>
          </w:p>
        </w:tc>
        <w:tc>
          <w:tcPr>
            <w:tcW w:w="1170" w:type="dxa"/>
          </w:tcPr>
          <w:p w14:paraId="39FFE086" w14:textId="77777777" w:rsidR="0048064C" w:rsidRPr="00C53DE9" w:rsidRDefault="00020658">
            <w:pPr>
              <w:rPr>
                <w:rFonts w:ascii="Poppins" w:hAnsi="Poppins" w:cs="Poppins"/>
                <w:sz w:val="18"/>
                <w:szCs w:val="18"/>
              </w:rPr>
            </w:pPr>
            <w:r w:rsidRPr="00C53DE9">
              <w:rPr>
                <w:rFonts w:ascii="Poppins" w:hAnsi="Poppins" w:cs="Poppins"/>
                <w:sz w:val="18"/>
                <w:szCs w:val="18"/>
              </w:rPr>
              <w:t>262,46 USD</w:t>
            </w:r>
          </w:p>
        </w:tc>
        <w:tc>
          <w:tcPr>
            <w:tcW w:w="1350" w:type="dxa"/>
          </w:tcPr>
          <w:p w14:paraId="39FFE087"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Suotuisa</w:t>
            </w:r>
          </w:p>
        </w:tc>
        <w:tc>
          <w:tcPr>
            <w:tcW w:w="1260" w:type="dxa"/>
          </w:tcPr>
          <w:p w14:paraId="39FFE088"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-0,18 %</w:t>
            </w:r>
          </w:p>
        </w:tc>
        <w:tc>
          <w:tcPr>
            <w:tcW w:w="1080" w:type="dxa"/>
          </w:tcPr>
          <w:p w14:paraId="39FFE089"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-0,00175</w:t>
            </w:r>
          </w:p>
        </w:tc>
        <w:tc>
          <w:tcPr>
            <w:tcW w:w="1170" w:type="dxa"/>
          </w:tcPr>
          <w:p w14:paraId="39FFE08A" w14:textId="77777777" w:rsidR="0048064C" w:rsidRPr="00C53DE9" w:rsidRDefault="00020658">
            <w:pPr>
              <w:rPr>
                <w:rFonts w:ascii="Poppins" w:hAnsi="Poppins" w:cs="Poppins"/>
                <w:sz w:val="18"/>
                <w:szCs w:val="18"/>
              </w:rPr>
            </w:pPr>
            <w:r w:rsidRPr="00C53DE9">
              <w:rPr>
                <w:rFonts w:ascii="Poppins" w:hAnsi="Poppins" w:cs="Poppins"/>
                <w:sz w:val="18"/>
                <w:szCs w:val="18"/>
              </w:rPr>
              <w:t>+262,46 USD</w:t>
            </w:r>
          </w:p>
        </w:tc>
      </w:tr>
      <w:tr w:rsidR="0048064C" w:rsidRPr="00C53DE9" w14:paraId="39FFE094" w14:textId="77777777" w:rsidTr="00C53DE9">
        <w:trPr>
          <w:cnfStyle w:val="000000100000" w:firstRow="0" w:lastRow="0" w:firstColumn="0" w:lastColumn="0" w:oddVBand="0" w:evenVBand="0" w:oddHBand="1" w:evenHBand="0" w:firstRowFirstColumn="0" w:firstRowLastColumn="0" w:lastRowFirstColumn="0" w:lastRowLastColumn="0"/>
        </w:trPr>
        <w:tc>
          <w:tcPr>
            <w:tcW w:w="1175" w:type="dxa"/>
          </w:tcPr>
          <w:p w14:paraId="39FFE08C"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Kohtalainen</w:t>
            </w:r>
          </w:p>
        </w:tc>
        <w:tc>
          <w:tcPr>
            <w:tcW w:w="1350" w:type="dxa"/>
          </w:tcPr>
          <w:p w14:paraId="39FFE08D"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0,01 %</w:t>
            </w:r>
          </w:p>
        </w:tc>
        <w:tc>
          <w:tcPr>
            <w:tcW w:w="990" w:type="dxa"/>
          </w:tcPr>
          <w:p w14:paraId="39FFE08E"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+0,00012</w:t>
            </w:r>
          </w:p>
        </w:tc>
        <w:tc>
          <w:tcPr>
            <w:tcW w:w="1170" w:type="dxa"/>
          </w:tcPr>
          <w:p w14:paraId="39FFE08F" w14:textId="77777777" w:rsidR="0048064C" w:rsidRPr="00C53DE9" w:rsidRDefault="00020658">
            <w:pPr>
              <w:rPr>
                <w:rFonts w:ascii="Poppins" w:hAnsi="Poppins" w:cs="Poppins"/>
                <w:sz w:val="18"/>
                <w:szCs w:val="18"/>
              </w:rPr>
            </w:pPr>
            <w:r w:rsidRPr="00C53DE9">
              <w:rPr>
                <w:rFonts w:ascii="Poppins" w:hAnsi="Poppins" w:cs="Poppins"/>
                <w:sz w:val="18"/>
                <w:szCs w:val="18"/>
              </w:rPr>
              <w:t>17,50 USD</w:t>
            </w:r>
          </w:p>
        </w:tc>
        <w:tc>
          <w:tcPr>
            <w:tcW w:w="1350" w:type="dxa"/>
          </w:tcPr>
          <w:p w14:paraId="39FFE090"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Kohtalainen</w:t>
            </w:r>
          </w:p>
        </w:tc>
        <w:tc>
          <w:tcPr>
            <w:tcW w:w="1260" w:type="dxa"/>
          </w:tcPr>
          <w:p w14:paraId="39FFE091"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-0,01 %</w:t>
            </w:r>
          </w:p>
        </w:tc>
        <w:tc>
          <w:tcPr>
            <w:tcW w:w="1080" w:type="dxa"/>
          </w:tcPr>
          <w:p w14:paraId="39FFE092"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-0,00012</w:t>
            </w:r>
          </w:p>
        </w:tc>
        <w:tc>
          <w:tcPr>
            <w:tcW w:w="1170" w:type="dxa"/>
          </w:tcPr>
          <w:p w14:paraId="39FFE093" w14:textId="77777777" w:rsidR="0048064C" w:rsidRPr="00C53DE9" w:rsidRDefault="00020658">
            <w:pPr>
              <w:rPr>
                <w:rFonts w:ascii="Poppins" w:hAnsi="Poppins" w:cs="Poppins"/>
                <w:sz w:val="18"/>
                <w:szCs w:val="18"/>
              </w:rPr>
            </w:pPr>
            <w:r w:rsidRPr="00C53DE9">
              <w:rPr>
                <w:rFonts w:ascii="Poppins" w:hAnsi="Poppins" w:cs="Poppins"/>
                <w:sz w:val="18"/>
                <w:szCs w:val="18"/>
              </w:rPr>
              <w:t>+17,50 USD</w:t>
            </w:r>
          </w:p>
        </w:tc>
      </w:tr>
      <w:tr w:rsidR="0048064C" w:rsidRPr="00C53DE9" w14:paraId="39FFE09D" w14:textId="77777777" w:rsidTr="00C53DE9">
        <w:tc>
          <w:tcPr>
            <w:tcW w:w="1175" w:type="dxa"/>
          </w:tcPr>
          <w:p w14:paraId="39FFE095"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Epäsuotuisa</w:t>
            </w:r>
          </w:p>
        </w:tc>
        <w:tc>
          <w:tcPr>
            <w:tcW w:w="1350" w:type="dxa"/>
          </w:tcPr>
          <w:p w14:paraId="39FFE096"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-0,05 %</w:t>
            </w:r>
          </w:p>
        </w:tc>
        <w:tc>
          <w:tcPr>
            <w:tcW w:w="990" w:type="dxa"/>
          </w:tcPr>
          <w:p w14:paraId="39FFE097"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-0,00058</w:t>
            </w:r>
          </w:p>
        </w:tc>
        <w:tc>
          <w:tcPr>
            <w:tcW w:w="1170" w:type="dxa"/>
          </w:tcPr>
          <w:p w14:paraId="39FFE098" w14:textId="77777777" w:rsidR="0048064C" w:rsidRPr="00C53DE9" w:rsidRDefault="00020658">
            <w:pPr>
              <w:rPr>
                <w:rFonts w:ascii="Poppins" w:hAnsi="Poppins" w:cs="Poppins"/>
                <w:sz w:val="18"/>
                <w:szCs w:val="18"/>
              </w:rPr>
            </w:pPr>
            <w:r w:rsidRPr="00C53DE9">
              <w:rPr>
                <w:rFonts w:ascii="Poppins" w:hAnsi="Poppins" w:cs="Poppins"/>
                <w:sz w:val="18"/>
                <w:szCs w:val="18"/>
              </w:rPr>
              <w:t>-87,49 USD</w:t>
            </w:r>
          </w:p>
        </w:tc>
        <w:tc>
          <w:tcPr>
            <w:tcW w:w="1350" w:type="dxa"/>
          </w:tcPr>
          <w:p w14:paraId="39FFE099"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Epäsuotuisa</w:t>
            </w:r>
          </w:p>
        </w:tc>
        <w:tc>
          <w:tcPr>
            <w:tcW w:w="1260" w:type="dxa"/>
          </w:tcPr>
          <w:p w14:paraId="39FFE09A"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0,2 %</w:t>
            </w:r>
          </w:p>
        </w:tc>
        <w:tc>
          <w:tcPr>
            <w:tcW w:w="1080" w:type="dxa"/>
          </w:tcPr>
          <w:p w14:paraId="39FFE09B"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+0,00058</w:t>
            </w:r>
          </w:p>
        </w:tc>
        <w:tc>
          <w:tcPr>
            <w:tcW w:w="1170" w:type="dxa"/>
          </w:tcPr>
          <w:p w14:paraId="39FFE09C" w14:textId="77777777" w:rsidR="0048064C" w:rsidRPr="00C53DE9" w:rsidRDefault="00020658">
            <w:pPr>
              <w:rPr>
                <w:rFonts w:ascii="Poppins" w:hAnsi="Poppins" w:cs="Poppins"/>
                <w:sz w:val="18"/>
                <w:szCs w:val="18"/>
              </w:rPr>
            </w:pPr>
            <w:r w:rsidRPr="00C53DE9">
              <w:rPr>
                <w:rFonts w:ascii="Poppins" w:hAnsi="Poppins" w:cs="Poppins"/>
                <w:sz w:val="18"/>
                <w:szCs w:val="18"/>
              </w:rPr>
              <w:t>-87,49 USD</w:t>
            </w:r>
          </w:p>
        </w:tc>
      </w:tr>
      <w:tr w:rsidR="0048064C" w:rsidRPr="00C53DE9" w14:paraId="39FFE0A6" w14:textId="77777777" w:rsidTr="00C53DE9">
        <w:trPr>
          <w:cnfStyle w:val="000000100000" w:firstRow="0" w:lastRow="0" w:firstColumn="0" w:lastColumn="0" w:oddVBand="0" w:evenVBand="0" w:oddHBand="1" w:evenHBand="0" w:firstRowFirstColumn="0" w:firstRowLastColumn="0" w:lastRowFirstColumn="0" w:lastRowLastColumn="0"/>
        </w:trPr>
        <w:tc>
          <w:tcPr>
            <w:tcW w:w="1175" w:type="dxa"/>
          </w:tcPr>
          <w:p w14:paraId="39FFE09E"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lastRenderedPageBreak/>
              <w:t>Stressi</w:t>
            </w:r>
          </w:p>
        </w:tc>
        <w:tc>
          <w:tcPr>
            <w:tcW w:w="1350" w:type="dxa"/>
          </w:tcPr>
          <w:p w14:paraId="39FFE09F"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-0,17 %</w:t>
            </w:r>
          </w:p>
        </w:tc>
        <w:tc>
          <w:tcPr>
            <w:tcW w:w="990" w:type="dxa"/>
          </w:tcPr>
          <w:p w14:paraId="39FFE0A0"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-0,00198</w:t>
            </w:r>
          </w:p>
        </w:tc>
        <w:tc>
          <w:tcPr>
            <w:tcW w:w="1170" w:type="dxa"/>
          </w:tcPr>
          <w:p w14:paraId="39FFE0A1" w14:textId="77777777" w:rsidR="0048064C" w:rsidRPr="00C53DE9" w:rsidRDefault="00020658">
            <w:pPr>
              <w:rPr>
                <w:rFonts w:ascii="Poppins" w:hAnsi="Poppins" w:cs="Poppins"/>
                <w:sz w:val="18"/>
                <w:szCs w:val="18"/>
              </w:rPr>
            </w:pPr>
            <w:r w:rsidRPr="00C53DE9">
              <w:rPr>
                <w:rFonts w:ascii="Poppins" w:hAnsi="Poppins" w:cs="Poppins"/>
                <w:sz w:val="18"/>
                <w:szCs w:val="18"/>
              </w:rPr>
              <w:t>-297,46 USD</w:t>
            </w:r>
          </w:p>
        </w:tc>
        <w:tc>
          <w:tcPr>
            <w:tcW w:w="1350" w:type="dxa"/>
          </w:tcPr>
          <w:p w14:paraId="39FFE0A2"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Stressi</w:t>
            </w:r>
          </w:p>
        </w:tc>
        <w:tc>
          <w:tcPr>
            <w:tcW w:w="1260" w:type="dxa"/>
          </w:tcPr>
          <w:p w14:paraId="39FFE0A3"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0,17 %</w:t>
            </w:r>
          </w:p>
        </w:tc>
        <w:tc>
          <w:tcPr>
            <w:tcW w:w="1080" w:type="dxa"/>
          </w:tcPr>
          <w:p w14:paraId="39FFE0A4"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+0,00198</w:t>
            </w:r>
          </w:p>
        </w:tc>
        <w:tc>
          <w:tcPr>
            <w:tcW w:w="1170" w:type="dxa"/>
          </w:tcPr>
          <w:p w14:paraId="39FFE0A5" w14:textId="77777777" w:rsidR="0048064C" w:rsidRPr="00C53DE9" w:rsidRDefault="00020658">
            <w:pPr>
              <w:rPr>
                <w:rFonts w:ascii="Poppins" w:hAnsi="Poppins" w:cs="Poppins"/>
                <w:sz w:val="18"/>
                <w:szCs w:val="18"/>
              </w:rPr>
            </w:pPr>
            <w:r w:rsidRPr="00C53DE9">
              <w:rPr>
                <w:rFonts w:ascii="Poppins" w:hAnsi="Poppins" w:cs="Poppins"/>
                <w:sz w:val="18"/>
                <w:szCs w:val="18"/>
              </w:rPr>
              <w:t>-297,46 USD</w:t>
            </w:r>
          </w:p>
        </w:tc>
      </w:tr>
    </w:tbl>
    <w:p w14:paraId="39FFE0A7" w14:textId="77777777" w:rsidR="0048064C" w:rsidRPr="00C53DE9" w:rsidRDefault="0048064C">
      <w:pPr>
        <w:jc w:val="both"/>
        <w:rPr>
          <w:rFonts w:ascii="Poppins" w:hAnsi="Poppins" w:cs="Poppins"/>
          <w:b/>
          <w:i/>
          <w:color w:val="000000"/>
          <w:sz w:val="18"/>
          <w:szCs w:val="18"/>
        </w:rPr>
      </w:pPr>
    </w:p>
    <w:p w14:paraId="39FFE0A8" w14:textId="77777777" w:rsidR="0048064C" w:rsidRPr="00C53DE9" w:rsidRDefault="00020658">
      <w:pPr>
        <w:shd w:val="clear" w:color="auto" w:fill="BFBFBF"/>
        <w:jc w:val="both"/>
        <w:rPr>
          <w:rFonts w:ascii="Poppins" w:hAnsi="Poppins" w:cs="Poppins"/>
          <w:b/>
          <w:color w:val="000000"/>
          <w:sz w:val="18"/>
          <w:szCs w:val="18"/>
        </w:rPr>
      </w:pPr>
      <w:r w:rsidRPr="00C53DE9">
        <w:rPr>
          <w:rFonts w:ascii="Poppins" w:hAnsi="Poppins" w:cs="Poppins"/>
          <w:b/>
          <w:color w:val="000000"/>
          <w:sz w:val="18"/>
          <w:szCs w:val="18"/>
        </w:rPr>
        <w:t>Kaupankäyntikulut/palkkiot</w:t>
      </w:r>
    </w:p>
    <w:p w14:paraId="39FFE0A9" w14:textId="77777777" w:rsidR="0048064C" w:rsidRPr="00C53DE9" w:rsidRDefault="00020658">
      <w:pPr>
        <w:jc w:val="both"/>
        <w:rPr>
          <w:rFonts w:ascii="Poppins" w:hAnsi="Poppins" w:cs="Poppins"/>
          <w:color w:val="000000"/>
          <w:sz w:val="18"/>
          <w:szCs w:val="18"/>
        </w:rPr>
      </w:pPr>
      <w:r w:rsidRPr="00C53DE9">
        <w:rPr>
          <w:rFonts w:ascii="Poppins" w:hAnsi="Poppins" w:cs="Poppins"/>
          <w:color w:val="000000"/>
          <w:sz w:val="18"/>
          <w:szCs w:val="18"/>
        </w:rPr>
        <w:t>Ennen kuin aloitat kaupankäynnin CFD:illä valuuttaparilla, sinun tulee tutustua kaikkiin kaupankäyntiin liittyviin kustannuksiin. Nämä maksut vähentävät nettovoittoa tai lisäävät tappioitasi. Lisätietoja löytyy verkkosivuiltamme ja/tai alustaltamme.</w:t>
      </w:r>
    </w:p>
    <w:tbl>
      <w:tblPr>
        <w:tblStyle w:val="GridTable5Dark-Accent1"/>
        <w:tblW w:w="9445" w:type="dxa"/>
        <w:tblLayout w:type="fixed"/>
        <w:tblLook w:val="0400" w:firstRow="0" w:lastRow="0" w:firstColumn="0" w:lastColumn="0" w:noHBand="0" w:noVBand="1"/>
      </w:tblPr>
      <w:tblGrid>
        <w:gridCol w:w="1910"/>
        <w:gridCol w:w="1836"/>
        <w:gridCol w:w="2949"/>
        <w:gridCol w:w="2750"/>
      </w:tblGrid>
      <w:tr w:rsidR="0048064C" w:rsidRPr="00C53DE9" w14:paraId="39FFE0AF" w14:textId="77777777" w:rsidTr="00C53DE9">
        <w:trPr>
          <w:cnfStyle w:val="000000100000" w:firstRow="0" w:lastRow="0" w:firstColumn="0" w:lastColumn="0" w:oddVBand="0" w:evenVBand="0" w:oddHBand="1" w:evenHBand="0" w:firstRowFirstColumn="0" w:firstRowLastColumn="0" w:lastRowFirstColumn="0" w:lastRowLastColumn="0"/>
        </w:trPr>
        <w:tc>
          <w:tcPr>
            <w:tcW w:w="1910" w:type="dxa"/>
            <w:vMerge w:val="restart"/>
          </w:tcPr>
          <w:p w14:paraId="39FFE0AA" w14:textId="77777777" w:rsidR="0048064C" w:rsidRPr="00C53DE9" w:rsidRDefault="00020658">
            <w:pPr>
              <w:pBdr>
                <w:top w:val="nil"/>
                <w:left w:val="nil"/>
                <w:bottom w:val="nil"/>
                <w:right w:val="nil"/>
                <w:between w:val="nil"/>
              </w:pBdr>
              <w:jc w:val="center"/>
              <w:rPr>
                <w:rFonts w:ascii="Poppins" w:hAnsi="Poppins" w:cs="Poppins"/>
                <w:b/>
                <w:color w:val="000000"/>
                <w:sz w:val="18"/>
                <w:szCs w:val="18"/>
              </w:rPr>
            </w:pPr>
            <w:r w:rsidRPr="00C53DE9">
              <w:rPr>
                <w:rFonts w:ascii="Poppins" w:hAnsi="Poppins" w:cs="Poppins"/>
                <w:b/>
                <w:color w:val="000000"/>
                <w:sz w:val="18"/>
                <w:szCs w:val="18"/>
              </w:rPr>
              <w:t>Kertaluonteiset kulut</w:t>
            </w:r>
          </w:p>
        </w:tc>
        <w:tc>
          <w:tcPr>
            <w:tcW w:w="1836" w:type="dxa"/>
          </w:tcPr>
          <w:p w14:paraId="39FFE0AB"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Levitän</w:t>
            </w:r>
          </w:p>
        </w:tc>
        <w:tc>
          <w:tcPr>
            <w:tcW w:w="2949" w:type="dxa"/>
          </w:tcPr>
          <w:p w14:paraId="39FFE0AC"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Osto- ja myyntihinnan eroa kutsutaan spreadiksi. Tämä hinta toteutuu joka kerta, kun avaat ja suljet kaupan.</w:t>
            </w:r>
          </w:p>
        </w:tc>
        <w:tc>
          <w:tcPr>
            <w:tcW w:w="2750" w:type="dxa"/>
          </w:tcPr>
          <w:p w14:paraId="39FFE0AD" w14:textId="0929B50D" w:rsidR="0048064C" w:rsidRPr="0054183C" w:rsidRDefault="00020658">
            <w:pPr>
              <w:pBdr>
                <w:top w:val="nil"/>
                <w:left w:val="nil"/>
                <w:bottom w:val="nil"/>
                <w:right w:val="nil"/>
                <w:between w:val="nil"/>
              </w:pBdr>
              <w:jc w:val="both"/>
              <w:rPr>
                <w:rFonts w:ascii="Poppins" w:hAnsi="Poppins" w:cs="Poppins"/>
                <w:color w:val="004931"/>
                <w:sz w:val="18"/>
                <w:szCs w:val="18"/>
              </w:rPr>
            </w:pPr>
            <w:hyperlink r:id="rId12" w:history="1">
              <w:r w:rsidRPr="0054183C">
                <w:rPr>
                  <w:rStyle w:val="Hyperlink"/>
                  <w:rFonts w:ascii="Poppins" w:hAnsi="Poppins" w:cs="Poppins"/>
                  <w:color w:val="004931"/>
                  <w:sz w:val="18"/>
                  <w:szCs w:val="18"/>
                </w:rPr>
                <w:t>www.hmvest.eu</w:t>
              </w:r>
            </w:hyperlink>
          </w:p>
          <w:p w14:paraId="39FFE0AE" w14:textId="77777777" w:rsidR="0048064C" w:rsidRPr="00C53DE9" w:rsidRDefault="0048064C">
            <w:pPr>
              <w:pBdr>
                <w:top w:val="nil"/>
                <w:left w:val="nil"/>
                <w:bottom w:val="nil"/>
                <w:right w:val="nil"/>
                <w:between w:val="nil"/>
              </w:pBdr>
              <w:jc w:val="both"/>
              <w:rPr>
                <w:rFonts w:ascii="Poppins" w:hAnsi="Poppins" w:cs="Poppins"/>
                <w:color w:val="000000"/>
                <w:sz w:val="18"/>
                <w:szCs w:val="18"/>
              </w:rPr>
            </w:pPr>
          </w:p>
        </w:tc>
      </w:tr>
      <w:tr w:rsidR="0048064C" w:rsidRPr="00C53DE9" w14:paraId="39FFE0B4" w14:textId="77777777" w:rsidTr="00C53DE9">
        <w:trPr>
          <w:trHeight w:val="395"/>
        </w:trPr>
        <w:tc>
          <w:tcPr>
            <w:tcW w:w="1910" w:type="dxa"/>
            <w:vMerge/>
          </w:tcPr>
          <w:p w14:paraId="39FFE0B0" w14:textId="77777777" w:rsidR="0048064C" w:rsidRPr="00C53DE9" w:rsidRDefault="0048064C">
            <w:pPr>
              <w:widowControl w:val="0"/>
              <w:pBdr>
                <w:top w:val="nil"/>
                <w:left w:val="nil"/>
                <w:bottom w:val="nil"/>
                <w:right w:val="nil"/>
                <w:between w:val="nil"/>
              </w:pBdr>
              <w:spacing w:line="276" w:lineRule="auto"/>
              <w:rPr>
                <w:rFonts w:ascii="Poppins" w:hAnsi="Poppins" w:cs="Poppins"/>
                <w:color w:val="000000"/>
                <w:sz w:val="18"/>
                <w:szCs w:val="18"/>
              </w:rPr>
            </w:pPr>
          </w:p>
        </w:tc>
        <w:tc>
          <w:tcPr>
            <w:tcW w:w="1836" w:type="dxa"/>
          </w:tcPr>
          <w:p w14:paraId="39FFE0B1"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palkkiot</w:t>
            </w:r>
          </w:p>
        </w:tc>
        <w:tc>
          <w:tcPr>
            <w:tcW w:w="2949" w:type="dxa"/>
          </w:tcPr>
          <w:p w14:paraId="39FFE0B2"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Tämä on palkkio, joka veloitetaan, kun ostat tai myyt CFD:n valuuttaparilla, joka perustuu kaupan nimellisarvoon.</w:t>
            </w:r>
          </w:p>
        </w:tc>
        <w:tc>
          <w:tcPr>
            <w:tcW w:w="2750" w:type="dxa"/>
          </w:tcPr>
          <w:p w14:paraId="39FFE0B3" w14:textId="30BF404A" w:rsidR="0048064C" w:rsidRPr="00C53DE9" w:rsidRDefault="00020658">
            <w:pPr>
              <w:pBdr>
                <w:top w:val="nil"/>
                <w:left w:val="nil"/>
                <w:bottom w:val="nil"/>
                <w:right w:val="nil"/>
                <w:between w:val="nil"/>
              </w:pBdr>
              <w:jc w:val="both"/>
              <w:rPr>
                <w:rFonts w:ascii="Poppins" w:hAnsi="Poppins" w:cs="Poppins"/>
                <w:color w:val="0000FF"/>
                <w:sz w:val="18"/>
                <w:szCs w:val="18"/>
                <w:u w:val="single"/>
              </w:rPr>
            </w:pPr>
            <w:hyperlink r:id="rId13" w:history="1">
              <w:r w:rsidRPr="0054183C">
                <w:rPr>
                  <w:rStyle w:val="Hyperlink"/>
                  <w:rFonts w:ascii="Poppins" w:hAnsi="Poppins" w:cs="Poppins"/>
                  <w:color w:val="004931"/>
                  <w:sz w:val="18"/>
                  <w:szCs w:val="18"/>
                </w:rPr>
                <w:t>www.hmvest.eu</w:t>
              </w:r>
            </w:hyperlink>
          </w:p>
        </w:tc>
      </w:tr>
      <w:tr w:rsidR="0048064C" w:rsidRPr="00C53DE9" w14:paraId="39FFE0B9" w14:textId="77777777" w:rsidTr="00C53DE9">
        <w:trPr>
          <w:cnfStyle w:val="000000100000" w:firstRow="0" w:lastRow="0" w:firstColumn="0" w:lastColumn="0" w:oddVBand="0" w:evenVBand="0" w:oddHBand="1" w:evenHBand="0" w:firstRowFirstColumn="0" w:firstRowLastColumn="0" w:lastRowFirstColumn="0" w:lastRowLastColumn="0"/>
          <w:trHeight w:val="377"/>
        </w:trPr>
        <w:tc>
          <w:tcPr>
            <w:tcW w:w="1910" w:type="dxa"/>
          </w:tcPr>
          <w:p w14:paraId="39FFE0B5" w14:textId="77777777" w:rsidR="0048064C" w:rsidRPr="00C53DE9" w:rsidRDefault="00020658">
            <w:pPr>
              <w:pBdr>
                <w:top w:val="nil"/>
                <w:left w:val="nil"/>
                <w:bottom w:val="nil"/>
                <w:right w:val="nil"/>
                <w:between w:val="nil"/>
              </w:pBdr>
              <w:jc w:val="center"/>
              <w:rPr>
                <w:rFonts w:ascii="Poppins" w:hAnsi="Poppins" w:cs="Poppins"/>
                <w:b/>
                <w:color w:val="000000"/>
                <w:sz w:val="18"/>
                <w:szCs w:val="18"/>
              </w:rPr>
            </w:pPr>
            <w:r w:rsidRPr="00C53DE9">
              <w:rPr>
                <w:rFonts w:ascii="Poppins" w:hAnsi="Poppins" w:cs="Poppins"/>
                <w:b/>
                <w:color w:val="000000"/>
                <w:sz w:val="18"/>
                <w:szCs w:val="18"/>
              </w:rPr>
              <w:t>Jatkuvat kulut</w:t>
            </w:r>
          </w:p>
        </w:tc>
        <w:tc>
          <w:tcPr>
            <w:tcW w:w="1836" w:type="dxa"/>
          </w:tcPr>
          <w:p w14:paraId="39FFE0B6"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Rahoituskulut (swapit)</w:t>
            </w:r>
          </w:p>
        </w:tc>
        <w:tc>
          <w:tcPr>
            <w:tcW w:w="2949" w:type="dxa"/>
          </w:tcPr>
          <w:p w14:paraId="39FFE0B7" w14:textId="77777777" w:rsidR="0048064C" w:rsidRPr="00C53DE9" w:rsidRDefault="00020658">
            <w:pPr>
              <w:pBdr>
                <w:top w:val="nil"/>
                <w:left w:val="nil"/>
                <w:bottom w:val="nil"/>
                <w:right w:val="nil"/>
                <w:between w:val="nil"/>
              </w:pBdr>
              <w:jc w:val="both"/>
              <w:rPr>
                <w:rFonts w:ascii="Poppins" w:hAnsi="Poppins" w:cs="Poppins"/>
                <w:color w:val="000000"/>
                <w:sz w:val="18"/>
                <w:szCs w:val="18"/>
              </w:rPr>
            </w:pPr>
            <w:r w:rsidRPr="00C53DE9">
              <w:rPr>
                <w:rFonts w:ascii="Poppins" w:hAnsi="Poppins" w:cs="Poppins"/>
                <w:color w:val="000000"/>
                <w:sz w:val="18"/>
                <w:szCs w:val="18"/>
              </w:rPr>
              <w:t>Tililtäsi veloitetaan maksu jokaiselta yöltä, jolloin asemasi on ollut. Tämä tarkoittaa, että mitä pidempään sinulla on asema, sitä enemmän se maksaa.</w:t>
            </w:r>
          </w:p>
        </w:tc>
        <w:tc>
          <w:tcPr>
            <w:tcW w:w="2750" w:type="dxa"/>
          </w:tcPr>
          <w:p w14:paraId="39FFE0B8" w14:textId="0C76DFD3" w:rsidR="0048064C" w:rsidRPr="00C53DE9" w:rsidRDefault="00020658">
            <w:pPr>
              <w:pBdr>
                <w:top w:val="nil"/>
                <w:left w:val="nil"/>
                <w:bottom w:val="nil"/>
                <w:right w:val="nil"/>
                <w:between w:val="nil"/>
              </w:pBdr>
              <w:jc w:val="both"/>
              <w:rPr>
                <w:rFonts w:ascii="Poppins" w:hAnsi="Poppins" w:cs="Poppins"/>
                <w:color w:val="0000FF"/>
                <w:sz w:val="18"/>
                <w:szCs w:val="18"/>
                <w:u w:val="single"/>
              </w:rPr>
            </w:pPr>
            <w:hyperlink r:id="rId14" w:history="1">
              <w:r w:rsidRPr="0054183C">
                <w:rPr>
                  <w:rStyle w:val="Hyperlink"/>
                  <w:rFonts w:ascii="Poppins" w:hAnsi="Poppins" w:cs="Poppins"/>
                  <w:color w:val="004931"/>
                  <w:sz w:val="18"/>
                  <w:szCs w:val="18"/>
                </w:rPr>
                <w:t>www.hmvest.eu</w:t>
              </w:r>
            </w:hyperlink>
          </w:p>
        </w:tc>
      </w:tr>
    </w:tbl>
    <w:p w14:paraId="39FFE0BA" w14:textId="77777777" w:rsidR="0048064C" w:rsidRPr="00C53DE9" w:rsidRDefault="0048064C">
      <w:pPr>
        <w:jc w:val="both"/>
        <w:rPr>
          <w:rFonts w:ascii="Poppins" w:hAnsi="Poppins" w:cs="Poppins"/>
          <w:sz w:val="18"/>
          <w:szCs w:val="18"/>
        </w:rPr>
      </w:pPr>
    </w:p>
    <w:p w14:paraId="39FFE0BB" w14:textId="77777777" w:rsidR="0048064C" w:rsidRPr="00C53DE9" w:rsidRDefault="00020658">
      <w:pPr>
        <w:shd w:val="clear" w:color="auto" w:fill="BFBFBF"/>
        <w:jc w:val="both"/>
        <w:rPr>
          <w:rFonts w:ascii="Poppins" w:hAnsi="Poppins" w:cs="Poppins"/>
          <w:b/>
          <w:sz w:val="18"/>
          <w:szCs w:val="18"/>
        </w:rPr>
      </w:pPr>
      <w:r w:rsidRPr="00C53DE9">
        <w:rPr>
          <w:rFonts w:ascii="Poppins" w:hAnsi="Poppins" w:cs="Poppins"/>
          <w:b/>
          <w:sz w:val="18"/>
          <w:szCs w:val="18"/>
        </w:rPr>
        <w:t>Kuinka kauan minun pitäisi pitää sitä ja voinko ottaa rahat pois aikaisin?</w:t>
      </w:r>
    </w:p>
    <w:p w14:paraId="39FFE0BC" w14:textId="77777777" w:rsidR="0048064C" w:rsidRPr="00C53DE9" w:rsidRDefault="00020658">
      <w:pPr>
        <w:jc w:val="both"/>
        <w:rPr>
          <w:rFonts w:ascii="Poppins" w:hAnsi="Poppins" w:cs="Poppins"/>
          <w:sz w:val="18"/>
          <w:szCs w:val="18"/>
        </w:rPr>
      </w:pPr>
      <w:r w:rsidRPr="00C53DE9">
        <w:rPr>
          <w:rFonts w:ascii="Poppins" w:hAnsi="Poppins" w:cs="Poppins"/>
          <w:sz w:val="18"/>
          <w:szCs w:val="18"/>
        </w:rPr>
        <w:t>Ei ole suositeltua säilytysaikaa, ei peruutusaikaa eikä siksi peruutusmaksuja. Voit avata ja sulkea CFD:n milloin tahansa markkina-aikoina.</w:t>
      </w:r>
    </w:p>
    <w:p w14:paraId="39FFE0BD" w14:textId="6614A97A" w:rsidR="0048064C" w:rsidRPr="00C53DE9" w:rsidRDefault="00020658">
      <w:pPr>
        <w:shd w:val="clear" w:color="auto" w:fill="BFBFBF"/>
        <w:spacing w:after="0"/>
        <w:jc w:val="both"/>
        <w:rPr>
          <w:rFonts w:ascii="Poppins" w:hAnsi="Poppins" w:cs="Poppins"/>
          <w:b/>
          <w:sz w:val="18"/>
          <w:szCs w:val="18"/>
        </w:rPr>
      </w:pPr>
      <w:r w:rsidRPr="00C53DE9">
        <w:rPr>
          <w:rFonts w:ascii="Poppins" w:hAnsi="Poppins" w:cs="Poppins"/>
          <w:b/>
          <w:sz w:val="18"/>
          <w:szCs w:val="18"/>
        </w:rPr>
        <w:t xml:space="preserve">Mitä tapahtuu, jos </w:t>
      </w:r>
      <w:r w:rsidR="00A36713" w:rsidRPr="00C53DE9">
        <w:rPr>
          <w:rFonts w:ascii="Poppins" w:hAnsi="Poppins" w:cs="Poppins"/>
          <w:b/>
          <w:sz w:val="18"/>
          <w:szCs w:val="18"/>
        </w:rPr>
        <w:t xml:space="preserve">HARMOVEST CAPITAL (CYPRUS) LTD </w:t>
      </w:r>
      <w:r w:rsidRPr="00C53DE9">
        <w:rPr>
          <w:rFonts w:ascii="Poppins" w:hAnsi="Poppins" w:cs="Poppins"/>
          <w:b/>
          <w:sz w:val="18"/>
          <w:szCs w:val="18"/>
        </w:rPr>
        <w:t>ei pysty maksamaan?</w:t>
      </w:r>
    </w:p>
    <w:p w14:paraId="39FFE0BE"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 xml:space="preserve">Yhtiö on Kyproksen sijoituspalveluyritysten (CIF) ja muiden sijoituspalveluyritysten (IF) asiakkaiden, jotka eivät ole luottolaitoksia, sijoittajien korvausrahaston ("rahasto") jäsen. Rahaston tarkoituksena on turvata vakuutettujen asiakkaiden vaatimukset rahaston jäseniä (eli yhtiötä) vastaan </w:t>
      </w:r>
      <w:r w:rsidRPr="00C53DE9">
        <w:rPr>
          <w:rFonts w:ascii="Times New Roman" w:hAnsi="Times New Roman" w:cs="Times New Roman"/>
          <w:sz w:val="18"/>
          <w:szCs w:val="18"/>
        </w:rPr>
        <w:t>​​</w:t>
      </w:r>
      <w:r w:rsidRPr="00C53DE9">
        <w:rPr>
          <w:rFonts w:ascii="Poppins" w:hAnsi="Poppins" w:cs="Poppins"/>
          <w:sz w:val="18"/>
          <w:szCs w:val="18"/>
        </w:rPr>
        <w:t>maksamalla korvaus heidän saatavistaan, jotka johtuvat sen jäsenten tarjoamista katetuista palveluista, niin kauan kuin Yhtiö epäonnistuu. täyttää velvoitteensa on varmistettu. Jos Yhtiö ei pysty täyttämään asiakkaiden varoja koskevaa velvoitettaan, sijoituksesi kuuluu Sijoittajien korvausrahastoon, joka kattaa tukikelpoiset sijoitukset 20 000 euroon asti henkilöä kohti. Katso lisätietoja Sijoittajien korvausrahastoa koskevasta Yhtiön esitteestä.</w:t>
      </w:r>
    </w:p>
    <w:p w14:paraId="39FFE0BF" w14:textId="77777777" w:rsidR="0048064C" w:rsidRPr="00C53DE9" w:rsidRDefault="00020658">
      <w:pPr>
        <w:shd w:val="clear" w:color="auto" w:fill="BFBFBF"/>
        <w:spacing w:after="0"/>
        <w:jc w:val="both"/>
        <w:rPr>
          <w:rFonts w:ascii="Poppins" w:hAnsi="Poppins" w:cs="Poppins"/>
          <w:b/>
          <w:sz w:val="18"/>
          <w:szCs w:val="18"/>
        </w:rPr>
      </w:pPr>
      <w:r w:rsidRPr="00C53DE9">
        <w:rPr>
          <w:rFonts w:ascii="Poppins" w:hAnsi="Poppins" w:cs="Poppins"/>
          <w:b/>
          <w:sz w:val="18"/>
          <w:szCs w:val="18"/>
        </w:rPr>
        <w:t>Miten voin valittaa?</w:t>
      </w:r>
    </w:p>
    <w:p w14:paraId="39FFE0C0"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 xml:space="preserve">Yksityissijoittajat voivat lähettää valituksensa tai valituksensa CFD-sopimuksista käyttämällä "valituslomaketta" Compliance-osaston johtajalle. "Valituslomake" voidaan toimittaa yritykselle </w:t>
      </w:r>
      <w:r w:rsidRPr="00C53DE9">
        <w:rPr>
          <w:rFonts w:ascii="Poppins" w:hAnsi="Poppins" w:cs="Poppins"/>
          <w:sz w:val="18"/>
          <w:szCs w:val="18"/>
        </w:rPr>
        <w:lastRenderedPageBreak/>
        <w:t>sähköpostitse, faksilla tai postitse. Lisätietoja sijoittajien tulee katsoa Yhtiön verkkosivuilla olevasta valituslomakkeesta.</w:t>
      </w:r>
    </w:p>
    <w:p w14:paraId="39FFE0C1" w14:textId="77777777" w:rsidR="0048064C" w:rsidRPr="00C53DE9" w:rsidRDefault="00020658">
      <w:pPr>
        <w:shd w:val="clear" w:color="auto" w:fill="BFBFBF"/>
        <w:spacing w:after="0"/>
        <w:jc w:val="both"/>
        <w:rPr>
          <w:rFonts w:ascii="Poppins" w:hAnsi="Poppins" w:cs="Poppins"/>
          <w:b/>
          <w:sz w:val="18"/>
          <w:szCs w:val="18"/>
        </w:rPr>
      </w:pPr>
      <w:r w:rsidRPr="00C53DE9">
        <w:rPr>
          <w:rFonts w:ascii="Poppins" w:hAnsi="Poppins" w:cs="Poppins"/>
          <w:b/>
          <w:sz w:val="18"/>
          <w:szCs w:val="18"/>
        </w:rPr>
        <w:t>Muut asiaankuuluvat tiedot</w:t>
      </w:r>
    </w:p>
    <w:p w14:paraId="39FFE0C2" w14:textId="77777777" w:rsidR="0048064C" w:rsidRPr="00C53DE9" w:rsidRDefault="00020658">
      <w:pPr>
        <w:spacing w:after="0"/>
        <w:jc w:val="both"/>
        <w:rPr>
          <w:rFonts w:ascii="Poppins" w:hAnsi="Poppins" w:cs="Poppins"/>
          <w:sz w:val="18"/>
          <w:szCs w:val="18"/>
        </w:rPr>
      </w:pPr>
      <w:r w:rsidRPr="00C53DE9">
        <w:rPr>
          <w:rFonts w:ascii="Poppins" w:hAnsi="Poppins" w:cs="Poppins"/>
          <w:sz w:val="18"/>
          <w:szCs w:val="18"/>
        </w:rPr>
        <w:t>Yksityissijoittajien on varmistettava, että he ovat lukeneet ja ymmärtäneet ehdot ja kaikki muut Yhtiön oikeudelliset asiakirjat, kuten riskien paljastamisen, toimeksiantojen toteuttamiskäytännön, eturistiriitapolitiikan ja tietosuojailmoituksen, jotka näkyvät verkkosivustomme lakiosassa. Nämä ovat tärkeitä asiakirjoja, jotka sinun on luettava ja ymmärrettävä ennen tilin avaamista ja kaupankäynnin aloittamista Yrityksen kanssa.</w:t>
      </w:r>
    </w:p>
    <w:sectPr w:rsidR="0048064C" w:rsidRPr="00C53DE9" w:rsidSect="00C53DE9">
      <w:headerReference w:type="default" r:id="rId15"/>
      <w:footerReference w:type="default" r:id="rId16"/>
      <w:pgSz w:w="12240" w:h="15840"/>
      <w:pgMar w:top="2016" w:right="1440" w:bottom="2016" w:left="1440" w:header="432"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3437E" w14:textId="77777777" w:rsidR="005B6627" w:rsidRDefault="005B6627">
      <w:pPr>
        <w:spacing w:after="0" w:line="240" w:lineRule="auto"/>
      </w:pPr>
      <w:r>
        <w:separator/>
      </w:r>
    </w:p>
  </w:endnote>
  <w:endnote w:type="continuationSeparator" w:id="0">
    <w:p w14:paraId="672C1057" w14:textId="77777777" w:rsidR="005B6627" w:rsidRDefault="005B6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71E7" w14:textId="1346179F" w:rsidR="00020658" w:rsidRDefault="00C53DE9" w:rsidP="00020658">
    <w:pPr>
      <w:spacing w:line="184" w:lineRule="exact"/>
      <w:ind w:left="31" w:right="31"/>
      <w:jc w:val="center"/>
      <w:rPr>
        <w:sz w:val="16"/>
      </w:rPr>
    </w:pPr>
    <w:r w:rsidRPr="00FD35F4">
      <w:rPr>
        <w:rFonts w:ascii="Poppins" w:hAnsi="Poppins" w:cs="Poppins"/>
        <w:noProof/>
      </w:rPr>
      <w:drawing>
        <wp:anchor distT="0" distB="0" distL="114300" distR="114300" simplePos="0" relativeHeight="251661312" behindDoc="0" locked="0" layoutInCell="1" allowOverlap="1" wp14:anchorId="0304EBFB" wp14:editId="52DE1A30">
          <wp:simplePos x="0" y="0"/>
          <wp:positionH relativeFrom="margin">
            <wp:align>center</wp:align>
          </wp:positionH>
          <wp:positionV relativeFrom="paragraph">
            <wp:posOffset>-524510</wp:posOffset>
          </wp:positionV>
          <wp:extent cx="1152525" cy="307340"/>
          <wp:effectExtent l="0" t="0" r="9525" b="0"/>
          <wp:wrapNone/>
          <wp:docPr id="1081931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149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2525" cy="307340"/>
                  </a:xfrm>
                  <a:prstGeom prst="rect">
                    <a:avLst/>
                  </a:prstGeom>
                </pic:spPr>
              </pic:pic>
            </a:graphicData>
          </a:graphic>
        </wp:anchor>
      </w:drawing>
    </w:r>
    <w:r w:rsidR="00020658" w:rsidRPr="0032102E">
      <w:rPr>
        <w:sz w:val="16"/>
      </w:rPr>
      <w:t xml:space="preserve">Harmovest Capital (Cyprus) Ltd (former: GVD Korimcy Ltd) </w:t>
    </w:r>
    <w:r w:rsidR="00020658">
      <w:rPr>
        <w:sz w:val="16"/>
      </w:rPr>
      <w:t>is</w:t>
    </w:r>
    <w:r w:rsidR="00020658">
      <w:rPr>
        <w:spacing w:val="-4"/>
        <w:sz w:val="16"/>
      </w:rPr>
      <w:t xml:space="preserve"> </w:t>
    </w:r>
    <w:r w:rsidR="00020658">
      <w:rPr>
        <w:sz w:val="16"/>
      </w:rPr>
      <w:t>a</w:t>
    </w:r>
    <w:r w:rsidR="00020658">
      <w:rPr>
        <w:spacing w:val="-4"/>
        <w:sz w:val="16"/>
      </w:rPr>
      <w:t xml:space="preserve"> </w:t>
    </w:r>
    <w:r w:rsidR="00020658">
      <w:rPr>
        <w:sz w:val="16"/>
      </w:rPr>
      <w:t>Cyprus</w:t>
    </w:r>
    <w:r w:rsidR="00020658">
      <w:rPr>
        <w:spacing w:val="-4"/>
        <w:sz w:val="16"/>
      </w:rPr>
      <w:t xml:space="preserve"> </w:t>
    </w:r>
    <w:r w:rsidR="00020658">
      <w:rPr>
        <w:sz w:val="16"/>
      </w:rPr>
      <w:t>Investment</w:t>
    </w:r>
    <w:r w:rsidR="00020658">
      <w:rPr>
        <w:spacing w:val="-5"/>
        <w:sz w:val="16"/>
      </w:rPr>
      <w:t xml:space="preserve"> </w:t>
    </w:r>
    <w:r w:rsidR="00020658">
      <w:rPr>
        <w:sz w:val="16"/>
      </w:rPr>
      <w:t>Firm</w:t>
    </w:r>
    <w:r w:rsidR="00020658">
      <w:rPr>
        <w:spacing w:val="-3"/>
        <w:sz w:val="16"/>
      </w:rPr>
      <w:t xml:space="preserve"> </w:t>
    </w:r>
    <w:r w:rsidR="00020658">
      <w:rPr>
        <w:sz w:val="16"/>
      </w:rPr>
      <w:t>authorized</w:t>
    </w:r>
    <w:r w:rsidR="00020658">
      <w:rPr>
        <w:spacing w:val="-4"/>
        <w:sz w:val="16"/>
      </w:rPr>
      <w:t xml:space="preserve"> </w:t>
    </w:r>
    <w:r w:rsidR="00020658">
      <w:rPr>
        <w:sz w:val="16"/>
      </w:rPr>
      <w:t>and</w:t>
    </w:r>
    <w:r w:rsidR="00020658">
      <w:rPr>
        <w:spacing w:val="-4"/>
        <w:sz w:val="16"/>
      </w:rPr>
      <w:t xml:space="preserve"> </w:t>
    </w:r>
    <w:r w:rsidR="00020658">
      <w:rPr>
        <w:sz w:val="16"/>
      </w:rPr>
      <w:t>regulated</w:t>
    </w:r>
    <w:r w:rsidR="00020658">
      <w:rPr>
        <w:spacing w:val="-3"/>
        <w:sz w:val="16"/>
      </w:rPr>
      <w:t xml:space="preserve"> </w:t>
    </w:r>
    <w:r w:rsidR="00020658">
      <w:rPr>
        <w:sz w:val="16"/>
      </w:rPr>
      <w:t>by</w:t>
    </w:r>
    <w:r w:rsidR="00020658">
      <w:rPr>
        <w:spacing w:val="-5"/>
        <w:sz w:val="16"/>
      </w:rPr>
      <w:t xml:space="preserve"> </w:t>
    </w:r>
    <w:r w:rsidR="00020658">
      <w:rPr>
        <w:sz w:val="16"/>
      </w:rPr>
      <w:t>the</w:t>
    </w:r>
    <w:r w:rsidR="00020658">
      <w:rPr>
        <w:spacing w:val="-4"/>
        <w:sz w:val="16"/>
      </w:rPr>
      <w:t xml:space="preserve"> </w:t>
    </w:r>
    <w:r w:rsidR="00020658">
      <w:rPr>
        <w:spacing w:val="-2"/>
        <w:sz w:val="16"/>
      </w:rPr>
      <w:t>Cyprus</w:t>
    </w:r>
    <w:r w:rsidR="00020658">
      <w:rPr>
        <w:sz w:val="16"/>
      </w:rPr>
      <w:t xml:space="preserve"> Securities</w:t>
    </w:r>
    <w:r w:rsidR="00020658">
      <w:rPr>
        <w:spacing w:val="-3"/>
        <w:sz w:val="16"/>
      </w:rPr>
      <w:t xml:space="preserve"> </w:t>
    </w:r>
    <w:r w:rsidR="00020658">
      <w:rPr>
        <w:sz w:val="16"/>
      </w:rPr>
      <w:t>and</w:t>
    </w:r>
    <w:r w:rsidR="00020658">
      <w:rPr>
        <w:spacing w:val="-5"/>
        <w:sz w:val="16"/>
      </w:rPr>
      <w:t xml:space="preserve"> </w:t>
    </w:r>
    <w:r w:rsidR="00020658">
      <w:rPr>
        <w:sz w:val="16"/>
      </w:rPr>
      <w:t>Exchange</w:t>
    </w:r>
    <w:r w:rsidR="00020658">
      <w:rPr>
        <w:spacing w:val="-5"/>
        <w:sz w:val="16"/>
      </w:rPr>
      <w:t xml:space="preserve"> </w:t>
    </w:r>
    <w:r w:rsidR="00020658">
      <w:rPr>
        <w:sz w:val="16"/>
      </w:rPr>
      <w:t>Commission</w:t>
    </w:r>
    <w:r w:rsidR="00020658">
      <w:rPr>
        <w:spacing w:val="-5"/>
        <w:sz w:val="16"/>
      </w:rPr>
      <w:t xml:space="preserve"> </w:t>
    </w:r>
    <w:r w:rsidR="00020658">
      <w:rPr>
        <w:sz w:val="16"/>
      </w:rPr>
      <w:t>(CySEC)</w:t>
    </w:r>
    <w:r w:rsidR="00020658">
      <w:rPr>
        <w:spacing w:val="-6"/>
        <w:sz w:val="16"/>
      </w:rPr>
      <w:t xml:space="preserve"> </w:t>
    </w:r>
    <w:r w:rsidR="00020658">
      <w:rPr>
        <w:sz w:val="16"/>
      </w:rPr>
      <w:t>under</w:t>
    </w:r>
    <w:r w:rsidR="00020658">
      <w:rPr>
        <w:spacing w:val="-6"/>
        <w:sz w:val="16"/>
      </w:rPr>
      <w:t xml:space="preserve"> </w:t>
    </w:r>
    <w:r w:rsidR="00020658">
      <w:rPr>
        <w:sz w:val="16"/>
      </w:rPr>
      <w:t>license</w:t>
    </w:r>
    <w:r w:rsidR="00020658">
      <w:rPr>
        <w:spacing w:val="-5"/>
        <w:sz w:val="16"/>
      </w:rPr>
      <w:t xml:space="preserve"> </w:t>
    </w:r>
    <w:r w:rsidR="00020658">
      <w:rPr>
        <w:sz w:val="16"/>
      </w:rPr>
      <w:t>number</w:t>
    </w:r>
    <w:r w:rsidR="00020658">
      <w:rPr>
        <w:spacing w:val="-6"/>
        <w:sz w:val="16"/>
      </w:rPr>
      <w:t xml:space="preserve"> </w:t>
    </w:r>
    <w:r w:rsidR="00020658">
      <w:rPr>
        <w:sz w:val="16"/>
      </w:rPr>
      <w:t>411/22</w:t>
    </w:r>
    <w:r w:rsidR="00020658">
      <w:rPr>
        <w:spacing w:val="40"/>
        <w:sz w:val="16"/>
      </w:rPr>
      <w:t xml:space="preserve"> </w:t>
    </w:r>
  </w:p>
  <w:p w14:paraId="39FFE0CA" w14:textId="3F558F06" w:rsidR="0048064C" w:rsidRDefault="0048064C" w:rsidP="00020658">
    <w:pPr>
      <w:pBdr>
        <w:top w:val="nil"/>
        <w:left w:val="nil"/>
        <w:bottom w:val="nil"/>
        <w:right w:val="nil"/>
        <w:between w:val="nil"/>
      </w:pBdr>
      <w:spacing w:after="0" w:line="240" w:lineRule="auto"/>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7328D" w14:textId="77777777" w:rsidR="005B6627" w:rsidRDefault="005B6627">
      <w:pPr>
        <w:spacing w:after="0" w:line="240" w:lineRule="auto"/>
      </w:pPr>
      <w:r>
        <w:separator/>
      </w:r>
    </w:p>
  </w:footnote>
  <w:footnote w:type="continuationSeparator" w:id="0">
    <w:p w14:paraId="69B58963" w14:textId="77777777" w:rsidR="005B6627" w:rsidRDefault="005B6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E0C7" w14:textId="4BCB252C" w:rsidR="0048064C" w:rsidRDefault="00C53DE9">
    <w:pPr>
      <w:pBdr>
        <w:top w:val="nil"/>
        <w:left w:val="nil"/>
        <w:bottom w:val="nil"/>
        <w:right w:val="nil"/>
        <w:between w:val="nil"/>
      </w:pBdr>
      <w:tabs>
        <w:tab w:val="center" w:pos="4680"/>
        <w:tab w:val="right" w:pos="9360"/>
      </w:tabs>
      <w:spacing w:after="0" w:line="240" w:lineRule="auto"/>
      <w:jc w:val="right"/>
      <w:rPr>
        <w:color w:val="000000"/>
      </w:rPr>
    </w:pPr>
    <w:r>
      <w:rPr>
        <w:noProof/>
      </w:rPr>
      <w:drawing>
        <wp:anchor distT="0" distB="0" distL="114300" distR="114300" simplePos="0" relativeHeight="251659264" behindDoc="0" locked="0" layoutInCell="1" allowOverlap="1" wp14:anchorId="4B5DF781" wp14:editId="281CDD2D">
          <wp:simplePos x="0" y="0"/>
          <wp:positionH relativeFrom="page">
            <wp:align>left</wp:align>
          </wp:positionH>
          <wp:positionV relativeFrom="paragraph">
            <wp:posOffset>-276225</wp:posOffset>
          </wp:positionV>
          <wp:extent cx="7791450" cy="951130"/>
          <wp:effectExtent l="0" t="0" r="0" b="1905"/>
          <wp:wrapNone/>
          <wp:docPr id="208640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91450" cy="95113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4C"/>
    <w:rsid w:val="00020658"/>
    <w:rsid w:val="0048064C"/>
    <w:rsid w:val="0054183C"/>
    <w:rsid w:val="005B6627"/>
    <w:rsid w:val="00796AD7"/>
    <w:rsid w:val="009A2688"/>
    <w:rsid w:val="00A36713"/>
    <w:rsid w:val="00BD5EA2"/>
    <w:rsid w:val="00C53DE9"/>
    <w:rsid w:val="00FD0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E032"/>
  <w15:docId w15:val="{0D67E036-3A8F-4861-BD41-7B46855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020658"/>
    <w:rPr>
      <w:color w:val="605E5C"/>
      <w:shd w:val="clear" w:color="auto" w:fill="E1DFDD"/>
    </w:rPr>
  </w:style>
  <w:style w:type="table" w:styleId="PlainTable1">
    <w:name w:val="Plain Table 1"/>
    <w:basedOn w:val="TableNormal"/>
    <w:uiPriority w:val="41"/>
    <w:rsid w:val="00C53D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53D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C53D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F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B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B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B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B478" w:themeFill="accent1"/>
      </w:tcPr>
    </w:tblStylePr>
    <w:tblStylePr w:type="band1Vert">
      <w:tblPr/>
      <w:tcPr>
        <w:shd w:val="clear" w:color="auto" w:fill="EAE0C8" w:themeFill="accent1" w:themeFillTint="66"/>
      </w:tcPr>
    </w:tblStylePr>
    <w:tblStylePr w:type="band1Horz">
      <w:tblPr/>
      <w:tcPr>
        <w:shd w:val="clear" w:color="auto" w:fill="EAE0C8" w:themeFill="accent1" w:themeFillTint="66"/>
      </w:tcPr>
    </w:tblStylePr>
  </w:style>
  <w:style w:type="table" w:styleId="ListTable6Colorful-Accent3">
    <w:name w:val="List Table 6 Colorful Accent 3"/>
    <w:basedOn w:val="TableNormal"/>
    <w:uiPriority w:val="51"/>
    <w:rsid w:val="00C53DE9"/>
    <w:pPr>
      <w:spacing w:after="0" w:line="240" w:lineRule="auto"/>
    </w:pPr>
    <w:rPr>
      <w:color w:val="B09042" w:themeColor="accent3" w:themeShade="BF"/>
    </w:rPr>
    <w:tblPr>
      <w:tblStyleRowBandSize w:val="1"/>
      <w:tblStyleColBandSize w:val="1"/>
      <w:tblBorders>
        <w:top w:val="single" w:sz="4" w:space="0" w:color="CCB478" w:themeColor="accent3"/>
        <w:bottom w:val="single" w:sz="4" w:space="0" w:color="CCB478" w:themeColor="accent3"/>
      </w:tblBorders>
    </w:tblPr>
    <w:tblStylePr w:type="firstRow">
      <w:rPr>
        <w:b/>
        <w:bCs/>
      </w:rPr>
      <w:tblPr/>
      <w:tcPr>
        <w:tcBorders>
          <w:bottom w:val="single" w:sz="4" w:space="0" w:color="CCB478" w:themeColor="accent3"/>
        </w:tcBorders>
      </w:tcPr>
    </w:tblStylePr>
    <w:tblStylePr w:type="lastRow">
      <w:rPr>
        <w:b/>
        <w:bCs/>
      </w:rPr>
      <w:tblPr/>
      <w:tcPr>
        <w:tcBorders>
          <w:top w:val="double" w:sz="4" w:space="0" w:color="CCB478" w:themeColor="accent3"/>
        </w:tcBorders>
      </w:tcPr>
    </w:tblStylePr>
    <w:tblStylePr w:type="firstCol">
      <w:rPr>
        <w:b/>
        <w:bCs/>
      </w:rPr>
    </w:tblStylePr>
    <w:tblStylePr w:type="lastCol">
      <w:rPr>
        <w:b/>
        <w:bCs/>
      </w:rPr>
    </w:tblStylePr>
    <w:tblStylePr w:type="band1Vert">
      <w:tblPr/>
      <w:tcPr>
        <w:shd w:val="clear" w:color="auto" w:fill="F4EFE3" w:themeFill="accent3" w:themeFillTint="33"/>
      </w:tcPr>
    </w:tblStylePr>
    <w:tblStylePr w:type="band1Horz">
      <w:tblPr/>
      <w:tcPr>
        <w:shd w:val="clear" w:color="auto" w:fill="F4EFE3" w:themeFill="accent3" w:themeFillTint="33"/>
      </w:tcPr>
    </w:tblStylePr>
  </w:style>
  <w:style w:type="table" w:styleId="ListTable6Colorful-Accent4">
    <w:name w:val="List Table 6 Colorful Accent 4"/>
    <w:basedOn w:val="TableNormal"/>
    <w:uiPriority w:val="51"/>
    <w:rsid w:val="00C53DE9"/>
    <w:pPr>
      <w:spacing w:after="0" w:line="240" w:lineRule="auto"/>
    </w:pPr>
    <w:rPr>
      <w:color w:val="B09042" w:themeColor="accent4" w:themeShade="BF"/>
    </w:rPr>
    <w:tblPr>
      <w:tblStyleRowBandSize w:val="1"/>
      <w:tblStyleColBandSize w:val="1"/>
      <w:tblBorders>
        <w:top w:val="single" w:sz="4" w:space="0" w:color="CCB478" w:themeColor="accent4"/>
        <w:bottom w:val="single" w:sz="4" w:space="0" w:color="CCB478" w:themeColor="accent4"/>
      </w:tblBorders>
    </w:tblPr>
    <w:tblStylePr w:type="firstRow">
      <w:rPr>
        <w:b/>
        <w:bCs/>
      </w:rPr>
      <w:tblPr/>
      <w:tcPr>
        <w:tcBorders>
          <w:bottom w:val="single" w:sz="4" w:space="0" w:color="CCB478" w:themeColor="accent4"/>
        </w:tcBorders>
      </w:tcPr>
    </w:tblStylePr>
    <w:tblStylePr w:type="lastRow">
      <w:rPr>
        <w:b/>
        <w:bCs/>
      </w:rPr>
      <w:tblPr/>
      <w:tcPr>
        <w:tcBorders>
          <w:top w:val="double" w:sz="4" w:space="0" w:color="CCB478" w:themeColor="accent4"/>
        </w:tcBorders>
      </w:tcPr>
    </w:tblStylePr>
    <w:tblStylePr w:type="firstCol">
      <w:rPr>
        <w:b/>
        <w:bCs/>
      </w:rPr>
    </w:tblStylePr>
    <w:tblStylePr w:type="lastCol">
      <w:rPr>
        <w:b/>
        <w:bCs/>
      </w:rPr>
    </w:tblStylePr>
    <w:tblStylePr w:type="band1Vert">
      <w:tblPr/>
      <w:tcPr>
        <w:shd w:val="clear" w:color="auto" w:fill="F4EFE3" w:themeFill="accent4" w:themeFillTint="33"/>
      </w:tcPr>
    </w:tblStylePr>
    <w:tblStylePr w:type="band1Horz">
      <w:tblPr/>
      <w:tcPr>
        <w:shd w:val="clear" w:color="auto" w:fill="F4EFE3"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hmvest.eu"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CEDBE6"/>
      </a:lt2>
      <a:accent1>
        <a:srgbClr val="CCB478"/>
      </a:accent1>
      <a:accent2>
        <a:srgbClr val="CCB478"/>
      </a:accent2>
      <a:accent3>
        <a:srgbClr val="CCB478"/>
      </a:accent3>
      <a:accent4>
        <a:srgbClr val="CCB478"/>
      </a:accent4>
      <a:accent5>
        <a:srgbClr val="CCB478"/>
      </a:accent5>
      <a:accent6>
        <a:srgbClr val="CCB478"/>
      </a:accent6>
      <a:hlink>
        <a:srgbClr val="50771B"/>
      </a:hlink>
      <a:folHlink>
        <a:srgbClr val="CCB47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ZpiwdknsPvtz6eSsJu7X3q/pA==">CgMxLjAyCGguZ2pkZ3hzOAByITF4ZW9Ydm1QeWszWHhEczN1OVhad0NpU3VOd1E0U2xPSA==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6C003B-76AC-4713-88D4-134177B6C1C4}">
  <ds:schemaRefs>
    <ds:schemaRef ds:uri="http://schemas.microsoft.com/sharepoint/v3/contenttype/forms"/>
  </ds:schemaRefs>
</ds:datastoreItem>
</file>

<file path=customXml/itemProps3.xml><?xml version="1.0" encoding="utf-8"?>
<ds:datastoreItem xmlns:ds="http://schemas.openxmlformats.org/officeDocument/2006/customXml" ds:itemID="{852B71AA-ED31-4120-B037-B29E5297B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c95d3-5332-43d7-8b75-ddaf6f54b710"/>
    <ds:schemaRef ds:uri="a104c4c2-d6e5-4f26-a7e2-db21f40d6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D58932-6014-4EA3-8DDC-5AADC409CEEB}">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FIVECOMPLY</dc:creator>
  <cp:lastModifiedBy>Rawan</cp:lastModifiedBy>
  <cp:revision>6</cp:revision>
  <dcterms:created xsi:type="dcterms:W3CDTF">2021-08-23T08:43:00Z</dcterms:created>
  <dcterms:modified xsi:type="dcterms:W3CDTF">2025-11-24T12:40:00Z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FCF1C6903B3046A5B60DBFDBE7A1C5AF</vt:lpwstr>
  </property>
  <property fmtid="{D5CDD505-2E9C-101B-9397-08002B2CF9AE}" pid="4" name="ContentTypeId">
    <vt:lpwstr>0x010100FA0CFE0FCB7C4D4D8064000D263D108F</vt:lpwstr>
  </property>
  <property fmtid="{D5CDD505-2E9C-101B-9397-08002B2CF9AE}" pid="5" name="MediaServiceImageTags">
    <vt:lpwstr/>
  </property>
</Properties>
</file>