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FFCA" w14:textId="77777777" w:rsidR="005F0F9C" w:rsidRDefault="005F0F9C"/>
    <w:p w14:paraId="5216FFCB" w14:textId="77777777" w:rsidR="005F0F9C" w:rsidRDefault="009748E1">
      <w:pPr>
        <w:jc w:val="both"/>
      </w:pPr>
      <w:r>
        <w:rPr>
          <w:b/>
          <w:u w:val="single"/>
        </w:rPr>
        <w:t>Έγγραφο βασικών πληροφοριών – CFD σε ζεύγος FX</w:t>
      </w:r>
    </w:p>
    <w:p w14:paraId="5216FFCC" w14:textId="77777777" w:rsidR="005F0F9C" w:rsidRDefault="009748E1">
      <w:pPr>
        <w:jc w:val="both"/>
        <w:rPr>
          <w:sz w:val="20"/>
          <w:szCs w:val="20"/>
        </w:rPr>
      </w:pPr>
      <w:r>
        <w:rPr>
          <w:sz w:val="20"/>
          <w:szCs w:val="20"/>
        </w:rPr>
        <w:t>Αυτό το έγγραφο σας παρέχει βασικές πληροφορίες σχετικά με αυτό το επενδυτικό προϊόν. Δεν είναι υλικό μάρκετινγκ. Οι πληροφορίες απαιτούνται από τη νομοθεσία για να σας βοηθήσουν να κατανοήσετε τη φύση, τους κινδύνους, το κόστος, τα πιθανά κέρδη και ζημίες αυτού του προϊόντος και να σας βοηθήσουν να το συγκρίνετε με άλλα προϊόντα.</w:t>
      </w:r>
    </w:p>
    <w:p w14:paraId="2D5C6ACC" w14:textId="77777777" w:rsidR="00057F5F" w:rsidRPr="00057F5F" w:rsidRDefault="00057F5F" w:rsidP="00057F5F">
      <w:pPr>
        <w:rPr>
          <w:lang w:val="en-US"/>
        </w:rPr>
      </w:pPr>
      <w:r>
        <w:rPr>
          <w:b/>
        </w:rPr>
        <w:t>Κατασκευαστής</w:t>
      </w:r>
      <w:r w:rsidRPr="00057F5F">
        <w:rPr>
          <w:b/>
          <w:lang w:val="en-US"/>
        </w:rPr>
        <w:t>:</w:t>
      </w:r>
      <w:r w:rsidRPr="00057F5F">
        <w:rPr>
          <w:b/>
          <w:lang w:val="en-US"/>
        </w:rPr>
        <w:tab/>
      </w:r>
      <w:r w:rsidRPr="00057F5F">
        <w:rPr>
          <w:b/>
          <w:lang w:val="en-US"/>
        </w:rPr>
        <w:tab/>
      </w:r>
      <w:r w:rsidRPr="00057F5F">
        <w:rPr>
          <w:lang w:val="en-US"/>
        </w:rPr>
        <w:t>HARMOVEST CAPITAL (CYPRUS) LTD</w:t>
      </w:r>
    </w:p>
    <w:p w14:paraId="4D79CE08" w14:textId="77777777" w:rsidR="00057F5F" w:rsidRPr="00057F5F" w:rsidRDefault="00057F5F" w:rsidP="00057F5F">
      <w:pPr>
        <w:ind w:left="2880"/>
        <w:rPr>
          <w:lang w:val="en-US"/>
        </w:rPr>
      </w:pPr>
      <w:r>
        <w:t>Άδεια</w:t>
      </w:r>
      <w:r w:rsidRPr="00057F5F">
        <w:rPr>
          <w:lang w:val="en-US"/>
        </w:rPr>
        <w:t xml:space="preserve"> </w:t>
      </w:r>
      <w:r>
        <w:t>αρ</w:t>
      </w:r>
      <w:r w:rsidRPr="00057F5F">
        <w:rPr>
          <w:lang w:val="en-US"/>
        </w:rPr>
        <w:t>. 411/22</w:t>
      </w:r>
    </w:p>
    <w:p w14:paraId="54E1E30B" w14:textId="77777777" w:rsidR="00057F5F" w:rsidRPr="00602CCE" w:rsidRDefault="00057F5F" w:rsidP="00057F5F">
      <w:pPr>
        <w:spacing w:after="240"/>
        <w:ind w:left="2160" w:firstLine="720"/>
      </w:pPr>
      <w:r w:rsidRPr="00602CCE">
        <w:t xml:space="preserve">61 </w:t>
      </w:r>
      <w:r>
        <w:t>Γρίβα</w:t>
      </w:r>
      <w:r w:rsidRPr="00602CCE">
        <w:t xml:space="preserve"> </w:t>
      </w:r>
      <w:r>
        <w:t>Διγενή,</w:t>
      </w:r>
      <w:r w:rsidRPr="00602CCE">
        <w:t xml:space="preserve"> </w:t>
      </w:r>
      <w:r w:rsidRPr="00602CCE">
        <w:rPr>
          <w:lang w:val="en-US"/>
        </w:rPr>
        <w:t>A</w:t>
      </w:r>
      <w:r w:rsidRPr="00602CCE">
        <w:t>&amp;</w:t>
      </w:r>
      <w:r w:rsidRPr="00602CCE">
        <w:rPr>
          <w:lang w:val="en-US"/>
        </w:rPr>
        <w:t>V</w:t>
      </w:r>
      <w:r w:rsidRPr="00602CCE">
        <w:t xml:space="preserve"> </w:t>
      </w:r>
      <w:r w:rsidRPr="00602CCE">
        <w:rPr>
          <w:lang w:val="en-US"/>
        </w:rPr>
        <w:t>COURT</w:t>
      </w:r>
      <w:r w:rsidRPr="00602CCE">
        <w:t xml:space="preserve"> </w:t>
      </w:r>
      <w:r w:rsidRPr="00602CCE">
        <w:rPr>
          <w:lang w:val="en-US"/>
        </w:rPr>
        <w:t>Flat</w:t>
      </w:r>
      <w:r w:rsidRPr="00602CCE">
        <w:t xml:space="preserve"> 401 </w:t>
      </w:r>
      <w:r>
        <w:t>Άγιος Νικόλας</w:t>
      </w:r>
      <w:r w:rsidRPr="00602CCE">
        <w:t xml:space="preserve">, 3101, </w:t>
      </w:r>
      <w:r>
        <w:t>Λεμεσός</w:t>
      </w:r>
      <w:r w:rsidRPr="00602CCE">
        <w:t xml:space="preserve">, </w:t>
      </w:r>
      <w:r>
        <w:t>Κύπρος</w:t>
      </w:r>
    </w:p>
    <w:p w14:paraId="78D00A8A" w14:textId="77777777" w:rsidR="00057F5F" w:rsidRDefault="00057F5F" w:rsidP="00057F5F">
      <w:r>
        <w:rPr>
          <w:b/>
        </w:rPr>
        <w:t>Εποπτευόμενη Αρχή:</w:t>
      </w:r>
      <w:r>
        <w:t xml:space="preserve"> </w:t>
      </w:r>
      <w:r>
        <w:tab/>
      </w:r>
      <w:r>
        <w:tab/>
        <w:t>Επιτροπή Κεφαλαιαγοράς Κύπρου</w:t>
      </w:r>
    </w:p>
    <w:p w14:paraId="60313F66" w14:textId="77777777" w:rsidR="00057F5F" w:rsidRDefault="00057F5F" w:rsidP="00057F5F">
      <w:pPr>
        <w:ind w:left="2880"/>
      </w:pPr>
      <w:r>
        <w:t>Διαγόρου 19, 1097, Λευκωσία</w:t>
      </w:r>
    </w:p>
    <w:p w14:paraId="5216FFD2" w14:textId="77777777" w:rsidR="005F0F9C" w:rsidRDefault="009748E1">
      <w:pPr>
        <w:ind w:left="180" w:hanging="180"/>
        <w:rPr>
          <w:b/>
          <w:u w:val="single"/>
        </w:rPr>
      </w:pPr>
      <w:r>
        <w:rPr>
          <w:b/>
          <w:u w:val="single"/>
        </w:rPr>
        <w:t xml:space="preserve"> </w:t>
      </w:r>
      <w:r>
        <w:rPr>
          <w:b/>
          <w:noProof/>
          <w:u w:val="single"/>
        </w:rPr>
        <w:drawing>
          <wp:inline distT="0" distB="0" distL="0" distR="0" wp14:anchorId="52170057" wp14:editId="52170058">
            <wp:extent cx="209550" cy="209550"/>
            <wp:effectExtent l="0" t="0" r="0" b="0"/>
            <wp:docPr id="1073741829" name="image1.jpg" descr="C:\Users\user\Downloads\download.jpg"/>
            <wp:cNvGraphicFramePr/>
            <a:graphic xmlns:a="http://schemas.openxmlformats.org/drawingml/2006/main">
              <a:graphicData uri="http://schemas.openxmlformats.org/drawingml/2006/picture">
                <pic:pic xmlns:pic="http://schemas.openxmlformats.org/drawingml/2006/picture">
                  <pic:nvPicPr>
                    <pic:cNvPr id="0" name="image1.jpg" descr="C:\Users\user\Downloads\download.jpg"/>
                    <pic:cNvPicPr preferRelativeResize="0"/>
                  </pic:nvPicPr>
                  <pic:blipFill>
                    <a:blip r:embed="rId10"/>
                    <a:srcRect/>
                    <a:stretch>
                      <a:fillRect/>
                    </a:stretch>
                  </pic:blipFill>
                  <pic:spPr>
                    <a:xfrm>
                      <a:off x="0" y="0"/>
                      <a:ext cx="209550" cy="209550"/>
                    </a:xfrm>
                    <a:prstGeom prst="rect">
                      <a:avLst/>
                    </a:prstGeom>
                    <a:ln/>
                  </pic:spPr>
                </pic:pic>
              </a:graphicData>
            </a:graphic>
          </wp:inline>
        </w:drawing>
      </w:r>
      <w:r>
        <w:rPr>
          <w:b/>
          <w:u w:val="single"/>
        </w:rPr>
        <w:t>Πρόκειται να αγοράσετε ένα σύνθετο προϊόν που είναι δύσκολο να κατανοηθεί και ενέχει υψηλό κίνδυνο απώλειας ολόκληρου του επενδυμένου κεφαλαίου σας</w:t>
      </w:r>
    </w:p>
    <w:p w14:paraId="5216FFD3" w14:textId="77777777" w:rsidR="005F0F9C" w:rsidRDefault="009748E1">
      <w:pPr>
        <w:pBdr>
          <w:top w:val="nil"/>
          <w:left w:val="nil"/>
          <w:bottom w:val="nil"/>
          <w:right w:val="nil"/>
          <w:between w:val="nil"/>
        </w:pBdr>
        <w:shd w:val="clear" w:color="auto" w:fill="BFBFBF"/>
        <w:spacing w:after="0"/>
        <w:ind w:left="720" w:hanging="720"/>
        <w:jc w:val="both"/>
        <w:rPr>
          <w:b/>
          <w:color w:val="000000"/>
          <w:sz w:val="20"/>
          <w:szCs w:val="20"/>
        </w:rPr>
      </w:pPr>
      <w:r>
        <w:rPr>
          <w:b/>
          <w:color w:val="000000"/>
          <w:u w:val="single"/>
        </w:rPr>
        <w:t>Π</w:t>
      </w:r>
      <w:r>
        <w:rPr>
          <w:b/>
          <w:color w:val="000000"/>
          <w:sz w:val="20"/>
          <w:szCs w:val="20"/>
        </w:rPr>
        <w:t>εριγραφή προϊόντος</w:t>
      </w:r>
    </w:p>
    <w:p w14:paraId="5216FFD4" w14:textId="77777777" w:rsidR="005F0F9C" w:rsidRDefault="009748E1">
      <w:pPr>
        <w:spacing w:after="0" w:line="240" w:lineRule="auto"/>
        <w:jc w:val="both"/>
        <w:rPr>
          <w:color w:val="000000"/>
          <w:sz w:val="20"/>
          <w:szCs w:val="20"/>
        </w:rPr>
      </w:pPr>
      <w:r>
        <w:rPr>
          <w:color w:val="000000"/>
          <w:sz w:val="20"/>
          <w:szCs w:val="20"/>
        </w:rPr>
        <w:t xml:space="preserve">Τα συμβόλαια για διαφορές (CFD), είναι σύνθετα χρηματοοικονομικά προϊόντα σύμφωνα με την ισχύουσα νομοθεσία. Διαπραγματεύονται σε «εξωχρηματιστηριακή («OTC») βάση και όχι μέσω ρυθμιζόμενης αγοράς. Τα CFD, τα οποία είναι συμφωνίες για την ανταλλαγή της διαφοράς στην αξία ενός συγκεκριμένου υποκείμενου μέσου μεταξύ της χρονικής στιγμής σύναψης της συμφωνίας και της στιγμής κατά την οποία κλείνει, επιτρέποντας στους επενδυτές να αναπαράγουν την οικονομική επίδραση των συναλλαγών σε συγκεκριμένα νομίσματα ή άλλα κατηγορίες περιουσιακών στοιχείων χωρίς να απαιτείται πραγματική ιδιοκτησία. Ένα ζεύγος συναλλάγματος (δηλαδή EUR/USD) περιλαμβάνει την ταυτόχρονη αγορά και πώληση δύο διαφορετικών νομισμάτων. Το (EUR) του εν λόγω ζεύγους αντιπροσωπεύει το βασικό νόμισμα και το (USD) το νόμισμα της προσφοράς. Κατά τη διαπραγμάτευση CFD δεν υπάρχει φυσική ανταλλαγή περιουσιακών στοιχείων. </w:t>
      </w:r>
      <w:r>
        <w:rPr>
          <w:sz w:val="20"/>
          <w:szCs w:val="20"/>
        </w:rPr>
        <w:t>Ε</w:t>
      </w:r>
      <w:r>
        <w:rPr>
          <w:color w:val="000000"/>
          <w:sz w:val="20"/>
          <w:szCs w:val="20"/>
        </w:rPr>
        <w:t xml:space="preserve">πομένως, </w:t>
      </w:r>
      <w:r>
        <w:rPr>
          <w:sz w:val="20"/>
          <w:szCs w:val="20"/>
        </w:rPr>
        <w:t xml:space="preserve">ο </w:t>
      </w:r>
      <w:r>
        <w:rPr>
          <w:color w:val="000000"/>
          <w:sz w:val="20"/>
          <w:szCs w:val="20"/>
        </w:rPr>
        <w:t>χρηματοοικονομικός διακανονισμός προκύπτει από τη διαφορά τη στιγμή που κλείνει η θέση και την τιμή του υποκείμενου περιουσιακού στοιχείου (που διαμορφώνεται από τον Αντισυμβαλλόμενο) τη στιγμή που ανοίγει η θέση. Τα πιο κοινά υποκείμενα περιουσιακά στοιχεία περιλαμβάνουν μετοχές, εμπορεύματα, νομίσματα και δείκτες της αγοράς.</w:t>
      </w:r>
    </w:p>
    <w:p w14:paraId="5216FFD5" w14:textId="77777777" w:rsidR="005F0F9C" w:rsidRDefault="009748E1">
      <w:pPr>
        <w:spacing w:after="0"/>
        <w:jc w:val="both"/>
        <w:rPr>
          <w:sz w:val="20"/>
          <w:szCs w:val="20"/>
        </w:rPr>
      </w:pPr>
      <w:r>
        <w:rPr>
          <w:sz w:val="20"/>
          <w:szCs w:val="20"/>
        </w:rPr>
        <w:t>Το ποσό οποιουδήποτε κέρδους ή ζημίας σε μια συναλλαγή CFD θα καθοριστεί από:</w:t>
      </w:r>
    </w:p>
    <w:p w14:paraId="5216FFD6" w14:textId="77777777" w:rsidR="005F0F9C" w:rsidRDefault="009748E1">
      <w:pPr>
        <w:spacing w:after="0"/>
        <w:jc w:val="both"/>
        <w:rPr>
          <w:sz w:val="20"/>
          <w:szCs w:val="20"/>
        </w:rPr>
      </w:pPr>
      <w:r>
        <w:rPr>
          <w:sz w:val="20"/>
          <w:szCs w:val="20"/>
        </w:rPr>
        <w:t>(α) Τη διαφορά μεταξύ της τιμής έναρξης της συναλλαγής και της τιμής κατά το κλείσιμο της συναλλαγής.</w:t>
      </w:r>
    </w:p>
    <w:p w14:paraId="5216FFD7" w14:textId="77777777" w:rsidR="005F0F9C" w:rsidRDefault="009748E1">
      <w:pPr>
        <w:spacing w:after="0"/>
        <w:jc w:val="both"/>
        <w:rPr>
          <w:sz w:val="20"/>
          <w:szCs w:val="20"/>
        </w:rPr>
      </w:pPr>
      <w:r>
        <w:rPr>
          <w:sz w:val="20"/>
          <w:szCs w:val="20"/>
        </w:rPr>
        <w:t>(β) Τις μονάδες που διαπραγματεύονται.</w:t>
      </w:r>
    </w:p>
    <w:p w14:paraId="5216FFD8" w14:textId="77777777" w:rsidR="005F0F9C" w:rsidRDefault="009748E1">
      <w:pPr>
        <w:spacing w:after="0"/>
        <w:ind w:left="360" w:hanging="360"/>
        <w:jc w:val="both"/>
        <w:rPr>
          <w:sz w:val="20"/>
          <w:szCs w:val="20"/>
        </w:rPr>
      </w:pPr>
      <w:r>
        <w:rPr>
          <w:sz w:val="20"/>
          <w:szCs w:val="20"/>
        </w:rPr>
        <w:t>(γ) Οποιεσδήποτε προσαρμογές σε σχέση με το CFD, για παράδειγμα όταν καταβάλλεται μέρισμα σε μια υποκείμενη μετοχή/δείκτη.</w:t>
      </w:r>
    </w:p>
    <w:p w14:paraId="5216FFD9" w14:textId="77777777" w:rsidR="005F0F9C" w:rsidRDefault="009748E1">
      <w:pPr>
        <w:spacing w:after="0"/>
        <w:jc w:val="both"/>
        <w:rPr>
          <w:sz w:val="20"/>
          <w:szCs w:val="20"/>
        </w:rPr>
      </w:pPr>
      <w:r>
        <w:rPr>
          <w:sz w:val="20"/>
          <w:szCs w:val="20"/>
        </w:rPr>
        <w:t>(δ) Τυχόν έξοδα κτήσης ή προμήθειες που σχετίζονται με το CFD.</w:t>
      </w:r>
    </w:p>
    <w:p w14:paraId="5216FFDA" w14:textId="77777777" w:rsidR="005F0F9C" w:rsidRDefault="009748E1">
      <w:pPr>
        <w:spacing w:after="0"/>
        <w:jc w:val="both"/>
        <w:rPr>
          <w:sz w:val="20"/>
          <w:szCs w:val="20"/>
        </w:rPr>
      </w:pPr>
      <w:r>
        <w:rPr>
          <w:sz w:val="20"/>
          <w:szCs w:val="20"/>
        </w:rPr>
        <w:t>(ε) Η αξία tick ή pip του διαπραγματεύσιμου μέσου.</w:t>
      </w:r>
    </w:p>
    <w:p w14:paraId="5216FFDB" w14:textId="77777777" w:rsidR="005F0F9C" w:rsidRDefault="009748E1">
      <w:pPr>
        <w:spacing w:after="0" w:line="240" w:lineRule="auto"/>
        <w:jc w:val="both"/>
        <w:rPr>
          <w:color w:val="000000"/>
          <w:sz w:val="20"/>
          <w:szCs w:val="20"/>
        </w:rPr>
      </w:pPr>
      <w:r>
        <w:rPr>
          <w:color w:val="000000"/>
          <w:sz w:val="20"/>
          <w:szCs w:val="20"/>
        </w:rPr>
        <w:t xml:space="preserve">Για να ανοίξει μια θέση, ένας επενδυτής θα πρέπει να έχει επαρκή κεφάλαια στον λογαριασμό διαπραγμάτευσης για να καλύψει το απαιτούμενο περιθώριο για τη θέση αυτή. Το περιθώριο που απαιτείται για τα διάφορα CFD μπορεί να βρεθεί στον ιστότοπο ή/και στην πλατφόρμα μας. Όταν μια θέση κλείνει, ο επενδυτής κερδίζει τη </w:t>
      </w:r>
      <w:r>
        <w:rPr>
          <w:color w:val="000000"/>
          <w:sz w:val="20"/>
          <w:szCs w:val="20"/>
        </w:rPr>
        <w:lastRenderedPageBreak/>
        <w:t>διαφορά μεταξύ της αγοραίας αξίας του υποκείμενου περιουσιακού στοιχείου τη στιγμή του κλεισίματος της θέσης, εάν:</w:t>
      </w:r>
    </w:p>
    <w:p w14:paraId="5216FFDC" w14:textId="77777777" w:rsidR="005F0F9C" w:rsidRDefault="009748E1">
      <w:pPr>
        <w:spacing w:after="0" w:line="240" w:lineRule="auto"/>
        <w:jc w:val="both"/>
        <w:rPr>
          <w:color w:val="000000"/>
          <w:sz w:val="20"/>
          <w:szCs w:val="20"/>
        </w:rPr>
      </w:pPr>
      <w:r>
        <w:rPr>
          <w:sz w:val="20"/>
          <w:szCs w:val="20"/>
        </w:rPr>
        <w:t>Κ</w:t>
      </w:r>
      <w:r>
        <w:rPr>
          <w:color w:val="000000"/>
          <w:sz w:val="20"/>
          <w:szCs w:val="20"/>
        </w:rPr>
        <w:t>ατέχετε μια θέση long (αγορά ενός CFD), η τιμή τη στιγμή που κλείνει η θέση είναι υψηλότερη από την τιμή τη στιγμή που άνοιξε η θέση, η οποία μετατρέπεται αυτόματα στο νόμισμα του λογαριασμού συναλλαγών</w:t>
      </w:r>
      <w:r>
        <w:rPr>
          <w:sz w:val="20"/>
          <w:szCs w:val="20"/>
        </w:rPr>
        <w:t xml:space="preserve"> ή</w:t>
      </w:r>
    </w:p>
    <w:p w14:paraId="5216FFDD" w14:textId="77777777" w:rsidR="005F0F9C" w:rsidRDefault="009748E1">
      <w:pPr>
        <w:spacing w:after="0" w:line="240" w:lineRule="auto"/>
        <w:jc w:val="both"/>
        <w:rPr>
          <w:color w:val="000000"/>
          <w:sz w:val="20"/>
          <w:szCs w:val="20"/>
        </w:rPr>
      </w:pPr>
      <w:r>
        <w:rPr>
          <w:sz w:val="20"/>
          <w:szCs w:val="20"/>
        </w:rPr>
        <w:t>Κ</w:t>
      </w:r>
      <w:r>
        <w:rPr>
          <w:color w:val="000000"/>
          <w:sz w:val="20"/>
          <w:szCs w:val="20"/>
        </w:rPr>
        <w:t>ατέχετε μια θέση short (πώληση CFD), η τιμή, τη στιγμή που κλείνει η θέση, είναι χαμηλότερη από την τιμή τη στιγμή που άνοιξε η θέση, η οποία μετατρέπεται αυτόματα στο νόμισμα του λογαριασμού συναλλαγών.</w:t>
      </w:r>
    </w:p>
    <w:p w14:paraId="5216FFDE" w14:textId="77777777" w:rsidR="005F0F9C" w:rsidRDefault="009748E1">
      <w:pPr>
        <w:spacing w:after="0" w:line="240" w:lineRule="auto"/>
        <w:jc w:val="both"/>
        <w:rPr>
          <w:color w:val="000000"/>
          <w:sz w:val="20"/>
          <w:szCs w:val="20"/>
        </w:rPr>
      </w:pPr>
      <w:r>
        <w:rPr>
          <w:color w:val="000000"/>
          <w:sz w:val="20"/>
          <w:szCs w:val="20"/>
        </w:rPr>
        <w:t>Για να κλείσετε ένα ανοιχτό «</w:t>
      </w:r>
      <w:r>
        <w:rPr>
          <w:sz w:val="20"/>
          <w:szCs w:val="20"/>
        </w:rPr>
        <w:t>buy</w:t>
      </w:r>
      <w:r>
        <w:rPr>
          <w:color w:val="000000"/>
          <w:sz w:val="20"/>
          <w:szCs w:val="20"/>
        </w:rPr>
        <w:t>» ή «</w:t>
      </w:r>
      <w:r>
        <w:rPr>
          <w:sz w:val="20"/>
          <w:szCs w:val="20"/>
        </w:rPr>
        <w:t>long</w:t>
      </w:r>
      <w:r>
        <w:rPr>
          <w:color w:val="000000"/>
          <w:sz w:val="20"/>
          <w:szCs w:val="20"/>
        </w:rPr>
        <w:t>» CFD το πουλάτε και για να κλείσετε ένα ανοιχτό «short» ή «</w:t>
      </w:r>
      <w:r>
        <w:rPr>
          <w:sz w:val="20"/>
          <w:szCs w:val="20"/>
        </w:rPr>
        <w:t>sold</w:t>
      </w:r>
      <w:r>
        <w:rPr>
          <w:color w:val="000000"/>
          <w:sz w:val="20"/>
          <w:szCs w:val="20"/>
        </w:rPr>
        <w:t>» CFD το αγοράζετε. Με τα περισσότερα CFD μπορείτε να κρατήσετε τη θέση για όσο χρόνο θέλετε, που μπορεί να είναι για λιγότερο από μία ημέρα ή για μήνες. Το Επίπεδο κλεισίματος θα είναι η τελευταία διαθέσιμη τιμή στο ή πριν από το κλείσιμο ή την ισχύουσα επίσημη τιμή κλεισίματος ή αξία στη σχετική υποκείμενη αγορά, όπως αναφέρεται στην πλατφόρμα</w:t>
      </w:r>
      <w:r>
        <w:rPr>
          <w:sz w:val="20"/>
          <w:szCs w:val="20"/>
        </w:rPr>
        <w:t>,</w:t>
      </w:r>
      <w:r>
        <w:rPr>
          <w:color w:val="000000"/>
          <w:sz w:val="20"/>
          <w:szCs w:val="20"/>
        </w:rPr>
        <w:t xml:space="preserve"> μείον οποιαδήποτε προμήθεια ή διαφορά που εφαρμόζεται στο CFD όταν είναι κλειστό.</w:t>
      </w:r>
    </w:p>
    <w:p w14:paraId="5216FFDF" w14:textId="77777777" w:rsidR="005F0F9C" w:rsidRDefault="009748E1">
      <w:pPr>
        <w:pBdr>
          <w:top w:val="nil"/>
          <w:left w:val="nil"/>
          <w:bottom w:val="nil"/>
          <w:right w:val="nil"/>
          <w:between w:val="nil"/>
        </w:pBdr>
        <w:shd w:val="clear" w:color="auto" w:fill="BFBFBF"/>
        <w:spacing w:after="0"/>
        <w:ind w:left="720" w:hanging="720"/>
        <w:jc w:val="both"/>
        <w:rPr>
          <w:b/>
          <w:color w:val="000000"/>
          <w:sz w:val="20"/>
          <w:szCs w:val="20"/>
        </w:rPr>
      </w:pPr>
      <w:r>
        <w:rPr>
          <w:b/>
          <w:color w:val="000000"/>
          <w:sz w:val="20"/>
          <w:szCs w:val="20"/>
        </w:rPr>
        <w:t>Μόχλευση και Περιθώριο</w:t>
      </w:r>
    </w:p>
    <w:p w14:paraId="5216FFE0" w14:textId="77777777" w:rsidR="005F0F9C" w:rsidRDefault="009748E1">
      <w:pPr>
        <w:pBdr>
          <w:top w:val="nil"/>
          <w:left w:val="nil"/>
          <w:bottom w:val="nil"/>
          <w:right w:val="nil"/>
          <w:between w:val="nil"/>
        </w:pBdr>
        <w:spacing w:after="0"/>
        <w:jc w:val="both"/>
        <w:rPr>
          <w:color w:val="000000"/>
          <w:sz w:val="20"/>
          <w:szCs w:val="20"/>
        </w:rPr>
      </w:pPr>
      <w:r>
        <w:rPr>
          <w:color w:val="000000"/>
          <w:sz w:val="20"/>
          <w:szCs w:val="20"/>
        </w:rPr>
        <w:t>Τα CFD είναι χρηματοοικονομικά μέσα με μόχλευση, τα οποία επιτρέπουν στον επενδυτή να συναλλάσσεται με υψηλότερα ανοίγματα στα υποκείμενα περιουσιακά στοιχεία σε σύγκριση με τα επενδυμένα ποσά. Με τα CFD, πρέπει να τοποθετήσετε μόνο ένα μέρος της αγοραίας αξίας του υποκείμενου μέσου όταν κάνετε μια συναλλαγή. Η μόχλευση συνήθως καθορίζεται ως αναλογία, όπως 1:25, 1:50, 1:100 ή 1:200. Αυτό σημαίνει ότι μπορείτε να κάνετε συναλλαγές με ποσά αναλογικά υψηλότερα από αυτά που θα μπορούσατε να επενδύσετε σε ένα συγκεκριμένο CFD. Το αρχικό περιθώριο είναι το ποσό που απαιτείται από τον επενδυτή για να ανοίξει μια συγκεκριμένη θέση σε CFD και εκφράζεται ως ποσοστό του ονομαστικού ανοίγματος. Όσο χαμηλότερο είναι το ποσοστό τόσο μεγαλύτερη είναι η οικονομική μόχλευση.</w:t>
      </w:r>
    </w:p>
    <w:p w14:paraId="5216FFE1" w14:textId="77777777" w:rsidR="005F0F9C" w:rsidRDefault="009748E1">
      <w:pPr>
        <w:pBdr>
          <w:top w:val="nil"/>
          <w:left w:val="nil"/>
          <w:bottom w:val="nil"/>
          <w:right w:val="nil"/>
          <w:between w:val="nil"/>
        </w:pBdr>
        <w:spacing w:after="0"/>
        <w:jc w:val="both"/>
        <w:rPr>
          <w:b/>
          <w:color w:val="000000"/>
          <w:sz w:val="20"/>
          <w:szCs w:val="20"/>
        </w:rPr>
      </w:pPr>
      <w:r>
        <w:rPr>
          <w:b/>
          <w:color w:val="000000"/>
          <w:sz w:val="20"/>
          <w:szCs w:val="20"/>
        </w:rPr>
        <w:t>Παραδείγματα:</w:t>
      </w:r>
    </w:p>
    <w:p w14:paraId="5216FFE2" w14:textId="77777777" w:rsidR="005F0F9C" w:rsidRDefault="009748E1">
      <w:pPr>
        <w:pBdr>
          <w:top w:val="nil"/>
          <w:left w:val="nil"/>
          <w:bottom w:val="nil"/>
          <w:right w:val="nil"/>
          <w:between w:val="nil"/>
        </w:pBdr>
        <w:spacing w:after="0"/>
        <w:jc w:val="both"/>
        <w:rPr>
          <w:i/>
          <w:color w:val="000000"/>
          <w:sz w:val="20"/>
          <w:szCs w:val="20"/>
          <w:u w:val="single"/>
        </w:rPr>
      </w:pPr>
      <w:r>
        <w:rPr>
          <w:i/>
          <w:color w:val="000000"/>
          <w:sz w:val="20"/>
          <w:szCs w:val="20"/>
        </w:rPr>
        <w:t>Ένας επενδυτής επιθυμεί να αγοράσει 150.000 μονάδες EURUSD στην τιμή 1,16650 με απαίτηση περιθωρίου 3,33% (που ισούται με μόχλευση 1:30) για αυτό το μέσο. Αυτό απαιτεί από τον επενδυτή να τοποθετήσει ένα περιθώριο:</w:t>
      </w:r>
      <w:r>
        <w:rPr>
          <w:i/>
          <w:color w:val="000000"/>
          <w:sz w:val="20"/>
          <w:szCs w:val="20"/>
        </w:rPr>
        <w:br/>
        <w:t>150.000 μονάδες / μόχλευση (30) = 5.000 ευρώ (Βασικό νόμισμα του ζεύγους διαπραγμάτευσης - EURUSD).</w:t>
      </w:r>
    </w:p>
    <w:p w14:paraId="5216FFE3" w14:textId="77777777" w:rsidR="005F0F9C" w:rsidRDefault="009748E1">
      <w:pPr>
        <w:pBdr>
          <w:top w:val="nil"/>
          <w:left w:val="nil"/>
          <w:bottom w:val="nil"/>
          <w:right w:val="nil"/>
          <w:between w:val="nil"/>
        </w:pBdr>
        <w:spacing w:after="0"/>
        <w:jc w:val="both"/>
        <w:rPr>
          <w:i/>
          <w:color w:val="000000"/>
          <w:sz w:val="20"/>
          <w:szCs w:val="20"/>
          <w:u w:val="single"/>
        </w:rPr>
      </w:pPr>
      <w:r>
        <w:rPr>
          <w:i/>
          <w:color w:val="000000"/>
          <w:sz w:val="20"/>
          <w:szCs w:val="20"/>
          <w:u w:val="single"/>
        </w:rPr>
        <w:t>Ή ισοδύναμα:</w:t>
      </w:r>
    </w:p>
    <w:p w14:paraId="5216FFE4" w14:textId="77777777" w:rsidR="005F0F9C" w:rsidRDefault="009748E1">
      <w:pPr>
        <w:pBdr>
          <w:top w:val="nil"/>
          <w:left w:val="nil"/>
          <w:bottom w:val="nil"/>
          <w:right w:val="nil"/>
          <w:between w:val="nil"/>
        </w:pBdr>
        <w:spacing w:after="0"/>
        <w:jc w:val="both"/>
        <w:rPr>
          <w:i/>
          <w:color w:val="000000"/>
          <w:sz w:val="20"/>
          <w:szCs w:val="20"/>
          <w:u w:val="single"/>
        </w:rPr>
      </w:pPr>
      <w:r>
        <w:rPr>
          <w:i/>
          <w:color w:val="000000"/>
          <w:sz w:val="20"/>
          <w:szCs w:val="20"/>
        </w:rPr>
        <w:t>150.000 μονάδες * απαίτηση περιθωρίου (3,33%) = 5.000 ευρώ (Βασικό νόμισμα του διαπραγματευόμενου ζεύγους - EURUSD).</w:t>
      </w:r>
    </w:p>
    <w:p w14:paraId="5216FFE5" w14:textId="77777777" w:rsidR="005F0F9C" w:rsidRDefault="009748E1">
      <w:pPr>
        <w:pBdr>
          <w:top w:val="nil"/>
          <w:left w:val="nil"/>
          <w:bottom w:val="nil"/>
          <w:right w:val="nil"/>
          <w:between w:val="nil"/>
        </w:pBdr>
        <w:spacing w:after="0"/>
        <w:jc w:val="both"/>
        <w:rPr>
          <w:i/>
          <w:color w:val="000000"/>
          <w:sz w:val="20"/>
          <w:szCs w:val="20"/>
        </w:rPr>
      </w:pPr>
      <w:r>
        <w:rPr>
          <w:i/>
          <w:color w:val="000000"/>
          <w:sz w:val="20"/>
          <w:szCs w:val="20"/>
        </w:rPr>
        <w:t>Αυτή η απαίτηση περιθωρίου στη συνέχεια μετατρέπεται σε νόμισμα λογαριασμού.</w:t>
      </w:r>
    </w:p>
    <w:p w14:paraId="5216FFE6" w14:textId="77777777" w:rsidR="005F0F9C" w:rsidRDefault="009748E1">
      <w:pPr>
        <w:pBdr>
          <w:top w:val="nil"/>
          <w:left w:val="nil"/>
          <w:bottom w:val="nil"/>
          <w:right w:val="nil"/>
          <w:between w:val="nil"/>
        </w:pBdr>
        <w:shd w:val="clear" w:color="auto" w:fill="BFBFBF"/>
        <w:spacing w:after="0"/>
        <w:ind w:left="720" w:hanging="720"/>
        <w:jc w:val="both"/>
        <w:rPr>
          <w:b/>
          <w:color w:val="000000"/>
          <w:sz w:val="20"/>
          <w:szCs w:val="20"/>
        </w:rPr>
      </w:pPr>
      <w:r>
        <w:rPr>
          <w:b/>
          <w:color w:val="000000"/>
          <w:sz w:val="20"/>
          <w:szCs w:val="20"/>
        </w:rPr>
        <w:t>Προβλεπόμενος επενδυτής</w:t>
      </w:r>
    </w:p>
    <w:p w14:paraId="5216FFE7" w14:textId="77777777" w:rsidR="005F0F9C" w:rsidRDefault="009748E1">
      <w:pPr>
        <w:pBdr>
          <w:top w:val="nil"/>
          <w:left w:val="nil"/>
          <w:bottom w:val="nil"/>
          <w:right w:val="nil"/>
          <w:between w:val="nil"/>
        </w:pBdr>
        <w:spacing w:after="0"/>
        <w:jc w:val="both"/>
        <w:rPr>
          <w:color w:val="000000"/>
          <w:sz w:val="20"/>
          <w:szCs w:val="20"/>
        </w:rPr>
      </w:pPr>
      <w:r>
        <w:rPr>
          <w:color w:val="000000"/>
          <w:sz w:val="20"/>
          <w:szCs w:val="20"/>
        </w:rPr>
        <w:t>Το εμπόριο αυτού του προϊόντος δεν θα είναι κατάλληλο για όλους. Αυτό το προϊόν θα χρησιμοποιείται συνήθως από άτομα που θέλουν γενικά να αποκτήσουν βραχυπρόθεσμα ανοίγματα σε χρηματοοικονομικά μέσα/αγορές</w:t>
      </w:r>
      <w:r>
        <w:rPr>
          <w:sz w:val="20"/>
          <w:szCs w:val="20"/>
        </w:rPr>
        <w:t>;</w:t>
      </w:r>
      <w:r>
        <w:rPr>
          <w:color w:val="000000"/>
          <w:sz w:val="20"/>
          <w:szCs w:val="20"/>
        </w:rPr>
        <w:t xml:space="preserve"> χρησιμοποιούν (</w:t>
      </w:r>
      <w:r>
        <w:rPr>
          <w:sz w:val="20"/>
          <w:szCs w:val="20"/>
        </w:rPr>
        <w:t>κάνουν συναλλαγές</w:t>
      </w:r>
      <w:r>
        <w:rPr>
          <w:color w:val="000000"/>
          <w:sz w:val="20"/>
          <w:szCs w:val="20"/>
        </w:rPr>
        <w:t>) χρήματα που έχουν την πολυτέλεια να χάσουν</w:t>
      </w:r>
      <w:r>
        <w:rPr>
          <w:sz w:val="20"/>
          <w:szCs w:val="20"/>
        </w:rPr>
        <w:t>;</w:t>
      </w:r>
      <w:r>
        <w:rPr>
          <w:color w:val="000000"/>
          <w:sz w:val="20"/>
          <w:szCs w:val="20"/>
        </w:rPr>
        <w:t xml:space="preserve"> έχουν διαφοροποιημένο χαρτοφυλάκιο επενδύσεων και αποταμιεύσεων</w:t>
      </w:r>
      <w:r>
        <w:rPr>
          <w:sz w:val="20"/>
          <w:szCs w:val="20"/>
        </w:rPr>
        <w:t>;</w:t>
      </w:r>
      <w:r>
        <w:rPr>
          <w:color w:val="000000"/>
          <w:sz w:val="20"/>
          <w:szCs w:val="20"/>
        </w:rPr>
        <w:t xml:space="preserve"> έχουν υψηλή ανοχή κινδύνου</w:t>
      </w:r>
      <w:r>
        <w:rPr>
          <w:sz w:val="20"/>
          <w:szCs w:val="20"/>
        </w:rPr>
        <w:t>;</w:t>
      </w:r>
      <w:r>
        <w:rPr>
          <w:color w:val="000000"/>
          <w:sz w:val="20"/>
          <w:szCs w:val="20"/>
        </w:rPr>
        <w:t xml:space="preserve"> και να κατανοήσουν τον αντίκτυπο και τους κινδύνους που σχετίζονται με τις συναλλαγές περιθωρίων.</w:t>
      </w:r>
    </w:p>
    <w:p w14:paraId="5216FFE8" w14:textId="77777777" w:rsidR="005F0F9C" w:rsidRDefault="005F0F9C">
      <w:pPr>
        <w:pBdr>
          <w:top w:val="nil"/>
          <w:left w:val="nil"/>
          <w:bottom w:val="nil"/>
          <w:right w:val="nil"/>
          <w:between w:val="nil"/>
        </w:pBdr>
        <w:spacing w:after="0"/>
        <w:jc w:val="both"/>
        <w:rPr>
          <w:color w:val="000000"/>
          <w:sz w:val="14"/>
          <w:szCs w:val="14"/>
        </w:rPr>
      </w:pPr>
    </w:p>
    <w:p w14:paraId="5216FFE9" w14:textId="77777777" w:rsidR="005F0F9C" w:rsidRDefault="009748E1">
      <w:pPr>
        <w:pBdr>
          <w:top w:val="nil"/>
          <w:left w:val="nil"/>
          <w:bottom w:val="nil"/>
          <w:right w:val="nil"/>
          <w:between w:val="nil"/>
        </w:pBdr>
        <w:shd w:val="clear" w:color="auto" w:fill="BFBFBF"/>
        <w:ind w:left="720" w:hanging="720"/>
        <w:jc w:val="both"/>
        <w:rPr>
          <w:b/>
          <w:color w:val="000000"/>
          <w:sz w:val="20"/>
          <w:szCs w:val="20"/>
        </w:rPr>
      </w:pPr>
      <w:r>
        <w:rPr>
          <w:b/>
          <w:color w:val="000000"/>
          <w:sz w:val="20"/>
          <w:szCs w:val="20"/>
        </w:rPr>
        <w:t>Ποιοι είναι οι κίνδυνοι και τι θα μπορούσα να πάρω σε αντάλλαγμα;</w:t>
      </w:r>
    </w:p>
    <w:p w14:paraId="5216FFEA" w14:textId="77777777" w:rsidR="005F0F9C" w:rsidRDefault="009748E1">
      <w:pPr>
        <w:jc w:val="both"/>
        <w:rPr>
          <w:b/>
        </w:rPr>
      </w:pPr>
      <w:r>
        <w:rPr>
          <w:b/>
        </w:rPr>
        <w:t>Δείκτης κινδύνου</w:t>
      </w:r>
      <w:r>
        <w:rPr>
          <w:noProof/>
        </w:rPr>
        <w:drawing>
          <wp:anchor distT="0" distB="0" distL="114300" distR="114300" simplePos="0" relativeHeight="251658240" behindDoc="0" locked="0" layoutInCell="1" hidden="0" allowOverlap="1" wp14:anchorId="52170059" wp14:editId="5217005A">
            <wp:simplePos x="0" y="0"/>
            <wp:positionH relativeFrom="column">
              <wp:posOffset>3</wp:posOffset>
            </wp:positionH>
            <wp:positionV relativeFrom="paragraph">
              <wp:posOffset>281940</wp:posOffset>
            </wp:positionV>
            <wp:extent cx="1885950" cy="438150"/>
            <wp:effectExtent l="0" t="0" r="0" b="0"/>
            <wp:wrapSquare wrapText="bothSides" distT="0" distB="0" distL="114300" distR="114300"/>
            <wp:docPr id="1073741828" name="image2.jpg" descr="Picture 228"/>
            <wp:cNvGraphicFramePr/>
            <a:graphic xmlns:a="http://schemas.openxmlformats.org/drawingml/2006/main">
              <a:graphicData uri="http://schemas.openxmlformats.org/drawingml/2006/picture">
                <pic:pic xmlns:pic="http://schemas.openxmlformats.org/drawingml/2006/picture">
                  <pic:nvPicPr>
                    <pic:cNvPr id="0" name="image2.jpg" descr="Picture 228"/>
                    <pic:cNvPicPr preferRelativeResize="0"/>
                  </pic:nvPicPr>
                  <pic:blipFill>
                    <a:blip r:embed="rId11"/>
                    <a:srcRect/>
                    <a:stretch>
                      <a:fillRect/>
                    </a:stretch>
                  </pic:blipFill>
                  <pic:spPr>
                    <a:xfrm>
                      <a:off x="0" y="0"/>
                      <a:ext cx="1885950" cy="438150"/>
                    </a:xfrm>
                    <a:prstGeom prst="rect">
                      <a:avLst/>
                    </a:prstGeom>
                    <a:ln/>
                  </pic:spPr>
                </pic:pic>
              </a:graphicData>
            </a:graphic>
          </wp:anchor>
        </w:drawing>
      </w:r>
    </w:p>
    <w:p w14:paraId="5216FFEB" w14:textId="77777777" w:rsidR="005F0F9C" w:rsidRDefault="009748E1">
      <w:pPr>
        <w:rPr>
          <w:b/>
        </w:rPr>
      </w:pPr>
      <w:r>
        <w:rPr>
          <w:sz w:val="16"/>
          <w:szCs w:val="16"/>
        </w:rPr>
        <w:t>Ο δείκτης κινδύνου υποθέτει ότι μπορεί να μην μπορείτε να αγοράσετε ή να πουλήσετε το CFD σας στην τιμή που θέλατε λόγω της αστάθειας της αγοράς ή μπορεί να χρειαστεί να αγοράσετε ή να πουλήσετε το CFD σας σε τιμή που επηρεάζει σημαντικά το ποσό που θα πάρετε σε αντάλλαγμα.</w:t>
      </w:r>
    </w:p>
    <w:p w14:paraId="5216FFEC" w14:textId="77777777" w:rsidR="005F0F9C" w:rsidRDefault="009748E1">
      <w:pPr>
        <w:jc w:val="both"/>
        <w:rPr>
          <w:sz w:val="20"/>
          <w:szCs w:val="20"/>
        </w:rPr>
      </w:pPr>
      <w:r>
        <w:rPr>
          <w:sz w:val="20"/>
          <w:szCs w:val="20"/>
        </w:rPr>
        <w:t xml:space="preserve">Ο συνοπτικός δείκτης κινδύνου είναι ένας οδηγός για το επίπεδο κινδύνου αυτού του προϊόντος σε σύγκριση με άλλα προϊόντα. Δείχνει πώς μπορεί να αντιμετωπίσετε απώλειες, λόγω της αστάθειας των CFD. Έχουμε ταξινομήσει </w:t>
      </w:r>
      <w:r>
        <w:rPr>
          <w:sz w:val="20"/>
          <w:szCs w:val="20"/>
        </w:rPr>
        <w:lastRenderedPageBreak/>
        <w:t>αυτό το προϊόν ως 7 στα 7, που είναι η κατηγορία υψηλότερου κινδύνου. Αυτό αξιολογεί τις πιθανές απώλειες από τη μελλοντική απόδοση του προϊόντος σε πολύ υψηλό επίπεδο.</w:t>
      </w:r>
    </w:p>
    <w:p w14:paraId="5216FFED" w14:textId="77777777" w:rsidR="005F0F9C" w:rsidRDefault="009748E1">
      <w:pPr>
        <w:spacing w:after="0"/>
        <w:jc w:val="both"/>
        <w:rPr>
          <w:sz w:val="20"/>
          <w:szCs w:val="20"/>
        </w:rPr>
      </w:pPr>
      <w:r>
        <w:rPr>
          <w:sz w:val="20"/>
          <w:szCs w:val="20"/>
        </w:rPr>
        <w:t>Τα CFD διαπραγματεύονται με περιθώριο κέρδους και ενέχουν κίνδυνο απώλειας όλου του επενδυμένου κεφαλαίου σας. Πριν αποφασίσετε να κάνετε συναλλαγές με προϊόντα περιθωρίου, θα πρέπει να λάβετε υπόψη τους επενδυτικούς σας στόχους, την ανοχή κινδύνου και το επίπεδο εμπειρίας σας σε αυτά τα προϊόντα. Οι συναλλαγές με υψηλό επίπεδο μόχλευσης μπορεί να είναι είτε εναντίον σας είτε υπέρ σας. Θα πρέπει να γνωρίζετε όλους τους κινδύνους που σχετίζονται με προϊόντα που διαπραγματεύονται με περιθώριο κέρδους και να ζητάτε ανεξάρτητη συμβουλή, εάν είναι απαραίτητο.</w:t>
      </w:r>
    </w:p>
    <w:p w14:paraId="5216FFEE" w14:textId="77777777" w:rsidR="005F0F9C" w:rsidRDefault="005F0F9C">
      <w:pPr>
        <w:spacing w:after="0"/>
        <w:jc w:val="both"/>
        <w:rPr>
          <w:sz w:val="14"/>
          <w:szCs w:val="14"/>
        </w:rPr>
      </w:pPr>
    </w:p>
    <w:p w14:paraId="5216FFEF" w14:textId="77777777" w:rsidR="005F0F9C" w:rsidRDefault="009748E1">
      <w:pPr>
        <w:pBdr>
          <w:top w:val="nil"/>
          <w:left w:val="nil"/>
          <w:bottom w:val="nil"/>
          <w:right w:val="nil"/>
          <w:between w:val="nil"/>
        </w:pBdr>
        <w:shd w:val="clear" w:color="auto" w:fill="BFBFBF"/>
        <w:spacing w:after="0"/>
        <w:ind w:left="720" w:hanging="720"/>
        <w:jc w:val="both"/>
        <w:rPr>
          <w:b/>
          <w:color w:val="000000"/>
          <w:sz w:val="20"/>
          <w:szCs w:val="20"/>
        </w:rPr>
      </w:pPr>
      <w:r>
        <w:rPr>
          <w:b/>
          <w:color w:val="000000"/>
          <w:sz w:val="20"/>
          <w:szCs w:val="20"/>
        </w:rPr>
        <w:t>Σενάρια απόδοσης λογαριασμού</w:t>
      </w:r>
    </w:p>
    <w:p w14:paraId="5216FFF0" w14:textId="77777777" w:rsidR="005F0F9C" w:rsidRDefault="009748E1">
      <w:pPr>
        <w:pBdr>
          <w:top w:val="nil"/>
          <w:left w:val="nil"/>
          <w:bottom w:val="nil"/>
          <w:right w:val="nil"/>
          <w:between w:val="nil"/>
        </w:pBdr>
        <w:spacing w:after="0"/>
        <w:jc w:val="both"/>
        <w:rPr>
          <w:b/>
          <w:i/>
          <w:color w:val="000000"/>
          <w:sz w:val="20"/>
          <w:szCs w:val="20"/>
        </w:rPr>
      </w:pPr>
      <w:r>
        <w:rPr>
          <w:b/>
          <w:i/>
          <w:color w:val="000000"/>
          <w:sz w:val="20"/>
          <w:szCs w:val="20"/>
        </w:rPr>
        <w:t>Οι εξελίξεις της αγοράς στο μέλλον δεν μπορούν να προβλεφθούν με ακρίβεια. Τα σενάρια που παρουσιάζονται παρακάτω είναι μόνο μια ένδειξη ορισμένων από τα πιθανά αποτελέσματα που βασίζονται σε πρόσφατες επιστροφές. Οι πραγματικές αποδόσεις μπορεί να είναι χαμηλότερες.</w:t>
      </w:r>
    </w:p>
    <w:p w14:paraId="5216FFF1" w14:textId="77777777" w:rsidR="005F0F9C" w:rsidRDefault="009748E1">
      <w:pPr>
        <w:pBdr>
          <w:top w:val="nil"/>
          <w:left w:val="nil"/>
          <w:bottom w:val="nil"/>
          <w:right w:val="nil"/>
          <w:between w:val="nil"/>
        </w:pBdr>
        <w:jc w:val="both"/>
        <w:rPr>
          <w:color w:val="000000"/>
          <w:sz w:val="20"/>
          <w:szCs w:val="20"/>
        </w:rPr>
      </w:pPr>
      <w:r>
        <w:rPr>
          <w:color w:val="000000"/>
          <w:sz w:val="20"/>
          <w:szCs w:val="20"/>
        </w:rPr>
        <w:t>Τα παρακάτω σενάρια δείχνουν πώς θα μπορούσε να αποδώσει η επένδυσή σας σε διαφορετικά γεγονότα. Τα παρακάτω αποτελέσματα δεν πρέπει να θεωρούνται ως ακριβείς δείκτες ή συστάσεις και δεν περιλαμβάνουν διαφορετικούς τύπους χρεώσεων που ενδέχεται να ισχύουν στον λογαριασμό σας. Επομένως, η απόδοση του λογαριασμού σας (θετική ή αρνητική) εξαρτάται από διάφορους παράγοντες, για παράδειγμα πόσο καιρό διατηρείτε τις θέσεις σας.</w:t>
      </w:r>
    </w:p>
    <w:tbl>
      <w:tblPr>
        <w:tblStyle w:val="ListTable6Colorful-Accent3"/>
        <w:tblW w:w="9360" w:type="dxa"/>
        <w:tblLayout w:type="fixed"/>
        <w:tblLook w:val="0400" w:firstRow="0" w:lastRow="0" w:firstColumn="0" w:lastColumn="0" w:noHBand="0" w:noVBand="1"/>
      </w:tblPr>
      <w:tblGrid>
        <w:gridCol w:w="5760"/>
        <w:gridCol w:w="3600"/>
      </w:tblGrid>
      <w:tr w:rsidR="005F0F9C" w14:paraId="5216FFF4" w14:textId="77777777" w:rsidTr="009F2611">
        <w:trPr>
          <w:cnfStyle w:val="000000100000" w:firstRow="0" w:lastRow="0" w:firstColumn="0" w:lastColumn="0" w:oddVBand="0" w:evenVBand="0" w:oddHBand="1" w:evenHBand="0" w:firstRowFirstColumn="0" w:firstRowLastColumn="0" w:lastRowFirstColumn="0" w:lastRowLastColumn="0"/>
        </w:trPr>
        <w:tc>
          <w:tcPr>
            <w:tcW w:w="5760" w:type="dxa"/>
          </w:tcPr>
          <w:p w14:paraId="5216FFF2" w14:textId="77777777" w:rsidR="005F0F9C" w:rsidRDefault="009748E1">
            <w:pPr>
              <w:pBdr>
                <w:top w:val="nil"/>
                <w:left w:val="nil"/>
                <w:bottom w:val="nil"/>
                <w:right w:val="nil"/>
                <w:between w:val="nil"/>
              </w:pBdr>
              <w:rPr>
                <w:b/>
                <w:color w:val="000000"/>
                <w:sz w:val="20"/>
                <w:szCs w:val="20"/>
              </w:rPr>
            </w:pPr>
            <w:r>
              <w:rPr>
                <w:b/>
                <w:color w:val="000000"/>
                <w:sz w:val="20"/>
                <w:szCs w:val="20"/>
              </w:rPr>
              <w:t>CFD σ</w:t>
            </w:r>
            <w:r>
              <w:rPr>
                <w:b/>
                <w:sz w:val="20"/>
                <w:szCs w:val="20"/>
              </w:rPr>
              <w:t>ε ζεύγοι</w:t>
            </w:r>
            <w:r>
              <w:rPr>
                <w:b/>
                <w:color w:val="000000"/>
                <w:sz w:val="20"/>
                <w:szCs w:val="20"/>
              </w:rPr>
              <w:t xml:space="preserve"> Forex</w:t>
            </w:r>
          </w:p>
        </w:tc>
        <w:tc>
          <w:tcPr>
            <w:tcW w:w="3600" w:type="dxa"/>
          </w:tcPr>
          <w:p w14:paraId="5216FFF3" w14:textId="77777777" w:rsidR="005F0F9C" w:rsidRDefault="009748E1">
            <w:pPr>
              <w:pBdr>
                <w:top w:val="nil"/>
                <w:left w:val="nil"/>
                <w:bottom w:val="nil"/>
                <w:right w:val="nil"/>
                <w:between w:val="nil"/>
              </w:pBdr>
              <w:rPr>
                <w:b/>
                <w:color w:val="000000"/>
                <w:sz w:val="20"/>
                <w:szCs w:val="20"/>
              </w:rPr>
            </w:pPr>
            <w:r>
              <w:rPr>
                <w:b/>
                <w:color w:val="000000"/>
                <w:sz w:val="20"/>
                <w:szCs w:val="20"/>
              </w:rPr>
              <w:t>EUR/USD</w:t>
            </w:r>
          </w:p>
        </w:tc>
      </w:tr>
      <w:tr w:rsidR="005F0F9C" w14:paraId="5216FFFD" w14:textId="77777777" w:rsidTr="009F2611">
        <w:tc>
          <w:tcPr>
            <w:tcW w:w="5760" w:type="dxa"/>
            <w:vMerge w:val="restart"/>
          </w:tcPr>
          <w:p w14:paraId="5216FFF5" w14:textId="77777777" w:rsidR="005F0F9C" w:rsidRDefault="009748E1">
            <w:pPr>
              <w:pBdr>
                <w:top w:val="nil"/>
                <w:left w:val="nil"/>
                <w:bottom w:val="nil"/>
                <w:right w:val="nil"/>
                <w:between w:val="nil"/>
              </w:pBdr>
              <w:tabs>
                <w:tab w:val="center" w:pos="2772"/>
              </w:tabs>
              <w:jc w:val="both"/>
              <w:rPr>
                <w:color w:val="000000"/>
                <w:sz w:val="20"/>
                <w:szCs w:val="20"/>
              </w:rPr>
            </w:pPr>
            <w:r>
              <w:rPr>
                <w:color w:val="000000"/>
                <w:sz w:val="20"/>
                <w:szCs w:val="20"/>
              </w:rPr>
              <w:t>Τιμή ανοίγματος</w:t>
            </w:r>
            <w:r>
              <w:rPr>
                <w:color w:val="000000"/>
                <w:sz w:val="20"/>
                <w:szCs w:val="20"/>
              </w:rPr>
              <w:tab/>
            </w:r>
            <w:r>
              <w:rPr>
                <w:sz w:val="20"/>
                <w:szCs w:val="20"/>
              </w:rPr>
              <w:t>P</w:t>
            </w:r>
          </w:p>
          <w:p w14:paraId="5216FFF6" w14:textId="77777777" w:rsidR="005F0F9C" w:rsidRDefault="009748E1">
            <w:pPr>
              <w:pBdr>
                <w:top w:val="nil"/>
                <w:left w:val="nil"/>
                <w:bottom w:val="nil"/>
                <w:right w:val="nil"/>
                <w:between w:val="nil"/>
              </w:pBdr>
              <w:tabs>
                <w:tab w:val="center" w:pos="2772"/>
              </w:tabs>
              <w:jc w:val="both"/>
              <w:rPr>
                <w:color w:val="000000"/>
                <w:sz w:val="20"/>
                <w:szCs w:val="20"/>
              </w:rPr>
            </w:pPr>
            <w:r>
              <w:rPr>
                <w:color w:val="000000"/>
                <w:sz w:val="20"/>
                <w:szCs w:val="20"/>
              </w:rPr>
              <w:t>Μέγεθος συναλλαγής (ανά CFD)</w:t>
            </w:r>
            <w:r>
              <w:rPr>
                <w:color w:val="000000"/>
                <w:sz w:val="20"/>
                <w:szCs w:val="20"/>
              </w:rPr>
              <w:tab/>
              <w:t>TS</w:t>
            </w:r>
          </w:p>
          <w:p w14:paraId="5216FFF7" w14:textId="77777777" w:rsidR="005F0F9C" w:rsidRDefault="009748E1">
            <w:pPr>
              <w:pBdr>
                <w:top w:val="nil"/>
                <w:left w:val="nil"/>
                <w:bottom w:val="nil"/>
                <w:right w:val="nil"/>
                <w:between w:val="nil"/>
              </w:pBdr>
              <w:tabs>
                <w:tab w:val="center" w:pos="2772"/>
              </w:tabs>
              <w:jc w:val="both"/>
              <w:rPr>
                <w:color w:val="000000"/>
                <w:sz w:val="20"/>
                <w:szCs w:val="20"/>
              </w:rPr>
            </w:pPr>
            <w:r>
              <w:rPr>
                <w:color w:val="000000"/>
                <w:sz w:val="20"/>
                <w:szCs w:val="20"/>
              </w:rPr>
              <w:t>Ποσοστό περιθωρίου</w:t>
            </w:r>
            <w:r>
              <w:rPr>
                <w:color w:val="000000"/>
                <w:sz w:val="20"/>
                <w:szCs w:val="20"/>
              </w:rPr>
              <w:tab/>
              <w:t>Μ</w:t>
            </w:r>
          </w:p>
          <w:p w14:paraId="5216FFF8" w14:textId="77777777" w:rsidR="005F0F9C" w:rsidRDefault="009748E1">
            <w:pPr>
              <w:pBdr>
                <w:top w:val="nil"/>
                <w:left w:val="nil"/>
                <w:bottom w:val="nil"/>
                <w:right w:val="nil"/>
                <w:between w:val="nil"/>
              </w:pBdr>
              <w:tabs>
                <w:tab w:val="center" w:pos="2772"/>
              </w:tabs>
              <w:jc w:val="both"/>
              <w:rPr>
                <w:color w:val="000000"/>
                <w:sz w:val="20"/>
                <w:szCs w:val="20"/>
              </w:rPr>
            </w:pPr>
            <w:r>
              <w:rPr>
                <w:color w:val="000000"/>
                <w:sz w:val="20"/>
                <w:szCs w:val="20"/>
              </w:rPr>
              <w:t>Απαιτούμενο περιθώριο</w:t>
            </w:r>
            <w:r>
              <w:rPr>
                <w:color w:val="000000"/>
                <w:sz w:val="20"/>
                <w:szCs w:val="20"/>
              </w:rPr>
              <w:tab/>
              <w:t xml:space="preserve">                MR=TS x M</w:t>
            </w:r>
          </w:p>
          <w:p w14:paraId="5216FFF9" w14:textId="77777777" w:rsidR="005F0F9C" w:rsidRDefault="009748E1">
            <w:pPr>
              <w:pBdr>
                <w:top w:val="nil"/>
                <w:left w:val="nil"/>
                <w:bottom w:val="nil"/>
                <w:right w:val="nil"/>
                <w:between w:val="nil"/>
              </w:pBdr>
              <w:tabs>
                <w:tab w:val="left" w:pos="2772"/>
              </w:tabs>
              <w:jc w:val="both"/>
              <w:rPr>
                <w:color w:val="000000"/>
                <w:sz w:val="20"/>
                <w:szCs w:val="20"/>
              </w:rPr>
            </w:pPr>
            <w:r>
              <w:rPr>
                <w:color w:val="000000"/>
                <w:sz w:val="20"/>
                <w:szCs w:val="20"/>
              </w:rPr>
              <w:t>Τυπική αξία του εμπορίου</w:t>
            </w:r>
            <w:r>
              <w:rPr>
                <w:sz w:val="20"/>
                <w:szCs w:val="20"/>
              </w:rPr>
              <w:t xml:space="preserve">             </w:t>
            </w:r>
            <w:r>
              <w:rPr>
                <w:color w:val="000000"/>
                <w:sz w:val="20"/>
                <w:szCs w:val="20"/>
              </w:rPr>
              <w:t>TN=MR/M</w:t>
            </w:r>
          </w:p>
          <w:p w14:paraId="5216FFFA" w14:textId="77777777" w:rsidR="005F0F9C" w:rsidRDefault="005F0F9C">
            <w:pPr>
              <w:pBdr>
                <w:top w:val="nil"/>
                <w:left w:val="nil"/>
                <w:bottom w:val="nil"/>
                <w:right w:val="nil"/>
                <w:between w:val="nil"/>
              </w:pBdr>
              <w:jc w:val="both"/>
              <w:rPr>
                <w:color w:val="000000"/>
                <w:sz w:val="20"/>
                <w:szCs w:val="20"/>
              </w:rPr>
            </w:pPr>
          </w:p>
          <w:p w14:paraId="5216FFFB" w14:textId="77777777" w:rsidR="005F0F9C" w:rsidRDefault="009748E1">
            <w:pPr>
              <w:pBdr>
                <w:top w:val="nil"/>
                <w:left w:val="nil"/>
                <w:bottom w:val="nil"/>
                <w:right w:val="nil"/>
                <w:between w:val="nil"/>
              </w:pBdr>
              <w:jc w:val="both"/>
              <w:rPr>
                <w:color w:val="000000"/>
                <w:sz w:val="20"/>
                <w:szCs w:val="20"/>
              </w:rPr>
            </w:pPr>
            <w:r>
              <w:rPr>
                <w:color w:val="000000"/>
                <w:sz w:val="20"/>
                <w:szCs w:val="20"/>
              </w:rPr>
              <w:t>Τραπεζικός λογαριασμός</w:t>
            </w:r>
          </w:p>
        </w:tc>
        <w:tc>
          <w:tcPr>
            <w:tcW w:w="3600" w:type="dxa"/>
          </w:tcPr>
          <w:p w14:paraId="5216FFFC" w14:textId="77777777" w:rsidR="005F0F9C" w:rsidRDefault="009748E1">
            <w:pPr>
              <w:pBdr>
                <w:top w:val="nil"/>
                <w:left w:val="nil"/>
                <w:bottom w:val="nil"/>
                <w:right w:val="nil"/>
                <w:between w:val="nil"/>
              </w:pBdr>
              <w:jc w:val="both"/>
              <w:rPr>
                <w:color w:val="000000"/>
                <w:sz w:val="20"/>
                <w:szCs w:val="20"/>
              </w:rPr>
            </w:pPr>
            <w:r>
              <w:rPr>
                <w:color w:val="000000"/>
                <w:sz w:val="20"/>
                <w:szCs w:val="20"/>
              </w:rPr>
              <w:t>1,16650</w:t>
            </w:r>
          </w:p>
        </w:tc>
      </w:tr>
      <w:tr w:rsidR="005F0F9C" w14:paraId="52170000" w14:textId="77777777" w:rsidTr="009F2611">
        <w:trPr>
          <w:cnfStyle w:val="000000100000" w:firstRow="0" w:lastRow="0" w:firstColumn="0" w:lastColumn="0" w:oddVBand="0" w:evenVBand="0" w:oddHBand="1" w:evenHBand="0" w:firstRowFirstColumn="0" w:firstRowLastColumn="0" w:lastRowFirstColumn="0" w:lastRowLastColumn="0"/>
        </w:trPr>
        <w:tc>
          <w:tcPr>
            <w:tcW w:w="5760" w:type="dxa"/>
            <w:vMerge/>
          </w:tcPr>
          <w:p w14:paraId="5216FFFE" w14:textId="77777777" w:rsidR="005F0F9C" w:rsidRDefault="005F0F9C">
            <w:pPr>
              <w:widowControl w:val="0"/>
              <w:pBdr>
                <w:top w:val="nil"/>
                <w:left w:val="nil"/>
                <w:bottom w:val="nil"/>
                <w:right w:val="nil"/>
                <w:between w:val="nil"/>
              </w:pBdr>
              <w:spacing w:line="276" w:lineRule="auto"/>
              <w:rPr>
                <w:color w:val="000000"/>
                <w:sz w:val="20"/>
                <w:szCs w:val="20"/>
              </w:rPr>
            </w:pPr>
          </w:p>
        </w:tc>
        <w:tc>
          <w:tcPr>
            <w:tcW w:w="3600" w:type="dxa"/>
          </w:tcPr>
          <w:p w14:paraId="5216FFFF" w14:textId="77777777" w:rsidR="005F0F9C" w:rsidRDefault="009748E1">
            <w:pPr>
              <w:pBdr>
                <w:top w:val="nil"/>
                <w:left w:val="nil"/>
                <w:bottom w:val="nil"/>
                <w:right w:val="nil"/>
                <w:between w:val="nil"/>
              </w:pBdr>
              <w:jc w:val="both"/>
              <w:rPr>
                <w:color w:val="000000"/>
                <w:sz w:val="20"/>
                <w:szCs w:val="20"/>
              </w:rPr>
            </w:pPr>
            <w:r>
              <w:rPr>
                <w:color w:val="000000"/>
                <w:sz w:val="20"/>
                <w:szCs w:val="20"/>
              </w:rPr>
              <w:t>150.000</w:t>
            </w:r>
          </w:p>
        </w:tc>
      </w:tr>
      <w:tr w:rsidR="005F0F9C" w14:paraId="52170003" w14:textId="77777777" w:rsidTr="009F2611">
        <w:tc>
          <w:tcPr>
            <w:tcW w:w="5760" w:type="dxa"/>
            <w:vMerge/>
          </w:tcPr>
          <w:p w14:paraId="52170001" w14:textId="77777777" w:rsidR="005F0F9C" w:rsidRDefault="005F0F9C">
            <w:pPr>
              <w:widowControl w:val="0"/>
              <w:pBdr>
                <w:top w:val="nil"/>
                <w:left w:val="nil"/>
                <w:bottom w:val="nil"/>
                <w:right w:val="nil"/>
                <w:between w:val="nil"/>
              </w:pBdr>
              <w:spacing w:line="276" w:lineRule="auto"/>
              <w:rPr>
                <w:color w:val="000000"/>
                <w:sz w:val="20"/>
                <w:szCs w:val="20"/>
              </w:rPr>
            </w:pPr>
          </w:p>
        </w:tc>
        <w:tc>
          <w:tcPr>
            <w:tcW w:w="3600" w:type="dxa"/>
          </w:tcPr>
          <w:p w14:paraId="52170002" w14:textId="77777777" w:rsidR="005F0F9C" w:rsidRDefault="009748E1">
            <w:pPr>
              <w:pBdr>
                <w:top w:val="nil"/>
                <w:left w:val="nil"/>
                <w:bottom w:val="nil"/>
                <w:right w:val="nil"/>
                <w:between w:val="nil"/>
              </w:pBdr>
              <w:jc w:val="both"/>
              <w:rPr>
                <w:color w:val="000000"/>
                <w:sz w:val="20"/>
                <w:szCs w:val="20"/>
              </w:rPr>
            </w:pPr>
            <w:r>
              <w:rPr>
                <w:color w:val="000000"/>
                <w:sz w:val="20"/>
                <w:szCs w:val="20"/>
              </w:rPr>
              <w:t>3,33% (Μόχλευση 1:30)</w:t>
            </w:r>
          </w:p>
        </w:tc>
      </w:tr>
      <w:tr w:rsidR="005F0F9C" w14:paraId="52170006" w14:textId="77777777" w:rsidTr="009F2611">
        <w:trPr>
          <w:cnfStyle w:val="000000100000" w:firstRow="0" w:lastRow="0" w:firstColumn="0" w:lastColumn="0" w:oddVBand="0" w:evenVBand="0" w:oddHBand="1" w:evenHBand="0" w:firstRowFirstColumn="0" w:firstRowLastColumn="0" w:lastRowFirstColumn="0" w:lastRowLastColumn="0"/>
        </w:trPr>
        <w:tc>
          <w:tcPr>
            <w:tcW w:w="5760" w:type="dxa"/>
            <w:vMerge/>
          </w:tcPr>
          <w:p w14:paraId="52170004" w14:textId="77777777" w:rsidR="005F0F9C" w:rsidRDefault="005F0F9C">
            <w:pPr>
              <w:widowControl w:val="0"/>
              <w:pBdr>
                <w:top w:val="nil"/>
                <w:left w:val="nil"/>
                <w:bottom w:val="nil"/>
                <w:right w:val="nil"/>
                <w:between w:val="nil"/>
              </w:pBdr>
              <w:spacing w:line="276" w:lineRule="auto"/>
              <w:rPr>
                <w:color w:val="000000"/>
                <w:sz w:val="20"/>
                <w:szCs w:val="20"/>
              </w:rPr>
            </w:pPr>
          </w:p>
        </w:tc>
        <w:tc>
          <w:tcPr>
            <w:tcW w:w="3600" w:type="dxa"/>
          </w:tcPr>
          <w:p w14:paraId="52170005" w14:textId="77777777" w:rsidR="005F0F9C" w:rsidRDefault="009748E1">
            <w:pPr>
              <w:pBdr>
                <w:top w:val="nil"/>
                <w:left w:val="nil"/>
                <w:bottom w:val="nil"/>
                <w:right w:val="nil"/>
                <w:between w:val="nil"/>
              </w:pBdr>
              <w:jc w:val="both"/>
              <w:rPr>
                <w:color w:val="000000"/>
                <w:sz w:val="20"/>
                <w:szCs w:val="20"/>
              </w:rPr>
            </w:pPr>
            <w:r>
              <w:rPr>
                <w:color w:val="000000"/>
                <w:sz w:val="20"/>
                <w:szCs w:val="20"/>
              </w:rPr>
              <w:t>5832,5 USD</w:t>
            </w:r>
          </w:p>
        </w:tc>
      </w:tr>
      <w:tr w:rsidR="005F0F9C" w14:paraId="52170009" w14:textId="77777777" w:rsidTr="009F2611">
        <w:tc>
          <w:tcPr>
            <w:tcW w:w="5760" w:type="dxa"/>
            <w:vMerge/>
          </w:tcPr>
          <w:p w14:paraId="52170007" w14:textId="77777777" w:rsidR="005F0F9C" w:rsidRDefault="005F0F9C">
            <w:pPr>
              <w:widowControl w:val="0"/>
              <w:pBdr>
                <w:top w:val="nil"/>
                <w:left w:val="nil"/>
                <w:bottom w:val="nil"/>
                <w:right w:val="nil"/>
                <w:between w:val="nil"/>
              </w:pBdr>
              <w:spacing w:line="276" w:lineRule="auto"/>
              <w:rPr>
                <w:color w:val="000000"/>
                <w:sz w:val="20"/>
                <w:szCs w:val="20"/>
              </w:rPr>
            </w:pPr>
          </w:p>
        </w:tc>
        <w:tc>
          <w:tcPr>
            <w:tcW w:w="3600" w:type="dxa"/>
          </w:tcPr>
          <w:p w14:paraId="52170008" w14:textId="77777777" w:rsidR="005F0F9C" w:rsidRDefault="009748E1">
            <w:pPr>
              <w:pBdr>
                <w:top w:val="nil"/>
                <w:left w:val="nil"/>
                <w:bottom w:val="nil"/>
                <w:right w:val="nil"/>
                <w:between w:val="nil"/>
              </w:pBdr>
              <w:rPr>
                <w:color w:val="000000"/>
                <w:sz w:val="20"/>
                <w:szCs w:val="20"/>
              </w:rPr>
            </w:pPr>
            <w:r>
              <w:rPr>
                <w:color w:val="000000"/>
                <w:sz w:val="20"/>
                <w:szCs w:val="20"/>
              </w:rPr>
              <w:t>Υπολογισμός κερδών και ζημιών: USD</w:t>
            </w:r>
            <w:r>
              <w:rPr>
                <w:color w:val="000000"/>
                <w:sz w:val="20"/>
                <w:szCs w:val="20"/>
              </w:rPr>
              <w:br/>
              <w:t>(Μεταβλητό νόμισμα)</w:t>
            </w:r>
          </w:p>
        </w:tc>
      </w:tr>
      <w:tr w:rsidR="005F0F9C" w14:paraId="5217000C" w14:textId="77777777" w:rsidTr="009F2611">
        <w:trPr>
          <w:cnfStyle w:val="000000100000" w:firstRow="0" w:lastRow="0" w:firstColumn="0" w:lastColumn="0" w:oddVBand="0" w:evenVBand="0" w:oddHBand="1" w:evenHBand="0" w:firstRowFirstColumn="0" w:firstRowLastColumn="0" w:lastRowFirstColumn="0" w:lastRowLastColumn="0"/>
        </w:trPr>
        <w:tc>
          <w:tcPr>
            <w:tcW w:w="5760" w:type="dxa"/>
            <w:vMerge/>
          </w:tcPr>
          <w:p w14:paraId="5217000A" w14:textId="77777777" w:rsidR="005F0F9C" w:rsidRDefault="005F0F9C">
            <w:pPr>
              <w:widowControl w:val="0"/>
              <w:pBdr>
                <w:top w:val="nil"/>
                <w:left w:val="nil"/>
                <w:bottom w:val="nil"/>
                <w:right w:val="nil"/>
                <w:between w:val="nil"/>
              </w:pBdr>
              <w:spacing w:line="276" w:lineRule="auto"/>
              <w:rPr>
                <w:color w:val="000000"/>
                <w:sz w:val="20"/>
                <w:szCs w:val="20"/>
              </w:rPr>
            </w:pPr>
          </w:p>
        </w:tc>
        <w:tc>
          <w:tcPr>
            <w:tcW w:w="3600" w:type="dxa"/>
          </w:tcPr>
          <w:p w14:paraId="5217000B" w14:textId="77777777" w:rsidR="005F0F9C" w:rsidRDefault="009748E1">
            <w:pPr>
              <w:pBdr>
                <w:top w:val="nil"/>
                <w:left w:val="nil"/>
                <w:bottom w:val="nil"/>
                <w:right w:val="nil"/>
                <w:between w:val="nil"/>
              </w:pBdr>
              <w:jc w:val="both"/>
              <w:rPr>
                <w:color w:val="000000"/>
                <w:sz w:val="20"/>
                <w:szCs w:val="20"/>
              </w:rPr>
            </w:pPr>
            <w:r>
              <w:rPr>
                <w:color w:val="000000"/>
                <w:sz w:val="20"/>
                <w:szCs w:val="20"/>
              </w:rPr>
              <w:t>USD</w:t>
            </w:r>
          </w:p>
        </w:tc>
      </w:tr>
    </w:tbl>
    <w:p w14:paraId="5217000D" w14:textId="77777777" w:rsidR="005F0F9C" w:rsidRDefault="005F0F9C">
      <w:pPr>
        <w:jc w:val="both"/>
        <w:rPr>
          <w:b/>
          <w:i/>
          <w:color w:val="000000"/>
          <w:sz w:val="20"/>
          <w:szCs w:val="20"/>
        </w:rPr>
      </w:pPr>
    </w:p>
    <w:tbl>
      <w:tblPr>
        <w:tblStyle w:val="ListTable6Colorful-Accent3"/>
        <w:tblW w:w="10260" w:type="dxa"/>
        <w:tblLayout w:type="fixed"/>
        <w:tblLook w:val="0400" w:firstRow="0" w:lastRow="0" w:firstColumn="0" w:lastColumn="0" w:noHBand="0" w:noVBand="1"/>
      </w:tblPr>
      <w:tblGrid>
        <w:gridCol w:w="1350"/>
        <w:gridCol w:w="1350"/>
        <w:gridCol w:w="1230"/>
        <w:gridCol w:w="1275"/>
        <w:gridCol w:w="1245"/>
        <w:gridCol w:w="1320"/>
        <w:gridCol w:w="1170"/>
        <w:gridCol w:w="1320"/>
      </w:tblGrid>
      <w:tr w:rsidR="005F0F9C" w14:paraId="52170017" w14:textId="77777777" w:rsidTr="009F2611">
        <w:trPr>
          <w:cnfStyle w:val="000000100000" w:firstRow="0" w:lastRow="0" w:firstColumn="0" w:lastColumn="0" w:oddVBand="0" w:evenVBand="0" w:oddHBand="1" w:evenHBand="0" w:firstRowFirstColumn="0" w:firstRowLastColumn="0" w:lastRowFirstColumn="0" w:lastRowLastColumn="0"/>
          <w:trHeight w:val="1007"/>
        </w:trPr>
        <w:tc>
          <w:tcPr>
            <w:tcW w:w="1350" w:type="dxa"/>
          </w:tcPr>
          <w:p w14:paraId="5217000E" w14:textId="77777777" w:rsidR="005F0F9C" w:rsidRDefault="009748E1">
            <w:pPr>
              <w:pBdr>
                <w:top w:val="nil"/>
                <w:left w:val="nil"/>
                <w:bottom w:val="nil"/>
                <w:right w:val="nil"/>
                <w:between w:val="nil"/>
              </w:pBdr>
              <w:rPr>
                <w:b/>
                <w:color w:val="000000"/>
                <w:sz w:val="18"/>
                <w:szCs w:val="18"/>
              </w:rPr>
            </w:pPr>
            <w:r>
              <w:rPr>
                <w:b/>
                <w:color w:val="000000"/>
                <w:sz w:val="18"/>
                <w:szCs w:val="18"/>
              </w:rPr>
              <w:t>Σενάριο μακράς απόδοσης</w:t>
            </w:r>
          </w:p>
        </w:tc>
        <w:tc>
          <w:tcPr>
            <w:tcW w:w="1350" w:type="dxa"/>
          </w:tcPr>
          <w:p w14:paraId="5217000F" w14:textId="77777777" w:rsidR="005F0F9C" w:rsidRDefault="009748E1">
            <w:pPr>
              <w:pBdr>
                <w:top w:val="nil"/>
                <w:left w:val="nil"/>
                <w:bottom w:val="nil"/>
                <w:right w:val="nil"/>
                <w:between w:val="nil"/>
              </w:pBdr>
              <w:rPr>
                <w:b/>
                <w:color w:val="000000"/>
                <w:sz w:val="18"/>
                <w:szCs w:val="18"/>
              </w:rPr>
            </w:pPr>
            <w:r>
              <w:rPr>
                <w:b/>
                <w:color w:val="000000"/>
                <w:sz w:val="18"/>
                <w:szCs w:val="18"/>
              </w:rPr>
              <w:t>Απόδοση Λογαριασμού</w:t>
            </w:r>
            <w:r>
              <w:rPr>
                <w:b/>
                <w:color w:val="000000"/>
                <w:sz w:val="18"/>
                <w:szCs w:val="18"/>
              </w:rPr>
              <w:br/>
            </w:r>
          </w:p>
        </w:tc>
        <w:tc>
          <w:tcPr>
            <w:tcW w:w="1230" w:type="dxa"/>
          </w:tcPr>
          <w:p w14:paraId="52170010" w14:textId="77777777" w:rsidR="005F0F9C" w:rsidRDefault="009748E1">
            <w:pPr>
              <w:pBdr>
                <w:top w:val="nil"/>
                <w:left w:val="nil"/>
                <w:bottom w:val="nil"/>
                <w:right w:val="nil"/>
                <w:between w:val="nil"/>
              </w:pBdr>
              <w:rPr>
                <w:b/>
                <w:color w:val="000000"/>
                <w:sz w:val="18"/>
                <w:szCs w:val="18"/>
              </w:rPr>
            </w:pPr>
            <w:r>
              <w:rPr>
                <w:b/>
                <w:color w:val="000000"/>
                <w:sz w:val="18"/>
                <w:szCs w:val="18"/>
              </w:rPr>
              <w:t>Αλλαγή Τιμής</w:t>
            </w:r>
          </w:p>
          <w:p w14:paraId="52170011" w14:textId="77777777" w:rsidR="005F0F9C" w:rsidRDefault="009748E1">
            <w:pPr>
              <w:pBdr>
                <w:top w:val="nil"/>
                <w:left w:val="nil"/>
                <w:bottom w:val="nil"/>
                <w:right w:val="nil"/>
                <w:between w:val="nil"/>
              </w:pBdr>
              <w:rPr>
                <w:b/>
                <w:color w:val="000000"/>
                <w:sz w:val="18"/>
                <w:szCs w:val="18"/>
              </w:rPr>
            </w:pPr>
            <w:r>
              <w:rPr>
                <w:b/>
                <w:color w:val="000000"/>
                <w:sz w:val="18"/>
                <w:szCs w:val="18"/>
              </w:rPr>
              <w:t>(Νόμισμα προσφοράς)</w:t>
            </w:r>
            <w:r>
              <w:rPr>
                <w:b/>
                <w:color w:val="000000"/>
                <w:sz w:val="18"/>
                <w:szCs w:val="18"/>
              </w:rPr>
              <w:br/>
            </w:r>
          </w:p>
        </w:tc>
        <w:tc>
          <w:tcPr>
            <w:tcW w:w="1275" w:type="dxa"/>
          </w:tcPr>
          <w:p w14:paraId="52170012" w14:textId="77777777" w:rsidR="005F0F9C" w:rsidRDefault="009748E1">
            <w:pPr>
              <w:pBdr>
                <w:top w:val="nil"/>
                <w:left w:val="nil"/>
                <w:bottom w:val="nil"/>
                <w:right w:val="nil"/>
                <w:between w:val="nil"/>
              </w:pBdr>
              <w:rPr>
                <w:b/>
                <w:color w:val="000000"/>
                <w:sz w:val="18"/>
                <w:szCs w:val="18"/>
              </w:rPr>
            </w:pPr>
            <w:r>
              <w:rPr>
                <w:b/>
                <w:color w:val="000000"/>
                <w:sz w:val="18"/>
                <w:szCs w:val="18"/>
              </w:rPr>
              <w:t>Απώλειες κερδών</w:t>
            </w:r>
            <w:r>
              <w:rPr>
                <w:b/>
                <w:color w:val="000000"/>
                <w:sz w:val="18"/>
                <w:szCs w:val="18"/>
              </w:rPr>
              <w:br/>
              <w:t>(Τραπεζικός λογαριασμός)</w:t>
            </w:r>
          </w:p>
        </w:tc>
        <w:tc>
          <w:tcPr>
            <w:tcW w:w="1245" w:type="dxa"/>
          </w:tcPr>
          <w:p w14:paraId="52170013" w14:textId="77777777" w:rsidR="005F0F9C" w:rsidRDefault="009748E1">
            <w:pPr>
              <w:pBdr>
                <w:top w:val="nil"/>
                <w:left w:val="nil"/>
                <w:bottom w:val="nil"/>
                <w:right w:val="nil"/>
                <w:between w:val="nil"/>
              </w:pBdr>
              <w:rPr>
                <w:b/>
                <w:color w:val="000000"/>
                <w:sz w:val="18"/>
                <w:szCs w:val="18"/>
              </w:rPr>
            </w:pPr>
            <w:r>
              <w:rPr>
                <w:b/>
                <w:color w:val="000000"/>
                <w:sz w:val="18"/>
                <w:szCs w:val="18"/>
              </w:rPr>
              <w:t>Σύντομο Σενάριο Παράστασης</w:t>
            </w:r>
          </w:p>
        </w:tc>
        <w:tc>
          <w:tcPr>
            <w:tcW w:w="1320" w:type="dxa"/>
          </w:tcPr>
          <w:p w14:paraId="52170014" w14:textId="77777777" w:rsidR="005F0F9C" w:rsidRDefault="009748E1">
            <w:pPr>
              <w:pBdr>
                <w:top w:val="nil"/>
                <w:left w:val="nil"/>
                <w:bottom w:val="nil"/>
                <w:right w:val="nil"/>
                <w:between w:val="nil"/>
              </w:pBdr>
              <w:rPr>
                <w:b/>
                <w:color w:val="000000"/>
                <w:sz w:val="18"/>
                <w:szCs w:val="18"/>
              </w:rPr>
            </w:pPr>
            <w:r>
              <w:rPr>
                <w:b/>
                <w:color w:val="000000"/>
                <w:sz w:val="18"/>
                <w:szCs w:val="18"/>
              </w:rPr>
              <w:t>Απόδοση Λογαριασμού</w:t>
            </w:r>
          </w:p>
        </w:tc>
        <w:tc>
          <w:tcPr>
            <w:tcW w:w="1170" w:type="dxa"/>
          </w:tcPr>
          <w:p w14:paraId="52170015" w14:textId="77777777" w:rsidR="005F0F9C" w:rsidRDefault="009748E1">
            <w:pPr>
              <w:pBdr>
                <w:top w:val="nil"/>
                <w:left w:val="nil"/>
                <w:bottom w:val="nil"/>
                <w:right w:val="nil"/>
                <w:between w:val="nil"/>
              </w:pBdr>
              <w:rPr>
                <w:b/>
                <w:color w:val="000000"/>
                <w:sz w:val="18"/>
                <w:szCs w:val="18"/>
              </w:rPr>
            </w:pPr>
            <w:r>
              <w:rPr>
                <w:b/>
                <w:color w:val="000000"/>
                <w:sz w:val="18"/>
                <w:szCs w:val="18"/>
              </w:rPr>
              <w:t>Αλλαγή Τιμής</w:t>
            </w:r>
            <w:r>
              <w:rPr>
                <w:b/>
                <w:color w:val="000000"/>
                <w:sz w:val="18"/>
                <w:szCs w:val="18"/>
              </w:rPr>
              <w:br/>
              <w:t>(Νόμισμα προσφοράς)</w:t>
            </w:r>
          </w:p>
        </w:tc>
        <w:tc>
          <w:tcPr>
            <w:tcW w:w="1320" w:type="dxa"/>
          </w:tcPr>
          <w:p w14:paraId="52170016" w14:textId="77777777" w:rsidR="005F0F9C" w:rsidRDefault="009748E1">
            <w:pPr>
              <w:rPr>
                <w:b/>
                <w:color w:val="000000"/>
                <w:sz w:val="18"/>
                <w:szCs w:val="18"/>
              </w:rPr>
            </w:pPr>
            <w:r>
              <w:rPr>
                <w:b/>
                <w:color w:val="000000"/>
                <w:sz w:val="18"/>
                <w:szCs w:val="18"/>
              </w:rPr>
              <w:t>Απώλειες κερδών</w:t>
            </w:r>
            <w:r>
              <w:rPr>
                <w:b/>
                <w:color w:val="000000"/>
                <w:sz w:val="18"/>
                <w:szCs w:val="18"/>
              </w:rPr>
              <w:br/>
              <w:t>(Τραπεζικός λογαριασμός)</w:t>
            </w:r>
          </w:p>
        </w:tc>
      </w:tr>
      <w:tr w:rsidR="005F0F9C" w14:paraId="52170020" w14:textId="77777777" w:rsidTr="009F2611">
        <w:tc>
          <w:tcPr>
            <w:tcW w:w="1350" w:type="dxa"/>
          </w:tcPr>
          <w:p w14:paraId="52170018" w14:textId="77777777" w:rsidR="005F0F9C" w:rsidRDefault="009748E1">
            <w:pPr>
              <w:pBdr>
                <w:top w:val="nil"/>
                <w:left w:val="nil"/>
                <w:bottom w:val="nil"/>
                <w:right w:val="nil"/>
                <w:between w:val="nil"/>
              </w:pBdr>
              <w:jc w:val="both"/>
              <w:rPr>
                <w:color w:val="000000"/>
                <w:sz w:val="20"/>
                <w:szCs w:val="20"/>
              </w:rPr>
            </w:pPr>
            <w:r>
              <w:rPr>
                <w:color w:val="000000"/>
                <w:sz w:val="20"/>
                <w:szCs w:val="20"/>
              </w:rPr>
              <w:t>Ευνοϊκός</w:t>
            </w:r>
          </w:p>
        </w:tc>
        <w:tc>
          <w:tcPr>
            <w:tcW w:w="1350" w:type="dxa"/>
          </w:tcPr>
          <w:p w14:paraId="52170019" w14:textId="77777777" w:rsidR="005F0F9C" w:rsidRDefault="009748E1">
            <w:pPr>
              <w:pBdr>
                <w:top w:val="nil"/>
                <w:left w:val="nil"/>
                <w:bottom w:val="nil"/>
                <w:right w:val="nil"/>
                <w:between w:val="nil"/>
              </w:pBdr>
              <w:jc w:val="both"/>
              <w:rPr>
                <w:color w:val="000000"/>
                <w:sz w:val="18"/>
                <w:szCs w:val="18"/>
              </w:rPr>
            </w:pPr>
            <w:r>
              <w:rPr>
                <w:color w:val="000000"/>
                <w:sz w:val="18"/>
                <w:szCs w:val="18"/>
              </w:rPr>
              <w:t>0,15%</w:t>
            </w:r>
          </w:p>
        </w:tc>
        <w:tc>
          <w:tcPr>
            <w:tcW w:w="1230" w:type="dxa"/>
          </w:tcPr>
          <w:p w14:paraId="5217001A" w14:textId="77777777" w:rsidR="005F0F9C" w:rsidRDefault="009748E1">
            <w:pPr>
              <w:pBdr>
                <w:top w:val="nil"/>
                <w:left w:val="nil"/>
                <w:bottom w:val="nil"/>
                <w:right w:val="nil"/>
                <w:between w:val="nil"/>
              </w:pBdr>
              <w:jc w:val="both"/>
              <w:rPr>
                <w:color w:val="000000"/>
                <w:sz w:val="18"/>
                <w:szCs w:val="18"/>
              </w:rPr>
            </w:pPr>
            <w:r>
              <w:rPr>
                <w:color w:val="000000"/>
                <w:sz w:val="18"/>
                <w:szCs w:val="18"/>
              </w:rPr>
              <w:t>+0,00175</w:t>
            </w:r>
          </w:p>
        </w:tc>
        <w:tc>
          <w:tcPr>
            <w:tcW w:w="1275" w:type="dxa"/>
          </w:tcPr>
          <w:p w14:paraId="5217001B" w14:textId="77777777" w:rsidR="005F0F9C" w:rsidRDefault="009748E1">
            <w:pPr>
              <w:rPr>
                <w:sz w:val="18"/>
                <w:szCs w:val="18"/>
              </w:rPr>
            </w:pPr>
            <w:r>
              <w:rPr>
                <w:sz w:val="18"/>
                <w:szCs w:val="18"/>
              </w:rPr>
              <w:t>262,46 USD</w:t>
            </w:r>
          </w:p>
        </w:tc>
        <w:tc>
          <w:tcPr>
            <w:tcW w:w="1245" w:type="dxa"/>
          </w:tcPr>
          <w:p w14:paraId="5217001C" w14:textId="77777777" w:rsidR="005F0F9C" w:rsidRDefault="009748E1">
            <w:pPr>
              <w:pBdr>
                <w:top w:val="nil"/>
                <w:left w:val="nil"/>
                <w:bottom w:val="nil"/>
                <w:right w:val="nil"/>
                <w:between w:val="nil"/>
              </w:pBdr>
              <w:jc w:val="both"/>
              <w:rPr>
                <w:color w:val="000000"/>
                <w:sz w:val="18"/>
                <w:szCs w:val="18"/>
              </w:rPr>
            </w:pPr>
            <w:r>
              <w:rPr>
                <w:color w:val="000000"/>
                <w:sz w:val="18"/>
                <w:szCs w:val="18"/>
              </w:rPr>
              <w:t>Ευνοϊκός</w:t>
            </w:r>
          </w:p>
        </w:tc>
        <w:tc>
          <w:tcPr>
            <w:tcW w:w="1320" w:type="dxa"/>
          </w:tcPr>
          <w:p w14:paraId="5217001D" w14:textId="77777777" w:rsidR="005F0F9C" w:rsidRDefault="009748E1">
            <w:pPr>
              <w:pBdr>
                <w:top w:val="nil"/>
                <w:left w:val="nil"/>
                <w:bottom w:val="nil"/>
                <w:right w:val="nil"/>
                <w:between w:val="nil"/>
              </w:pBdr>
              <w:jc w:val="both"/>
              <w:rPr>
                <w:color w:val="000000"/>
                <w:sz w:val="18"/>
                <w:szCs w:val="18"/>
              </w:rPr>
            </w:pPr>
            <w:r>
              <w:rPr>
                <w:color w:val="000000"/>
                <w:sz w:val="18"/>
                <w:szCs w:val="18"/>
              </w:rPr>
              <w:t>-0,18%</w:t>
            </w:r>
          </w:p>
        </w:tc>
        <w:tc>
          <w:tcPr>
            <w:tcW w:w="1170" w:type="dxa"/>
          </w:tcPr>
          <w:p w14:paraId="5217001E" w14:textId="77777777" w:rsidR="005F0F9C" w:rsidRDefault="009748E1">
            <w:pPr>
              <w:pBdr>
                <w:top w:val="nil"/>
                <w:left w:val="nil"/>
                <w:bottom w:val="nil"/>
                <w:right w:val="nil"/>
                <w:between w:val="nil"/>
              </w:pBdr>
              <w:jc w:val="both"/>
              <w:rPr>
                <w:color w:val="000000"/>
                <w:sz w:val="18"/>
                <w:szCs w:val="18"/>
              </w:rPr>
            </w:pPr>
            <w:r>
              <w:rPr>
                <w:color w:val="000000"/>
                <w:sz w:val="18"/>
                <w:szCs w:val="18"/>
              </w:rPr>
              <w:t>-0,00175</w:t>
            </w:r>
          </w:p>
        </w:tc>
        <w:tc>
          <w:tcPr>
            <w:tcW w:w="1320" w:type="dxa"/>
          </w:tcPr>
          <w:p w14:paraId="5217001F" w14:textId="77777777" w:rsidR="005F0F9C" w:rsidRDefault="009748E1">
            <w:pPr>
              <w:rPr>
                <w:sz w:val="18"/>
                <w:szCs w:val="18"/>
              </w:rPr>
            </w:pPr>
            <w:r>
              <w:rPr>
                <w:sz w:val="18"/>
                <w:szCs w:val="18"/>
              </w:rPr>
              <w:t>+262,46 USD</w:t>
            </w:r>
          </w:p>
        </w:tc>
      </w:tr>
      <w:tr w:rsidR="005F0F9C" w14:paraId="52170029" w14:textId="77777777" w:rsidTr="009F2611">
        <w:trPr>
          <w:cnfStyle w:val="000000100000" w:firstRow="0" w:lastRow="0" w:firstColumn="0" w:lastColumn="0" w:oddVBand="0" w:evenVBand="0" w:oddHBand="1" w:evenHBand="0" w:firstRowFirstColumn="0" w:firstRowLastColumn="0" w:lastRowFirstColumn="0" w:lastRowLastColumn="0"/>
        </w:trPr>
        <w:tc>
          <w:tcPr>
            <w:tcW w:w="1350" w:type="dxa"/>
          </w:tcPr>
          <w:p w14:paraId="52170021" w14:textId="77777777" w:rsidR="005F0F9C" w:rsidRDefault="009748E1">
            <w:pPr>
              <w:pBdr>
                <w:top w:val="nil"/>
                <w:left w:val="nil"/>
                <w:bottom w:val="nil"/>
                <w:right w:val="nil"/>
                <w:between w:val="nil"/>
              </w:pBdr>
              <w:jc w:val="both"/>
              <w:rPr>
                <w:color w:val="000000"/>
                <w:sz w:val="20"/>
                <w:szCs w:val="20"/>
              </w:rPr>
            </w:pPr>
            <w:r>
              <w:rPr>
                <w:color w:val="000000"/>
                <w:sz w:val="20"/>
                <w:szCs w:val="20"/>
              </w:rPr>
              <w:t>Μέτριος</w:t>
            </w:r>
          </w:p>
        </w:tc>
        <w:tc>
          <w:tcPr>
            <w:tcW w:w="1350" w:type="dxa"/>
          </w:tcPr>
          <w:p w14:paraId="52170022" w14:textId="77777777" w:rsidR="005F0F9C" w:rsidRDefault="009748E1">
            <w:pPr>
              <w:pBdr>
                <w:top w:val="nil"/>
                <w:left w:val="nil"/>
                <w:bottom w:val="nil"/>
                <w:right w:val="nil"/>
                <w:between w:val="nil"/>
              </w:pBdr>
              <w:jc w:val="both"/>
              <w:rPr>
                <w:color w:val="000000"/>
                <w:sz w:val="18"/>
                <w:szCs w:val="18"/>
              </w:rPr>
            </w:pPr>
            <w:r>
              <w:rPr>
                <w:color w:val="000000"/>
                <w:sz w:val="18"/>
                <w:szCs w:val="18"/>
              </w:rPr>
              <w:t>0,01%</w:t>
            </w:r>
          </w:p>
        </w:tc>
        <w:tc>
          <w:tcPr>
            <w:tcW w:w="1230" w:type="dxa"/>
          </w:tcPr>
          <w:p w14:paraId="52170023" w14:textId="77777777" w:rsidR="005F0F9C" w:rsidRDefault="009748E1">
            <w:pPr>
              <w:pBdr>
                <w:top w:val="nil"/>
                <w:left w:val="nil"/>
                <w:bottom w:val="nil"/>
                <w:right w:val="nil"/>
                <w:between w:val="nil"/>
              </w:pBdr>
              <w:jc w:val="both"/>
              <w:rPr>
                <w:color w:val="000000"/>
                <w:sz w:val="18"/>
                <w:szCs w:val="18"/>
              </w:rPr>
            </w:pPr>
            <w:r>
              <w:rPr>
                <w:color w:val="000000"/>
                <w:sz w:val="18"/>
                <w:szCs w:val="18"/>
              </w:rPr>
              <w:t>+0,00012</w:t>
            </w:r>
          </w:p>
        </w:tc>
        <w:tc>
          <w:tcPr>
            <w:tcW w:w="1275" w:type="dxa"/>
          </w:tcPr>
          <w:p w14:paraId="52170024" w14:textId="77777777" w:rsidR="005F0F9C" w:rsidRDefault="009748E1">
            <w:pPr>
              <w:rPr>
                <w:sz w:val="18"/>
                <w:szCs w:val="18"/>
              </w:rPr>
            </w:pPr>
            <w:r>
              <w:rPr>
                <w:sz w:val="18"/>
                <w:szCs w:val="18"/>
              </w:rPr>
              <w:t>17,50 USD</w:t>
            </w:r>
          </w:p>
        </w:tc>
        <w:tc>
          <w:tcPr>
            <w:tcW w:w="1245" w:type="dxa"/>
          </w:tcPr>
          <w:p w14:paraId="52170025" w14:textId="77777777" w:rsidR="005F0F9C" w:rsidRDefault="009748E1">
            <w:pPr>
              <w:pBdr>
                <w:top w:val="nil"/>
                <w:left w:val="nil"/>
                <w:bottom w:val="nil"/>
                <w:right w:val="nil"/>
                <w:between w:val="nil"/>
              </w:pBdr>
              <w:jc w:val="both"/>
              <w:rPr>
                <w:color w:val="000000"/>
                <w:sz w:val="18"/>
                <w:szCs w:val="18"/>
              </w:rPr>
            </w:pPr>
            <w:r>
              <w:rPr>
                <w:color w:val="000000"/>
                <w:sz w:val="18"/>
                <w:szCs w:val="18"/>
              </w:rPr>
              <w:t>Μέτριος</w:t>
            </w:r>
          </w:p>
        </w:tc>
        <w:tc>
          <w:tcPr>
            <w:tcW w:w="1320" w:type="dxa"/>
          </w:tcPr>
          <w:p w14:paraId="52170026" w14:textId="77777777" w:rsidR="005F0F9C" w:rsidRDefault="009748E1">
            <w:pPr>
              <w:pBdr>
                <w:top w:val="nil"/>
                <w:left w:val="nil"/>
                <w:bottom w:val="nil"/>
                <w:right w:val="nil"/>
                <w:between w:val="nil"/>
              </w:pBdr>
              <w:jc w:val="both"/>
              <w:rPr>
                <w:color w:val="000000"/>
                <w:sz w:val="18"/>
                <w:szCs w:val="18"/>
              </w:rPr>
            </w:pPr>
            <w:r>
              <w:rPr>
                <w:color w:val="000000"/>
                <w:sz w:val="18"/>
                <w:szCs w:val="18"/>
              </w:rPr>
              <w:t>-0,01%</w:t>
            </w:r>
          </w:p>
        </w:tc>
        <w:tc>
          <w:tcPr>
            <w:tcW w:w="1170" w:type="dxa"/>
          </w:tcPr>
          <w:p w14:paraId="52170027" w14:textId="77777777" w:rsidR="005F0F9C" w:rsidRDefault="009748E1">
            <w:pPr>
              <w:pBdr>
                <w:top w:val="nil"/>
                <w:left w:val="nil"/>
                <w:bottom w:val="nil"/>
                <w:right w:val="nil"/>
                <w:between w:val="nil"/>
              </w:pBdr>
              <w:jc w:val="both"/>
              <w:rPr>
                <w:color w:val="000000"/>
                <w:sz w:val="18"/>
                <w:szCs w:val="18"/>
              </w:rPr>
            </w:pPr>
            <w:r>
              <w:rPr>
                <w:color w:val="000000"/>
                <w:sz w:val="18"/>
                <w:szCs w:val="18"/>
              </w:rPr>
              <w:t>-0,00012</w:t>
            </w:r>
          </w:p>
        </w:tc>
        <w:tc>
          <w:tcPr>
            <w:tcW w:w="1320" w:type="dxa"/>
          </w:tcPr>
          <w:p w14:paraId="52170028" w14:textId="77777777" w:rsidR="005F0F9C" w:rsidRDefault="009748E1">
            <w:pPr>
              <w:rPr>
                <w:sz w:val="18"/>
                <w:szCs w:val="18"/>
              </w:rPr>
            </w:pPr>
            <w:r>
              <w:rPr>
                <w:sz w:val="18"/>
                <w:szCs w:val="18"/>
              </w:rPr>
              <w:t>+17,50 USD</w:t>
            </w:r>
          </w:p>
        </w:tc>
      </w:tr>
      <w:tr w:rsidR="005F0F9C" w14:paraId="52170032" w14:textId="77777777" w:rsidTr="009F2611">
        <w:tc>
          <w:tcPr>
            <w:tcW w:w="1350" w:type="dxa"/>
          </w:tcPr>
          <w:p w14:paraId="5217002A" w14:textId="77777777" w:rsidR="005F0F9C" w:rsidRDefault="009748E1">
            <w:pPr>
              <w:pBdr>
                <w:top w:val="nil"/>
                <w:left w:val="nil"/>
                <w:bottom w:val="nil"/>
                <w:right w:val="nil"/>
                <w:between w:val="nil"/>
              </w:pBdr>
              <w:jc w:val="both"/>
              <w:rPr>
                <w:color w:val="000000"/>
                <w:sz w:val="20"/>
                <w:szCs w:val="20"/>
              </w:rPr>
            </w:pPr>
            <w:r>
              <w:rPr>
                <w:color w:val="000000"/>
                <w:sz w:val="20"/>
                <w:szCs w:val="20"/>
              </w:rPr>
              <w:t>Δυσμενής</w:t>
            </w:r>
          </w:p>
        </w:tc>
        <w:tc>
          <w:tcPr>
            <w:tcW w:w="1350" w:type="dxa"/>
          </w:tcPr>
          <w:p w14:paraId="5217002B" w14:textId="77777777" w:rsidR="005F0F9C" w:rsidRDefault="009748E1">
            <w:pPr>
              <w:pBdr>
                <w:top w:val="nil"/>
                <w:left w:val="nil"/>
                <w:bottom w:val="nil"/>
                <w:right w:val="nil"/>
                <w:between w:val="nil"/>
              </w:pBdr>
              <w:jc w:val="both"/>
              <w:rPr>
                <w:color w:val="000000"/>
                <w:sz w:val="18"/>
                <w:szCs w:val="18"/>
              </w:rPr>
            </w:pPr>
            <w:r>
              <w:rPr>
                <w:color w:val="000000"/>
                <w:sz w:val="18"/>
                <w:szCs w:val="18"/>
              </w:rPr>
              <w:t>-0,05%</w:t>
            </w:r>
          </w:p>
        </w:tc>
        <w:tc>
          <w:tcPr>
            <w:tcW w:w="1230" w:type="dxa"/>
          </w:tcPr>
          <w:p w14:paraId="5217002C" w14:textId="77777777" w:rsidR="005F0F9C" w:rsidRDefault="009748E1">
            <w:pPr>
              <w:pBdr>
                <w:top w:val="nil"/>
                <w:left w:val="nil"/>
                <w:bottom w:val="nil"/>
                <w:right w:val="nil"/>
                <w:between w:val="nil"/>
              </w:pBdr>
              <w:jc w:val="both"/>
              <w:rPr>
                <w:color w:val="000000"/>
                <w:sz w:val="18"/>
                <w:szCs w:val="18"/>
              </w:rPr>
            </w:pPr>
            <w:r>
              <w:rPr>
                <w:color w:val="000000"/>
                <w:sz w:val="18"/>
                <w:szCs w:val="18"/>
              </w:rPr>
              <w:t>-0,00058</w:t>
            </w:r>
          </w:p>
        </w:tc>
        <w:tc>
          <w:tcPr>
            <w:tcW w:w="1275" w:type="dxa"/>
          </w:tcPr>
          <w:p w14:paraId="5217002D" w14:textId="77777777" w:rsidR="005F0F9C" w:rsidRDefault="009748E1">
            <w:pPr>
              <w:rPr>
                <w:sz w:val="18"/>
                <w:szCs w:val="18"/>
              </w:rPr>
            </w:pPr>
            <w:r>
              <w:rPr>
                <w:sz w:val="18"/>
                <w:szCs w:val="18"/>
              </w:rPr>
              <w:t>-87,49 USD</w:t>
            </w:r>
          </w:p>
        </w:tc>
        <w:tc>
          <w:tcPr>
            <w:tcW w:w="1245" w:type="dxa"/>
          </w:tcPr>
          <w:p w14:paraId="5217002E" w14:textId="77777777" w:rsidR="005F0F9C" w:rsidRDefault="009748E1">
            <w:pPr>
              <w:pBdr>
                <w:top w:val="nil"/>
                <w:left w:val="nil"/>
                <w:bottom w:val="nil"/>
                <w:right w:val="nil"/>
                <w:between w:val="nil"/>
              </w:pBdr>
              <w:jc w:val="both"/>
              <w:rPr>
                <w:color w:val="000000"/>
                <w:sz w:val="18"/>
                <w:szCs w:val="18"/>
              </w:rPr>
            </w:pPr>
            <w:r>
              <w:rPr>
                <w:color w:val="000000"/>
                <w:sz w:val="18"/>
                <w:szCs w:val="18"/>
              </w:rPr>
              <w:t>Δυσμενής</w:t>
            </w:r>
          </w:p>
        </w:tc>
        <w:tc>
          <w:tcPr>
            <w:tcW w:w="1320" w:type="dxa"/>
          </w:tcPr>
          <w:p w14:paraId="5217002F" w14:textId="77777777" w:rsidR="005F0F9C" w:rsidRDefault="009748E1">
            <w:pPr>
              <w:pBdr>
                <w:top w:val="nil"/>
                <w:left w:val="nil"/>
                <w:bottom w:val="nil"/>
                <w:right w:val="nil"/>
                <w:between w:val="nil"/>
              </w:pBdr>
              <w:jc w:val="both"/>
              <w:rPr>
                <w:color w:val="000000"/>
                <w:sz w:val="18"/>
                <w:szCs w:val="18"/>
              </w:rPr>
            </w:pPr>
            <w:r>
              <w:rPr>
                <w:color w:val="000000"/>
                <w:sz w:val="18"/>
                <w:szCs w:val="18"/>
              </w:rPr>
              <w:t>0,2%</w:t>
            </w:r>
          </w:p>
        </w:tc>
        <w:tc>
          <w:tcPr>
            <w:tcW w:w="1170" w:type="dxa"/>
          </w:tcPr>
          <w:p w14:paraId="52170030" w14:textId="77777777" w:rsidR="005F0F9C" w:rsidRDefault="009748E1">
            <w:pPr>
              <w:pBdr>
                <w:top w:val="nil"/>
                <w:left w:val="nil"/>
                <w:bottom w:val="nil"/>
                <w:right w:val="nil"/>
                <w:between w:val="nil"/>
              </w:pBdr>
              <w:jc w:val="both"/>
              <w:rPr>
                <w:color w:val="000000"/>
                <w:sz w:val="18"/>
                <w:szCs w:val="18"/>
              </w:rPr>
            </w:pPr>
            <w:r>
              <w:rPr>
                <w:color w:val="000000"/>
                <w:sz w:val="18"/>
                <w:szCs w:val="18"/>
              </w:rPr>
              <w:t>+0,00058</w:t>
            </w:r>
          </w:p>
        </w:tc>
        <w:tc>
          <w:tcPr>
            <w:tcW w:w="1320" w:type="dxa"/>
          </w:tcPr>
          <w:p w14:paraId="52170031" w14:textId="77777777" w:rsidR="005F0F9C" w:rsidRDefault="009748E1">
            <w:pPr>
              <w:rPr>
                <w:sz w:val="18"/>
                <w:szCs w:val="18"/>
              </w:rPr>
            </w:pPr>
            <w:r>
              <w:rPr>
                <w:sz w:val="18"/>
                <w:szCs w:val="18"/>
              </w:rPr>
              <w:t>-87,49 USD</w:t>
            </w:r>
          </w:p>
        </w:tc>
      </w:tr>
      <w:tr w:rsidR="005F0F9C" w14:paraId="5217003B" w14:textId="77777777" w:rsidTr="009F2611">
        <w:trPr>
          <w:cnfStyle w:val="000000100000" w:firstRow="0" w:lastRow="0" w:firstColumn="0" w:lastColumn="0" w:oddVBand="0" w:evenVBand="0" w:oddHBand="1" w:evenHBand="0" w:firstRowFirstColumn="0" w:firstRowLastColumn="0" w:lastRowFirstColumn="0" w:lastRowLastColumn="0"/>
        </w:trPr>
        <w:tc>
          <w:tcPr>
            <w:tcW w:w="1350" w:type="dxa"/>
          </w:tcPr>
          <w:p w14:paraId="52170033" w14:textId="77777777" w:rsidR="005F0F9C" w:rsidRDefault="009748E1">
            <w:pPr>
              <w:pBdr>
                <w:top w:val="nil"/>
                <w:left w:val="nil"/>
                <w:bottom w:val="nil"/>
                <w:right w:val="nil"/>
                <w:between w:val="nil"/>
              </w:pBdr>
              <w:jc w:val="both"/>
              <w:rPr>
                <w:color w:val="000000"/>
                <w:sz w:val="20"/>
                <w:szCs w:val="20"/>
              </w:rPr>
            </w:pPr>
            <w:r>
              <w:rPr>
                <w:color w:val="000000"/>
                <w:sz w:val="20"/>
                <w:szCs w:val="20"/>
              </w:rPr>
              <w:t>Στρες</w:t>
            </w:r>
          </w:p>
        </w:tc>
        <w:tc>
          <w:tcPr>
            <w:tcW w:w="1350" w:type="dxa"/>
          </w:tcPr>
          <w:p w14:paraId="52170034" w14:textId="77777777" w:rsidR="005F0F9C" w:rsidRDefault="009748E1">
            <w:pPr>
              <w:pBdr>
                <w:top w:val="nil"/>
                <w:left w:val="nil"/>
                <w:bottom w:val="nil"/>
                <w:right w:val="nil"/>
                <w:between w:val="nil"/>
              </w:pBdr>
              <w:jc w:val="both"/>
              <w:rPr>
                <w:color w:val="000000"/>
                <w:sz w:val="18"/>
                <w:szCs w:val="18"/>
              </w:rPr>
            </w:pPr>
            <w:r>
              <w:rPr>
                <w:color w:val="000000"/>
                <w:sz w:val="18"/>
                <w:szCs w:val="18"/>
              </w:rPr>
              <w:t>-0,17%</w:t>
            </w:r>
          </w:p>
        </w:tc>
        <w:tc>
          <w:tcPr>
            <w:tcW w:w="1230" w:type="dxa"/>
          </w:tcPr>
          <w:p w14:paraId="52170035" w14:textId="77777777" w:rsidR="005F0F9C" w:rsidRDefault="009748E1">
            <w:pPr>
              <w:pBdr>
                <w:top w:val="nil"/>
                <w:left w:val="nil"/>
                <w:bottom w:val="nil"/>
                <w:right w:val="nil"/>
                <w:between w:val="nil"/>
              </w:pBdr>
              <w:jc w:val="both"/>
              <w:rPr>
                <w:color w:val="000000"/>
                <w:sz w:val="18"/>
                <w:szCs w:val="18"/>
              </w:rPr>
            </w:pPr>
            <w:r>
              <w:rPr>
                <w:color w:val="000000"/>
                <w:sz w:val="18"/>
                <w:szCs w:val="18"/>
              </w:rPr>
              <w:t>-0,00198</w:t>
            </w:r>
          </w:p>
        </w:tc>
        <w:tc>
          <w:tcPr>
            <w:tcW w:w="1275" w:type="dxa"/>
          </w:tcPr>
          <w:p w14:paraId="52170036" w14:textId="77777777" w:rsidR="005F0F9C" w:rsidRDefault="009748E1">
            <w:pPr>
              <w:rPr>
                <w:sz w:val="18"/>
                <w:szCs w:val="18"/>
              </w:rPr>
            </w:pPr>
            <w:r>
              <w:rPr>
                <w:sz w:val="18"/>
                <w:szCs w:val="18"/>
              </w:rPr>
              <w:t>-297,46 USD</w:t>
            </w:r>
          </w:p>
        </w:tc>
        <w:tc>
          <w:tcPr>
            <w:tcW w:w="1245" w:type="dxa"/>
          </w:tcPr>
          <w:p w14:paraId="52170037" w14:textId="77777777" w:rsidR="005F0F9C" w:rsidRDefault="009748E1">
            <w:pPr>
              <w:pBdr>
                <w:top w:val="nil"/>
                <w:left w:val="nil"/>
                <w:bottom w:val="nil"/>
                <w:right w:val="nil"/>
                <w:between w:val="nil"/>
              </w:pBdr>
              <w:jc w:val="both"/>
              <w:rPr>
                <w:color w:val="000000"/>
                <w:sz w:val="18"/>
                <w:szCs w:val="18"/>
              </w:rPr>
            </w:pPr>
            <w:r>
              <w:rPr>
                <w:color w:val="000000"/>
                <w:sz w:val="18"/>
                <w:szCs w:val="18"/>
              </w:rPr>
              <w:t>Στρες</w:t>
            </w:r>
          </w:p>
        </w:tc>
        <w:tc>
          <w:tcPr>
            <w:tcW w:w="1320" w:type="dxa"/>
          </w:tcPr>
          <w:p w14:paraId="52170038" w14:textId="77777777" w:rsidR="005F0F9C" w:rsidRDefault="009748E1">
            <w:pPr>
              <w:pBdr>
                <w:top w:val="nil"/>
                <w:left w:val="nil"/>
                <w:bottom w:val="nil"/>
                <w:right w:val="nil"/>
                <w:between w:val="nil"/>
              </w:pBdr>
              <w:jc w:val="both"/>
              <w:rPr>
                <w:color w:val="000000"/>
                <w:sz w:val="18"/>
                <w:szCs w:val="18"/>
              </w:rPr>
            </w:pPr>
            <w:r>
              <w:rPr>
                <w:color w:val="000000"/>
                <w:sz w:val="18"/>
                <w:szCs w:val="18"/>
              </w:rPr>
              <w:t>0,17%</w:t>
            </w:r>
          </w:p>
        </w:tc>
        <w:tc>
          <w:tcPr>
            <w:tcW w:w="1170" w:type="dxa"/>
          </w:tcPr>
          <w:p w14:paraId="52170039" w14:textId="77777777" w:rsidR="005F0F9C" w:rsidRDefault="009748E1">
            <w:pPr>
              <w:pBdr>
                <w:top w:val="nil"/>
                <w:left w:val="nil"/>
                <w:bottom w:val="nil"/>
                <w:right w:val="nil"/>
                <w:between w:val="nil"/>
              </w:pBdr>
              <w:jc w:val="both"/>
              <w:rPr>
                <w:color w:val="000000"/>
                <w:sz w:val="18"/>
                <w:szCs w:val="18"/>
              </w:rPr>
            </w:pPr>
            <w:r>
              <w:rPr>
                <w:color w:val="000000"/>
                <w:sz w:val="18"/>
                <w:szCs w:val="18"/>
              </w:rPr>
              <w:t>+0,00198</w:t>
            </w:r>
          </w:p>
        </w:tc>
        <w:tc>
          <w:tcPr>
            <w:tcW w:w="1320" w:type="dxa"/>
          </w:tcPr>
          <w:p w14:paraId="5217003A" w14:textId="77777777" w:rsidR="005F0F9C" w:rsidRDefault="009748E1">
            <w:pPr>
              <w:rPr>
                <w:sz w:val="18"/>
                <w:szCs w:val="18"/>
              </w:rPr>
            </w:pPr>
            <w:r>
              <w:rPr>
                <w:sz w:val="18"/>
                <w:szCs w:val="18"/>
              </w:rPr>
              <w:t>-297,46 USD</w:t>
            </w:r>
          </w:p>
        </w:tc>
      </w:tr>
    </w:tbl>
    <w:p w14:paraId="5217003C" w14:textId="77777777" w:rsidR="005F0F9C" w:rsidRDefault="005F0F9C">
      <w:pPr>
        <w:jc w:val="both"/>
        <w:rPr>
          <w:b/>
          <w:i/>
          <w:color w:val="000000"/>
          <w:sz w:val="2"/>
          <w:szCs w:val="2"/>
        </w:rPr>
      </w:pPr>
    </w:p>
    <w:p w14:paraId="5217003D" w14:textId="77777777" w:rsidR="005F0F9C" w:rsidRDefault="009748E1">
      <w:pPr>
        <w:shd w:val="clear" w:color="auto" w:fill="BFBFBF"/>
        <w:jc w:val="both"/>
        <w:rPr>
          <w:b/>
          <w:color w:val="000000"/>
          <w:sz w:val="20"/>
          <w:szCs w:val="20"/>
        </w:rPr>
      </w:pPr>
      <w:r>
        <w:rPr>
          <w:b/>
          <w:color w:val="000000"/>
          <w:sz w:val="20"/>
          <w:szCs w:val="20"/>
        </w:rPr>
        <w:t>Χρεώσεις/Τέλη συναλλαγών</w:t>
      </w:r>
    </w:p>
    <w:p w14:paraId="5217003E" w14:textId="77777777" w:rsidR="005F0F9C" w:rsidRDefault="009748E1">
      <w:pPr>
        <w:jc w:val="both"/>
        <w:rPr>
          <w:color w:val="000000"/>
          <w:sz w:val="20"/>
          <w:szCs w:val="20"/>
        </w:rPr>
      </w:pPr>
      <w:r>
        <w:rPr>
          <w:color w:val="000000"/>
          <w:sz w:val="20"/>
          <w:szCs w:val="20"/>
        </w:rPr>
        <w:t>Πριν ξεκινήσετε τις συναλλαγές CFD σε ένα ζεύγος FX, θα πρέπει να εξοικειωθείτε με όλα τα κόστη που σχετίζονται με τις συναλλαγές. Αυτές οι χρεώσεις θα μειώσουν τα καθαρά κέρδη ή θα αυξήσουν τις ζημιές σας. Περισσότερες πληροφορίες μπορείτε να βρείτε στον ιστότοπο ή/και στην πλατφόρμα μας.</w:t>
      </w:r>
    </w:p>
    <w:tbl>
      <w:tblPr>
        <w:tblStyle w:val="ListTable6Colorful-Accent2"/>
        <w:tblW w:w="9841" w:type="dxa"/>
        <w:tblLayout w:type="fixed"/>
        <w:tblLook w:val="0400" w:firstRow="0" w:lastRow="0" w:firstColumn="0" w:lastColumn="0" w:noHBand="0" w:noVBand="1"/>
      </w:tblPr>
      <w:tblGrid>
        <w:gridCol w:w="2034"/>
        <w:gridCol w:w="1955"/>
        <w:gridCol w:w="3140"/>
        <w:gridCol w:w="2712"/>
      </w:tblGrid>
      <w:tr w:rsidR="005F0F9C" w14:paraId="52170044" w14:textId="77777777" w:rsidTr="009F2611">
        <w:trPr>
          <w:cnfStyle w:val="000000100000" w:firstRow="0" w:lastRow="0" w:firstColumn="0" w:lastColumn="0" w:oddVBand="0" w:evenVBand="0" w:oddHBand="1" w:evenHBand="0" w:firstRowFirstColumn="0" w:firstRowLastColumn="0" w:lastRowFirstColumn="0" w:lastRowLastColumn="0"/>
          <w:trHeight w:val="984"/>
        </w:trPr>
        <w:tc>
          <w:tcPr>
            <w:tcW w:w="2034" w:type="dxa"/>
            <w:vMerge w:val="restart"/>
          </w:tcPr>
          <w:p w14:paraId="5217003F" w14:textId="77777777" w:rsidR="005F0F9C" w:rsidRDefault="009748E1">
            <w:pPr>
              <w:pBdr>
                <w:top w:val="nil"/>
                <w:left w:val="nil"/>
                <w:bottom w:val="nil"/>
                <w:right w:val="nil"/>
                <w:between w:val="nil"/>
              </w:pBdr>
              <w:jc w:val="center"/>
              <w:rPr>
                <w:b/>
                <w:color w:val="000000"/>
                <w:sz w:val="20"/>
                <w:szCs w:val="20"/>
              </w:rPr>
            </w:pPr>
            <w:r>
              <w:rPr>
                <w:b/>
                <w:color w:val="000000"/>
                <w:sz w:val="20"/>
                <w:szCs w:val="20"/>
              </w:rPr>
              <w:lastRenderedPageBreak/>
              <w:t>Εφάπαξ κόστος</w:t>
            </w:r>
          </w:p>
        </w:tc>
        <w:tc>
          <w:tcPr>
            <w:tcW w:w="1955" w:type="dxa"/>
          </w:tcPr>
          <w:p w14:paraId="52170040" w14:textId="77777777" w:rsidR="005F0F9C" w:rsidRDefault="009748E1">
            <w:pPr>
              <w:pBdr>
                <w:top w:val="nil"/>
                <w:left w:val="nil"/>
                <w:bottom w:val="nil"/>
                <w:right w:val="nil"/>
                <w:between w:val="nil"/>
              </w:pBdr>
              <w:jc w:val="both"/>
              <w:rPr>
                <w:color w:val="000000"/>
                <w:sz w:val="20"/>
                <w:szCs w:val="20"/>
              </w:rPr>
            </w:pPr>
            <w:r>
              <w:rPr>
                <w:sz w:val="20"/>
                <w:szCs w:val="20"/>
              </w:rPr>
              <w:t>Spread</w:t>
            </w:r>
          </w:p>
        </w:tc>
        <w:tc>
          <w:tcPr>
            <w:tcW w:w="3140" w:type="dxa"/>
          </w:tcPr>
          <w:p w14:paraId="52170041" w14:textId="77777777" w:rsidR="005F0F9C" w:rsidRDefault="009748E1">
            <w:pPr>
              <w:pBdr>
                <w:top w:val="nil"/>
                <w:left w:val="nil"/>
                <w:bottom w:val="nil"/>
                <w:right w:val="nil"/>
                <w:between w:val="nil"/>
              </w:pBdr>
              <w:jc w:val="both"/>
              <w:rPr>
                <w:color w:val="000000"/>
                <w:sz w:val="20"/>
                <w:szCs w:val="20"/>
              </w:rPr>
            </w:pPr>
            <w:r>
              <w:rPr>
                <w:color w:val="000000"/>
                <w:sz w:val="20"/>
                <w:szCs w:val="20"/>
              </w:rPr>
              <w:t>Η διαφορά μεταξύ της τιμής αγοράς και πώλησης ονομάζεται spread. Αυτό το κόστος πραγματοποιείται κάθε φορά που ανοίγετε και κλείνετε μια συναλλαγή.</w:t>
            </w:r>
          </w:p>
        </w:tc>
        <w:tc>
          <w:tcPr>
            <w:tcW w:w="2712" w:type="dxa"/>
          </w:tcPr>
          <w:p w14:paraId="52170042" w14:textId="111E7B26" w:rsidR="005F0F9C" w:rsidRPr="009F2611" w:rsidRDefault="00633841">
            <w:pPr>
              <w:pBdr>
                <w:top w:val="nil"/>
                <w:left w:val="nil"/>
                <w:bottom w:val="nil"/>
                <w:right w:val="nil"/>
                <w:between w:val="nil"/>
              </w:pBdr>
              <w:jc w:val="both"/>
              <w:rPr>
                <w:color w:val="004931"/>
              </w:rPr>
            </w:pPr>
            <w:hyperlink r:id="rId12" w:history="1">
              <w:r w:rsidRPr="009F2611">
                <w:rPr>
                  <w:rStyle w:val="Hyperlink"/>
                  <w:color w:val="004931"/>
                  <w:sz w:val="20"/>
                  <w:szCs w:val="20"/>
                </w:rPr>
                <w:t>www.</w:t>
              </w:r>
              <w:r w:rsidRPr="009F2611">
                <w:rPr>
                  <w:rStyle w:val="Hyperlink"/>
                  <w:color w:val="004931"/>
                  <w:sz w:val="20"/>
                  <w:szCs w:val="20"/>
                  <w:lang w:val="en-US"/>
                </w:rPr>
                <w:t>hmvest</w:t>
              </w:r>
              <w:r w:rsidRPr="009F2611">
                <w:rPr>
                  <w:rStyle w:val="Hyperlink"/>
                  <w:color w:val="004931"/>
                  <w:sz w:val="20"/>
                  <w:szCs w:val="20"/>
                </w:rPr>
                <w:t>.eu</w:t>
              </w:r>
            </w:hyperlink>
          </w:p>
          <w:p w14:paraId="52170043" w14:textId="77777777" w:rsidR="005F0F9C" w:rsidRDefault="005F0F9C">
            <w:pPr>
              <w:pBdr>
                <w:top w:val="nil"/>
                <w:left w:val="nil"/>
                <w:bottom w:val="nil"/>
                <w:right w:val="nil"/>
                <w:between w:val="nil"/>
              </w:pBdr>
              <w:jc w:val="both"/>
              <w:rPr>
                <w:color w:val="000000"/>
                <w:sz w:val="20"/>
                <w:szCs w:val="20"/>
              </w:rPr>
            </w:pPr>
          </w:p>
        </w:tc>
      </w:tr>
      <w:tr w:rsidR="005F0F9C" w14:paraId="52170049" w14:textId="77777777" w:rsidTr="009F2611">
        <w:trPr>
          <w:trHeight w:val="267"/>
        </w:trPr>
        <w:tc>
          <w:tcPr>
            <w:tcW w:w="2034" w:type="dxa"/>
            <w:vMerge/>
          </w:tcPr>
          <w:p w14:paraId="52170045" w14:textId="77777777" w:rsidR="005F0F9C" w:rsidRDefault="005F0F9C">
            <w:pPr>
              <w:widowControl w:val="0"/>
              <w:pBdr>
                <w:top w:val="nil"/>
                <w:left w:val="nil"/>
                <w:bottom w:val="nil"/>
                <w:right w:val="nil"/>
                <w:between w:val="nil"/>
              </w:pBdr>
              <w:spacing w:line="276" w:lineRule="auto"/>
              <w:rPr>
                <w:color w:val="000000"/>
                <w:sz w:val="20"/>
                <w:szCs w:val="20"/>
              </w:rPr>
            </w:pPr>
          </w:p>
        </w:tc>
        <w:tc>
          <w:tcPr>
            <w:tcW w:w="1955" w:type="dxa"/>
          </w:tcPr>
          <w:p w14:paraId="52170046" w14:textId="77777777" w:rsidR="005F0F9C" w:rsidRDefault="009748E1">
            <w:pPr>
              <w:rPr>
                <w:color w:val="000000"/>
                <w:sz w:val="20"/>
                <w:szCs w:val="20"/>
              </w:rPr>
            </w:pPr>
            <w:r>
              <w:rPr>
                <w:sz w:val="20"/>
                <w:szCs w:val="20"/>
              </w:rPr>
              <w:t>Προμήθειες</w:t>
            </w:r>
          </w:p>
        </w:tc>
        <w:tc>
          <w:tcPr>
            <w:tcW w:w="3140" w:type="dxa"/>
          </w:tcPr>
          <w:p w14:paraId="52170047" w14:textId="77777777" w:rsidR="005F0F9C" w:rsidRDefault="009748E1">
            <w:pPr>
              <w:pBdr>
                <w:top w:val="nil"/>
                <w:left w:val="nil"/>
                <w:bottom w:val="nil"/>
                <w:right w:val="nil"/>
                <w:between w:val="nil"/>
              </w:pBdr>
              <w:jc w:val="both"/>
              <w:rPr>
                <w:color w:val="000000"/>
                <w:sz w:val="20"/>
                <w:szCs w:val="20"/>
              </w:rPr>
            </w:pPr>
            <w:r>
              <w:rPr>
                <w:color w:val="000000"/>
                <w:sz w:val="20"/>
                <w:szCs w:val="20"/>
              </w:rPr>
              <w:t>Αυτή είναι μια προμήθεια που χρεώνεται όταν αγοράζετε ή πουλάτε ένα CFD σε ένα ζεύγος FX με βάση την πλασματική αξία της συναλλαγής.</w:t>
            </w:r>
          </w:p>
        </w:tc>
        <w:tc>
          <w:tcPr>
            <w:tcW w:w="2712" w:type="dxa"/>
          </w:tcPr>
          <w:p w14:paraId="52170048" w14:textId="7C23D8A3" w:rsidR="005F0F9C" w:rsidRDefault="00633841">
            <w:pPr>
              <w:pBdr>
                <w:top w:val="nil"/>
                <w:left w:val="nil"/>
                <w:bottom w:val="nil"/>
                <w:right w:val="nil"/>
                <w:between w:val="nil"/>
              </w:pBdr>
              <w:jc w:val="both"/>
              <w:rPr>
                <w:color w:val="0000FF"/>
                <w:u w:val="single"/>
              </w:rPr>
            </w:pPr>
            <w:hyperlink r:id="rId13" w:history="1">
              <w:r w:rsidRPr="009F2611">
                <w:rPr>
                  <w:rStyle w:val="Hyperlink"/>
                  <w:color w:val="004931"/>
                  <w:sz w:val="20"/>
                  <w:szCs w:val="20"/>
                </w:rPr>
                <w:t>www.</w:t>
              </w:r>
              <w:r w:rsidRPr="009F2611">
                <w:rPr>
                  <w:rStyle w:val="Hyperlink"/>
                  <w:color w:val="004931"/>
                  <w:sz w:val="20"/>
                  <w:szCs w:val="20"/>
                  <w:lang w:val="en-US"/>
                </w:rPr>
                <w:t>hmvest</w:t>
              </w:r>
              <w:r w:rsidRPr="009F2611">
                <w:rPr>
                  <w:rStyle w:val="Hyperlink"/>
                  <w:color w:val="004931"/>
                  <w:sz w:val="20"/>
                  <w:szCs w:val="20"/>
                </w:rPr>
                <w:t>.eu</w:t>
              </w:r>
            </w:hyperlink>
          </w:p>
        </w:tc>
      </w:tr>
      <w:tr w:rsidR="005F0F9C" w14:paraId="5217004E" w14:textId="77777777" w:rsidTr="009F2611">
        <w:trPr>
          <w:cnfStyle w:val="000000100000" w:firstRow="0" w:lastRow="0" w:firstColumn="0" w:lastColumn="0" w:oddVBand="0" w:evenVBand="0" w:oddHBand="1" w:evenHBand="0" w:firstRowFirstColumn="0" w:firstRowLastColumn="0" w:lastRowFirstColumn="0" w:lastRowLastColumn="0"/>
          <w:trHeight w:val="254"/>
        </w:trPr>
        <w:tc>
          <w:tcPr>
            <w:tcW w:w="2034" w:type="dxa"/>
          </w:tcPr>
          <w:p w14:paraId="5217004A" w14:textId="77777777" w:rsidR="005F0F9C" w:rsidRDefault="009748E1">
            <w:pPr>
              <w:pBdr>
                <w:top w:val="nil"/>
                <w:left w:val="nil"/>
                <w:bottom w:val="nil"/>
                <w:right w:val="nil"/>
                <w:between w:val="nil"/>
              </w:pBdr>
              <w:jc w:val="center"/>
              <w:rPr>
                <w:b/>
                <w:color w:val="000000"/>
                <w:sz w:val="20"/>
                <w:szCs w:val="20"/>
              </w:rPr>
            </w:pPr>
            <w:r>
              <w:rPr>
                <w:b/>
                <w:color w:val="000000"/>
                <w:sz w:val="20"/>
                <w:szCs w:val="20"/>
              </w:rPr>
              <w:t>Συνεχές κόστος</w:t>
            </w:r>
          </w:p>
        </w:tc>
        <w:tc>
          <w:tcPr>
            <w:tcW w:w="1955" w:type="dxa"/>
          </w:tcPr>
          <w:p w14:paraId="5217004B" w14:textId="77777777" w:rsidR="005F0F9C" w:rsidRDefault="009748E1">
            <w:pPr>
              <w:pBdr>
                <w:top w:val="nil"/>
                <w:left w:val="nil"/>
                <w:bottom w:val="nil"/>
                <w:right w:val="nil"/>
                <w:between w:val="nil"/>
              </w:pBdr>
              <w:jc w:val="both"/>
              <w:rPr>
                <w:color w:val="000000"/>
                <w:sz w:val="20"/>
                <w:szCs w:val="20"/>
              </w:rPr>
            </w:pPr>
            <w:r>
              <w:rPr>
                <w:color w:val="000000"/>
                <w:sz w:val="20"/>
                <w:szCs w:val="20"/>
              </w:rPr>
              <w:t>Κόστος χρηματοδότησης (ανταλλάγματα)</w:t>
            </w:r>
          </w:p>
        </w:tc>
        <w:tc>
          <w:tcPr>
            <w:tcW w:w="3140" w:type="dxa"/>
          </w:tcPr>
          <w:p w14:paraId="5217004C" w14:textId="77777777" w:rsidR="005F0F9C" w:rsidRDefault="009748E1">
            <w:pPr>
              <w:pBdr>
                <w:top w:val="nil"/>
                <w:left w:val="nil"/>
                <w:bottom w:val="nil"/>
                <w:right w:val="nil"/>
                <w:between w:val="nil"/>
              </w:pBdr>
              <w:jc w:val="both"/>
              <w:rPr>
                <w:color w:val="000000"/>
                <w:sz w:val="20"/>
                <w:szCs w:val="20"/>
              </w:rPr>
            </w:pPr>
            <w:r>
              <w:rPr>
                <w:color w:val="000000"/>
                <w:sz w:val="20"/>
                <w:szCs w:val="20"/>
              </w:rPr>
              <w:t>Μια χρέωση χρεώνεται στον λογαριασμό σας για κάθε νύχτα που κρατάτε τη θέση σας. Αυτό σημαίνει ότι όσο περισσότερο κρατάτε μια θέση, τόσο περισσότερο κοστίζει.</w:t>
            </w:r>
          </w:p>
        </w:tc>
        <w:tc>
          <w:tcPr>
            <w:tcW w:w="2712" w:type="dxa"/>
          </w:tcPr>
          <w:p w14:paraId="5217004D" w14:textId="50083254" w:rsidR="005F0F9C" w:rsidRDefault="009748E1">
            <w:pPr>
              <w:pBdr>
                <w:top w:val="nil"/>
                <w:left w:val="nil"/>
                <w:bottom w:val="nil"/>
                <w:right w:val="nil"/>
                <w:between w:val="nil"/>
              </w:pBdr>
              <w:jc w:val="both"/>
              <w:rPr>
                <w:color w:val="0000FF"/>
                <w:u w:val="single"/>
              </w:rPr>
            </w:pPr>
            <w:hyperlink r:id="rId14" w:history="1">
              <w:r w:rsidRPr="009F2611">
                <w:rPr>
                  <w:rStyle w:val="Hyperlink"/>
                  <w:color w:val="004931"/>
                  <w:sz w:val="20"/>
                  <w:szCs w:val="20"/>
                </w:rPr>
                <w:t>www.</w:t>
              </w:r>
              <w:r w:rsidRPr="009F2611">
                <w:rPr>
                  <w:rStyle w:val="Hyperlink"/>
                  <w:color w:val="004931"/>
                  <w:sz w:val="20"/>
                  <w:szCs w:val="20"/>
                  <w:lang w:val="en-US"/>
                </w:rPr>
                <w:t>hmvest</w:t>
              </w:r>
              <w:r w:rsidRPr="009F2611">
                <w:rPr>
                  <w:rStyle w:val="Hyperlink"/>
                  <w:color w:val="004931"/>
                  <w:sz w:val="20"/>
                  <w:szCs w:val="20"/>
                </w:rPr>
                <w:t>.eu</w:t>
              </w:r>
            </w:hyperlink>
          </w:p>
        </w:tc>
      </w:tr>
    </w:tbl>
    <w:p w14:paraId="5217004F" w14:textId="77777777" w:rsidR="005F0F9C" w:rsidRDefault="009748E1">
      <w:pPr>
        <w:shd w:val="clear" w:color="auto" w:fill="BFBFBF"/>
        <w:jc w:val="both"/>
        <w:rPr>
          <w:b/>
          <w:sz w:val="20"/>
          <w:szCs w:val="20"/>
        </w:rPr>
      </w:pPr>
      <w:r>
        <w:rPr>
          <w:b/>
          <w:sz w:val="20"/>
          <w:szCs w:val="20"/>
        </w:rPr>
        <w:t>Πόσο καιρό πρέπει να το κρατήσω και μπορώ να βγάλω χρήματα νωρίτερα;</w:t>
      </w:r>
    </w:p>
    <w:p w14:paraId="52170050" w14:textId="77777777" w:rsidR="005F0F9C" w:rsidRDefault="009748E1">
      <w:pPr>
        <w:jc w:val="both"/>
        <w:rPr>
          <w:sz w:val="20"/>
          <w:szCs w:val="20"/>
        </w:rPr>
      </w:pPr>
      <w:r>
        <w:rPr>
          <w:sz w:val="20"/>
          <w:szCs w:val="20"/>
        </w:rPr>
        <w:t>Δεν υπάρχει συνιστώμενη περίοδος κράτησης, περίοδος ακύρωσης και επομένως δεν υπάρχουν χρεώσεις ακύρωσης. Μπορείτε να ανοίξετε και να κλείσετε ένα CFD ανά πάσα στιγμή κατά τις ώρες της αγοράς.</w:t>
      </w:r>
    </w:p>
    <w:p w14:paraId="52170051" w14:textId="7149E385" w:rsidR="005F0F9C" w:rsidRDefault="009748E1">
      <w:pPr>
        <w:shd w:val="clear" w:color="auto" w:fill="BFBFBF"/>
        <w:spacing w:after="0"/>
        <w:jc w:val="both"/>
        <w:rPr>
          <w:b/>
          <w:sz w:val="20"/>
          <w:szCs w:val="20"/>
        </w:rPr>
      </w:pPr>
      <w:r>
        <w:rPr>
          <w:b/>
          <w:sz w:val="20"/>
          <w:szCs w:val="20"/>
        </w:rPr>
        <w:t xml:space="preserve">Τι συμβαίνει εάν η </w:t>
      </w:r>
      <w:r w:rsidR="00057F5F" w:rsidRPr="00057F5F">
        <w:rPr>
          <w:b/>
          <w:sz w:val="20"/>
          <w:szCs w:val="20"/>
        </w:rPr>
        <w:t xml:space="preserve">HARMOVEST CAPITAL (CYPRUS) LTD </w:t>
      </w:r>
      <w:r>
        <w:rPr>
          <w:b/>
          <w:sz w:val="20"/>
          <w:szCs w:val="20"/>
        </w:rPr>
        <w:t>δεν είναι σε θέση να πληρώσει;</w:t>
      </w:r>
    </w:p>
    <w:p w14:paraId="52170052" w14:textId="77777777" w:rsidR="005F0F9C" w:rsidRDefault="009748E1">
      <w:pPr>
        <w:spacing w:after="0"/>
        <w:jc w:val="both"/>
        <w:rPr>
          <w:sz w:val="20"/>
          <w:szCs w:val="20"/>
        </w:rPr>
      </w:pPr>
      <w:r>
        <w:rPr>
          <w:sz w:val="20"/>
          <w:szCs w:val="20"/>
        </w:rPr>
        <w:t>Η Εταιρεία είναι μέλος του Ταμείου Αποζημίωσης Επενδυτών (το «Ταμείο») για Πελάτες Κυπριακών Εταιρειών Επενδύσεων (CIF) και άλλων Εταιρειών Επενδύσεων (ΕΠΕΥ) που δεν είναι πιστωτικά ιδρύματα. Αντικείμενο του Αμοιβαίου Κεφαλαίου είναι η εξασφάλιση των αξιώσεων των καλυπτόμενων πελατών έναντι των μελών του Αμοιβαίου Κεφαλαίου (δηλαδή της Εταιρείας) με την καταβολή αποζημίωσης για τις απαιτήσεις τους που προκύπτουν από τις καλυπτόμενες υπηρεσίες που παρέχονται από τα μέλη του, εφόσον η Εταιρεία αποτύχει. να εκπληρώσει τις υποχρεώσεις του έχει διαπιστωθεί. Εάν η Εταιρεία δεν μπορεί να εκπληρώσει την υποχρέωσή της σχετικά με τα κεφάλαια των πελατών, η επένδυσή σας καλύπτεται από το Ταμείο Αποζημίωσης Επενδυτών που καλύπτει επιλέξιμες επενδύσεις έως 20.000 ευρώ ανά άτομο. Ανατρέξτε στο ενημερωτικό δελτίο της Εταιρείας σχετικά με το Ταμείο Αποζημίωσης Επενδυτών για περισσότερες λεπτομέρειες.</w:t>
      </w:r>
    </w:p>
    <w:p w14:paraId="52170053" w14:textId="77777777" w:rsidR="005F0F9C" w:rsidRDefault="009748E1">
      <w:pPr>
        <w:shd w:val="clear" w:color="auto" w:fill="BFBFBF"/>
        <w:spacing w:after="0"/>
        <w:jc w:val="both"/>
        <w:rPr>
          <w:b/>
          <w:sz w:val="20"/>
          <w:szCs w:val="20"/>
        </w:rPr>
      </w:pPr>
      <w:r>
        <w:rPr>
          <w:b/>
          <w:sz w:val="20"/>
          <w:szCs w:val="20"/>
        </w:rPr>
        <w:t>Πώς μπορώ να παραπονεθώ;</w:t>
      </w:r>
    </w:p>
    <w:p w14:paraId="52170054" w14:textId="77777777" w:rsidR="005F0F9C" w:rsidRDefault="009748E1">
      <w:pPr>
        <w:spacing w:after="0"/>
        <w:jc w:val="both"/>
        <w:rPr>
          <w:sz w:val="20"/>
          <w:szCs w:val="20"/>
        </w:rPr>
      </w:pPr>
      <w:r>
        <w:rPr>
          <w:sz w:val="20"/>
          <w:szCs w:val="20"/>
        </w:rPr>
        <w:t>Οι επενδυτές μπορούν να υποβάλουν τα παράπονά τους ή τα παράπονά τους σε σχέση με τα CFDs, χρησιμοποιώντας τη «Φόρμα Παραπόνων», στον Προϊστάμενο του Τμήματος Συμμόρφωσης. Το «Έντυπο Παραπόνων» μπορεί να υποβληθεί στην Εταιρεία μέσω email, φαξ ή ταχυδρομικώς. Για περισσότερες λεπτομέρειες, οι επενδυτές θα πρέπει να ανατρέξουν στο Έντυπο Διαχείρισης Παραπόνων στην ιστοσελίδα της Εταιρείας.</w:t>
      </w:r>
    </w:p>
    <w:p w14:paraId="52170055" w14:textId="77777777" w:rsidR="005F0F9C" w:rsidRDefault="009748E1">
      <w:pPr>
        <w:shd w:val="clear" w:color="auto" w:fill="BFBFBF"/>
        <w:spacing w:after="0"/>
        <w:jc w:val="both"/>
        <w:rPr>
          <w:b/>
          <w:sz w:val="20"/>
          <w:szCs w:val="20"/>
        </w:rPr>
      </w:pPr>
      <w:r>
        <w:rPr>
          <w:b/>
          <w:sz w:val="20"/>
          <w:szCs w:val="20"/>
        </w:rPr>
        <w:t>Άλλες σχετικές πληροφορίες</w:t>
      </w:r>
    </w:p>
    <w:p w14:paraId="52170056" w14:textId="77777777" w:rsidR="005F0F9C" w:rsidRDefault="009748E1">
      <w:pPr>
        <w:spacing w:after="0"/>
        <w:jc w:val="both"/>
        <w:rPr>
          <w:sz w:val="20"/>
          <w:szCs w:val="20"/>
        </w:rPr>
      </w:pPr>
      <w:r>
        <w:rPr>
          <w:sz w:val="20"/>
          <w:szCs w:val="20"/>
        </w:rPr>
        <w:t>Οι επενδυτές πρέπει να διασφαλίσουν ότι έχουν διαβάσει και κατανοήσει τους Όρους και τις Προϋποθέσεις και όλα τα άλλα νομικά έγγραφα της Εταιρείας, όπως η Γνωστοποίηση Κινδύνων, η Πολιτική Εκτέλεσης Παραγγελιών, η Πολιτική Σύγκρουσης Συμφερόντων και η Δημοσιοποίηση Απορρήτου που εμφανίζονται στη νομική ενότητα του ιστότοπού μας. Αυτά είναι σημαντικά έγγραφα που πρέπει να διαβάσετε και να κατανοήσετε πριν ανοίξετε έναν λογαριασμό και ξεκινήσετε τις συναλλαγές με την Εταιρεία.</w:t>
      </w:r>
    </w:p>
    <w:sectPr w:rsidR="005F0F9C" w:rsidSect="009F2611">
      <w:headerReference w:type="default" r:id="rId15"/>
      <w:footerReference w:type="default" r:id="rId16"/>
      <w:pgSz w:w="12240" w:h="15840"/>
      <w:pgMar w:top="2016" w:right="1440" w:bottom="2016" w:left="1440" w:header="432"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5DC97" w14:textId="77777777" w:rsidR="002D089F" w:rsidRDefault="002D089F">
      <w:pPr>
        <w:spacing w:after="0" w:line="240" w:lineRule="auto"/>
      </w:pPr>
      <w:r>
        <w:separator/>
      </w:r>
    </w:p>
  </w:endnote>
  <w:endnote w:type="continuationSeparator" w:id="0">
    <w:p w14:paraId="48DA4E34" w14:textId="77777777" w:rsidR="002D089F" w:rsidRDefault="002D0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EFBF" w14:textId="7663D294" w:rsidR="00633841" w:rsidRPr="002C44ED" w:rsidRDefault="009F2611" w:rsidP="00633841">
    <w:pPr>
      <w:spacing w:line="184" w:lineRule="exact"/>
      <w:ind w:left="31" w:right="31"/>
      <w:jc w:val="center"/>
      <w:rPr>
        <w:sz w:val="16"/>
        <w:lang w:val="en-US"/>
      </w:rPr>
    </w:pPr>
    <w:r w:rsidRPr="00FD35F4">
      <w:rPr>
        <w:rFonts w:ascii="Poppins" w:hAnsi="Poppins" w:cs="Poppins"/>
        <w:noProof/>
      </w:rPr>
      <w:drawing>
        <wp:anchor distT="0" distB="0" distL="114300" distR="114300" simplePos="0" relativeHeight="251661312" behindDoc="0" locked="0" layoutInCell="1" allowOverlap="1" wp14:anchorId="6E926888" wp14:editId="47C2D7EE">
          <wp:simplePos x="0" y="0"/>
          <wp:positionH relativeFrom="margin">
            <wp:posOffset>2552700</wp:posOffset>
          </wp:positionH>
          <wp:positionV relativeFrom="paragraph">
            <wp:posOffset>-505460</wp:posOffset>
          </wp:positionV>
          <wp:extent cx="1152525" cy="307340"/>
          <wp:effectExtent l="0" t="0" r="9525" b="0"/>
          <wp:wrapNone/>
          <wp:docPr id="1081931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1497"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52525" cy="307340"/>
                  </a:xfrm>
                  <a:prstGeom prst="rect">
                    <a:avLst/>
                  </a:prstGeom>
                </pic:spPr>
              </pic:pic>
            </a:graphicData>
          </a:graphic>
        </wp:anchor>
      </w:drawing>
    </w:r>
    <w:proofErr w:type="spellStart"/>
    <w:r w:rsidR="00633841" w:rsidRPr="002C44ED">
      <w:rPr>
        <w:sz w:val="16"/>
        <w:lang w:val="en-US"/>
      </w:rPr>
      <w:t>Harmovest</w:t>
    </w:r>
    <w:proofErr w:type="spellEnd"/>
    <w:r w:rsidR="00633841" w:rsidRPr="002C44ED">
      <w:rPr>
        <w:sz w:val="16"/>
        <w:lang w:val="en-US"/>
      </w:rPr>
      <w:t xml:space="preserve"> Capital (Cyprus) Ltd (former: GVD </w:t>
    </w:r>
    <w:proofErr w:type="spellStart"/>
    <w:r w:rsidR="00633841" w:rsidRPr="002C44ED">
      <w:rPr>
        <w:sz w:val="16"/>
        <w:lang w:val="en-US"/>
      </w:rPr>
      <w:t>Korimcy</w:t>
    </w:r>
    <w:proofErr w:type="spellEnd"/>
    <w:r w:rsidR="00633841" w:rsidRPr="002C44ED">
      <w:rPr>
        <w:sz w:val="16"/>
        <w:lang w:val="en-US"/>
      </w:rPr>
      <w:t xml:space="preserve"> Ltd) is</w:t>
    </w:r>
    <w:r w:rsidR="00633841" w:rsidRPr="002C44ED">
      <w:rPr>
        <w:spacing w:val="-4"/>
        <w:sz w:val="16"/>
        <w:lang w:val="en-US"/>
      </w:rPr>
      <w:t xml:space="preserve"> </w:t>
    </w:r>
    <w:r w:rsidR="00633841" w:rsidRPr="002C44ED">
      <w:rPr>
        <w:sz w:val="16"/>
        <w:lang w:val="en-US"/>
      </w:rPr>
      <w:t>a</w:t>
    </w:r>
    <w:r w:rsidR="00633841" w:rsidRPr="002C44ED">
      <w:rPr>
        <w:spacing w:val="-4"/>
        <w:sz w:val="16"/>
        <w:lang w:val="en-US"/>
      </w:rPr>
      <w:t xml:space="preserve"> </w:t>
    </w:r>
    <w:r w:rsidR="00633841" w:rsidRPr="002C44ED">
      <w:rPr>
        <w:sz w:val="16"/>
        <w:lang w:val="en-US"/>
      </w:rPr>
      <w:t>Cyprus</w:t>
    </w:r>
    <w:r w:rsidR="00633841" w:rsidRPr="002C44ED">
      <w:rPr>
        <w:spacing w:val="-4"/>
        <w:sz w:val="16"/>
        <w:lang w:val="en-US"/>
      </w:rPr>
      <w:t xml:space="preserve"> </w:t>
    </w:r>
    <w:r w:rsidR="00633841" w:rsidRPr="002C44ED">
      <w:rPr>
        <w:sz w:val="16"/>
        <w:lang w:val="en-US"/>
      </w:rPr>
      <w:t>Investment</w:t>
    </w:r>
    <w:r w:rsidR="00633841" w:rsidRPr="002C44ED">
      <w:rPr>
        <w:spacing w:val="-5"/>
        <w:sz w:val="16"/>
        <w:lang w:val="en-US"/>
      </w:rPr>
      <w:t xml:space="preserve"> </w:t>
    </w:r>
    <w:r w:rsidR="00633841" w:rsidRPr="002C44ED">
      <w:rPr>
        <w:sz w:val="16"/>
        <w:lang w:val="en-US"/>
      </w:rPr>
      <w:t>Firm</w:t>
    </w:r>
    <w:r w:rsidR="00633841" w:rsidRPr="002C44ED">
      <w:rPr>
        <w:spacing w:val="-3"/>
        <w:sz w:val="16"/>
        <w:lang w:val="en-US"/>
      </w:rPr>
      <w:t xml:space="preserve"> </w:t>
    </w:r>
    <w:r w:rsidR="00633841" w:rsidRPr="002C44ED">
      <w:rPr>
        <w:sz w:val="16"/>
        <w:lang w:val="en-US"/>
      </w:rPr>
      <w:t>authorized</w:t>
    </w:r>
    <w:r w:rsidR="00633841" w:rsidRPr="002C44ED">
      <w:rPr>
        <w:spacing w:val="-4"/>
        <w:sz w:val="16"/>
        <w:lang w:val="en-US"/>
      </w:rPr>
      <w:t xml:space="preserve"> </w:t>
    </w:r>
    <w:r w:rsidR="00633841" w:rsidRPr="002C44ED">
      <w:rPr>
        <w:sz w:val="16"/>
        <w:lang w:val="en-US"/>
      </w:rPr>
      <w:t>and</w:t>
    </w:r>
    <w:r w:rsidR="00633841" w:rsidRPr="002C44ED">
      <w:rPr>
        <w:spacing w:val="-4"/>
        <w:sz w:val="16"/>
        <w:lang w:val="en-US"/>
      </w:rPr>
      <w:t xml:space="preserve"> </w:t>
    </w:r>
    <w:r w:rsidR="00633841" w:rsidRPr="002C44ED">
      <w:rPr>
        <w:sz w:val="16"/>
        <w:lang w:val="en-US"/>
      </w:rPr>
      <w:t>regulated</w:t>
    </w:r>
    <w:r w:rsidR="00633841" w:rsidRPr="002C44ED">
      <w:rPr>
        <w:spacing w:val="-3"/>
        <w:sz w:val="16"/>
        <w:lang w:val="en-US"/>
      </w:rPr>
      <w:t xml:space="preserve"> </w:t>
    </w:r>
    <w:r w:rsidR="00633841" w:rsidRPr="002C44ED">
      <w:rPr>
        <w:sz w:val="16"/>
        <w:lang w:val="en-US"/>
      </w:rPr>
      <w:t>by</w:t>
    </w:r>
    <w:r w:rsidR="00633841" w:rsidRPr="002C44ED">
      <w:rPr>
        <w:spacing w:val="-5"/>
        <w:sz w:val="16"/>
        <w:lang w:val="en-US"/>
      </w:rPr>
      <w:t xml:space="preserve"> </w:t>
    </w:r>
    <w:r w:rsidR="00633841" w:rsidRPr="002C44ED">
      <w:rPr>
        <w:sz w:val="16"/>
        <w:lang w:val="en-US"/>
      </w:rPr>
      <w:t>the</w:t>
    </w:r>
    <w:r w:rsidR="00633841" w:rsidRPr="002C44ED">
      <w:rPr>
        <w:spacing w:val="-4"/>
        <w:sz w:val="16"/>
        <w:lang w:val="en-US"/>
      </w:rPr>
      <w:t xml:space="preserve"> </w:t>
    </w:r>
    <w:r w:rsidR="00633841" w:rsidRPr="002C44ED">
      <w:rPr>
        <w:spacing w:val="-2"/>
        <w:sz w:val="16"/>
        <w:lang w:val="en-US"/>
      </w:rPr>
      <w:t>Cyprus</w:t>
    </w:r>
    <w:r w:rsidR="00633841" w:rsidRPr="002C44ED">
      <w:rPr>
        <w:sz w:val="16"/>
        <w:lang w:val="en-US"/>
      </w:rPr>
      <w:t xml:space="preserve"> Securities</w:t>
    </w:r>
    <w:r w:rsidR="00633841" w:rsidRPr="002C44ED">
      <w:rPr>
        <w:spacing w:val="-3"/>
        <w:sz w:val="16"/>
        <w:lang w:val="en-US"/>
      </w:rPr>
      <w:t xml:space="preserve"> </w:t>
    </w:r>
    <w:r w:rsidR="00633841" w:rsidRPr="002C44ED">
      <w:rPr>
        <w:sz w:val="16"/>
        <w:lang w:val="en-US"/>
      </w:rPr>
      <w:t>and</w:t>
    </w:r>
    <w:r w:rsidR="00633841" w:rsidRPr="002C44ED">
      <w:rPr>
        <w:spacing w:val="-5"/>
        <w:sz w:val="16"/>
        <w:lang w:val="en-US"/>
      </w:rPr>
      <w:t xml:space="preserve"> </w:t>
    </w:r>
    <w:r w:rsidR="00633841" w:rsidRPr="002C44ED">
      <w:rPr>
        <w:sz w:val="16"/>
        <w:lang w:val="en-US"/>
      </w:rPr>
      <w:t>Exchange</w:t>
    </w:r>
    <w:r w:rsidR="00633841" w:rsidRPr="002C44ED">
      <w:rPr>
        <w:spacing w:val="-5"/>
        <w:sz w:val="16"/>
        <w:lang w:val="en-US"/>
      </w:rPr>
      <w:t xml:space="preserve"> </w:t>
    </w:r>
    <w:r w:rsidR="00633841" w:rsidRPr="002C44ED">
      <w:rPr>
        <w:sz w:val="16"/>
        <w:lang w:val="en-US"/>
      </w:rPr>
      <w:t>Commission</w:t>
    </w:r>
    <w:r w:rsidR="00633841" w:rsidRPr="002C44ED">
      <w:rPr>
        <w:spacing w:val="-5"/>
        <w:sz w:val="16"/>
        <w:lang w:val="en-US"/>
      </w:rPr>
      <w:t xml:space="preserve"> </w:t>
    </w:r>
    <w:r w:rsidR="00633841" w:rsidRPr="002C44ED">
      <w:rPr>
        <w:sz w:val="16"/>
        <w:lang w:val="en-US"/>
      </w:rPr>
      <w:t>(CySEC)</w:t>
    </w:r>
    <w:r w:rsidR="00633841" w:rsidRPr="002C44ED">
      <w:rPr>
        <w:spacing w:val="-6"/>
        <w:sz w:val="16"/>
        <w:lang w:val="en-US"/>
      </w:rPr>
      <w:t xml:space="preserve"> </w:t>
    </w:r>
    <w:r w:rsidR="00633841" w:rsidRPr="002C44ED">
      <w:rPr>
        <w:sz w:val="16"/>
        <w:lang w:val="en-US"/>
      </w:rPr>
      <w:t>under</w:t>
    </w:r>
    <w:r w:rsidR="00633841" w:rsidRPr="002C44ED">
      <w:rPr>
        <w:spacing w:val="-6"/>
        <w:sz w:val="16"/>
        <w:lang w:val="en-US"/>
      </w:rPr>
      <w:t xml:space="preserve"> </w:t>
    </w:r>
    <w:r w:rsidR="00633841" w:rsidRPr="002C44ED">
      <w:rPr>
        <w:sz w:val="16"/>
        <w:lang w:val="en-US"/>
      </w:rPr>
      <w:t>license</w:t>
    </w:r>
    <w:r w:rsidR="00633841" w:rsidRPr="002C44ED">
      <w:rPr>
        <w:spacing w:val="-5"/>
        <w:sz w:val="16"/>
        <w:lang w:val="en-US"/>
      </w:rPr>
      <w:t xml:space="preserve"> </w:t>
    </w:r>
    <w:r w:rsidR="00633841" w:rsidRPr="002C44ED">
      <w:rPr>
        <w:sz w:val="16"/>
        <w:lang w:val="en-US"/>
      </w:rPr>
      <w:t>number</w:t>
    </w:r>
    <w:r w:rsidR="00633841" w:rsidRPr="002C44ED">
      <w:rPr>
        <w:spacing w:val="-6"/>
        <w:sz w:val="16"/>
        <w:lang w:val="en-US"/>
      </w:rPr>
      <w:t xml:space="preserve"> </w:t>
    </w:r>
    <w:r w:rsidR="00633841" w:rsidRPr="002C44ED">
      <w:rPr>
        <w:sz w:val="16"/>
        <w:lang w:val="en-US"/>
      </w:rPr>
      <w:t>411/22</w:t>
    </w:r>
    <w:r w:rsidR="00633841" w:rsidRPr="002C44ED">
      <w:rPr>
        <w:spacing w:val="40"/>
        <w:sz w:val="16"/>
        <w:lang w:val="en-US"/>
      </w:rPr>
      <w:t xml:space="preserve"> </w:t>
    </w:r>
  </w:p>
  <w:p w14:paraId="5217005D" w14:textId="77777777" w:rsidR="005F0F9C" w:rsidRPr="00633841" w:rsidRDefault="005F0F9C">
    <w:pPr>
      <w:pBdr>
        <w:top w:val="nil"/>
        <w:left w:val="nil"/>
        <w:bottom w:val="nil"/>
        <w:right w:val="nil"/>
        <w:between w:val="nil"/>
      </w:pBdr>
      <w:tabs>
        <w:tab w:val="center" w:pos="4680"/>
        <w:tab w:val="right" w:pos="9360"/>
      </w:tabs>
      <w:spacing w:after="0" w:line="240" w:lineRule="auto"/>
      <w:jc w:val="right"/>
      <w:rPr>
        <w:color w:val="000000"/>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101EC" w14:textId="77777777" w:rsidR="002D089F" w:rsidRDefault="002D089F">
      <w:pPr>
        <w:spacing w:after="0" w:line="240" w:lineRule="auto"/>
      </w:pPr>
      <w:r>
        <w:separator/>
      </w:r>
    </w:p>
  </w:footnote>
  <w:footnote w:type="continuationSeparator" w:id="0">
    <w:p w14:paraId="2953C8B3" w14:textId="77777777" w:rsidR="002D089F" w:rsidRDefault="002D0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005B" w14:textId="0B9B9FCB" w:rsidR="005F0F9C" w:rsidRDefault="009F2611">
    <w:pPr>
      <w:pBdr>
        <w:top w:val="nil"/>
        <w:left w:val="nil"/>
        <w:bottom w:val="nil"/>
        <w:right w:val="nil"/>
        <w:between w:val="nil"/>
      </w:pBdr>
      <w:tabs>
        <w:tab w:val="center" w:pos="4680"/>
        <w:tab w:val="right" w:pos="9360"/>
      </w:tabs>
      <w:spacing w:after="0" w:line="240" w:lineRule="auto"/>
      <w:jc w:val="right"/>
      <w:rPr>
        <w:color w:val="000000"/>
      </w:rPr>
    </w:pPr>
    <w:r>
      <w:rPr>
        <w:noProof/>
      </w:rPr>
      <w:drawing>
        <wp:anchor distT="0" distB="0" distL="114300" distR="114300" simplePos="0" relativeHeight="251659264" behindDoc="0" locked="0" layoutInCell="1" allowOverlap="1" wp14:anchorId="6C4DD6FB" wp14:editId="2BF632A9">
          <wp:simplePos x="0" y="0"/>
          <wp:positionH relativeFrom="page">
            <wp:align>left</wp:align>
          </wp:positionH>
          <wp:positionV relativeFrom="paragraph">
            <wp:posOffset>-276225</wp:posOffset>
          </wp:positionV>
          <wp:extent cx="7791450" cy="951130"/>
          <wp:effectExtent l="0" t="0" r="0" b="1905"/>
          <wp:wrapNone/>
          <wp:docPr id="208640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048" name=""/>
                  <pic:cNvPicPr/>
                </pic:nvPicPr>
                <pic:blipFill>
                  <a:blip r:embed="rId1">
                    <a:extLst>
                      <a:ext uri="{96DAC541-7B7A-43D3-8B79-37D633B846F1}">
                        <asvg:svgBlip xmlns:asvg="http://schemas.microsoft.com/office/drawing/2016/SVG/main" r:embed="rId2"/>
                      </a:ext>
                    </a:extLst>
                  </a:blip>
                  <a:stretch>
                    <a:fillRect/>
                  </a:stretch>
                </pic:blipFill>
                <pic:spPr>
                  <a:xfrm>
                    <a:off x="0" y="0"/>
                    <a:ext cx="7791450" cy="95113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F9C"/>
    <w:rsid w:val="00057F5F"/>
    <w:rsid w:val="002D089F"/>
    <w:rsid w:val="005F0F9C"/>
    <w:rsid w:val="00633841"/>
    <w:rsid w:val="00796AD7"/>
    <w:rsid w:val="009748E1"/>
    <w:rsid w:val="009F2611"/>
    <w:rsid w:val="00FD0FC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FFCA"/>
  <w15:docId w15:val="{0D67E036-3A8F-4861-BD41-7B46855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G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633841"/>
    <w:rPr>
      <w:color w:val="605E5C"/>
      <w:shd w:val="clear" w:color="auto" w:fill="E1DFDD"/>
    </w:rPr>
  </w:style>
  <w:style w:type="table" w:styleId="ListTable6Colorful-Accent3">
    <w:name w:val="List Table 6 Colorful Accent 3"/>
    <w:basedOn w:val="TableNormal"/>
    <w:uiPriority w:val="51"/>
    <w:rsid w:val="009F2611"/>
    <w:pPr>
      <w:spacing w:after="0" w:line="240" w:lineRule="auto"/>
    </w:pPr>
    <w:rPr>
      <w:color w:val="B09042" w:themeColor="accent3" w:themeShade="BF"/>
    </w:rPr>
    <w:tblPr>
      <w:tblStyleRowBandSize w:val="1"/>
      <w:tblStyleColBandSize w:val="1"/>
      <w:tblBorders>
        <w:top w:val="single" w:sz="4" w:space="0" w:color="CCB478" w:themeColor="accent3"/>
        <w:bottom w:val="single" w:sz="4" w:space="0" w:color="CCB478" w:themeColor="accent3"/>
      </w:tblBorders>
    </w:tblPr>
    <w:tblStylePr w:type="firstRow">
      <w:rPr>
        <w:b/>
        <w:bCs/>
      </w:rPr>
      <w:tblPr/>
      <w:tcPr>
        <w:tcBorders>
          <w:bottom w:val="single" w:sz="4" w:space="0" w:color="CCB478" w:themeColor="accent3"/>
        </w:tcBorders>
      </w:tcPr>
    </w:tblStylePr>
    <w:tblStylePr w:type="lastRow">
      <w:rPr>
        <w:b/>
        <w:bCs/>
      </w:rPr>
      <w:tblPr/>
      <w:tcPr>
        <w:tcBorders>
          <w:top w:val="double" w:sz="4" w:space="0" w:color="CCB478" w:themeColor="accent3"/>
        </w:tcBorders>
      </w:tcPr>
    </w:tblStylePr>
    <w:tblStylePr w:type="firstCol">
      <w:rPr>
        <w:b/>
        <w:bCs/>
      </w:rPr>
    </w:tblStylePr>
    <w:tblStylePr w:type="lastCol">
      <w:rPr>
        <w:b/>
        <w:bCs/>
      </w:rPr>
    </w:tblStylePr>
    <w:tblStylePr w:type="band1Vert">
      <w:tblPr/>
      <w:tcPr>
        <w:shd w:val="clear" w:color="auto" w:fill="F4EFE3" w:themeFill="accent3" w:themeFillTint="33"/>
      </w:tcPr>
    </w:tblStylePr>
    <w:tblStylePr w:type="band1Horz">
      <w:tblPr/>
      <w:tcPr>
        <w:shd w:val="clear" w:color="auto" w:fill="F4EFE3" w:themeFill="accent3" w:themeFillTint="33"/>
      </w:tcPr>
    </w:tblStylePr>
  </w:style>
  <w:style w:type="table" w:styleId="ListTable6Colorful-Accent2">
    <w:name w:val="List Table 6 Colorful Accent 2"/>
    <w:basedOn w:val="TableNormal"/>
    <w:uiPriority w:val="51"/>
    <w:rsid w:val="009F2611"/>
    <w:pPr>
      <w:spacing w:after="0" w:line="240" w:lineRule="auto"/>
    </w:pPr>
    <w:rPr>
      <w:color w:val="B09042" w:themeColor="accent2" w:themeShade="BF"/>
    </w:rPr>
    <w:tblPr>
      <w:tblStyleRowBandSize w:val="1"/>
      <w:tblStyleColBandSize w:val="1"/>
      <w:tblBorders>
        <w:top w:val="single" w:sz="4" w:space="0" w:color="CCB478" w:themeColor="accent2"/>
        <w:bottom w:val="single" w:sz="4" w:space="0" w:color="CCB478" w:themeColor="accent2"/>
      </w:tblBorders>
    </w:tblPr>
    <w:tblStylePr w:type="firstRow">
      <w:rPr>
        <w:b/>
        <w:bCs/>
      </w:rPr>
      <w:tblPr/>
      <w:tcPr>
        <w:tcBorders>
          <w:bottom w:val="single" w:sz="4" w:space="0" w:color="CCB478" w:themeColor="accent2"/>
        </w:tcBorders>
      </w:tcPr>
    </w:tblStylePr>
    <w:tblStylePr w:type="lastRow">
      <w:rPr>
        <w:b/>
        <w:bCs/>
      </w:rPr>
      <w:tblPr/>
      <w:tcPr>
        <w:tcBorders>
          <w:top w:val="double" w:sz="4" w:space="0" w:color="CCB478" w:themeColor="accent2"/>
        </w:tcBorders>
      </w:tcPr>
    </w:tblStylePr>
    <w:tblStylePr w:type="firstCol">
      <w:rPr>
        <w:b/>
        <w:bCs/>
      </w:rPr>
    </w:tblStylePr>
    <w:tblStylePr w:type="lastCol">
      <w:rPr>
        <w:b/>
        <w:bCs/>
      </w:rPr>
    </w:tblStylePr>
    <w:tblStylePr w:type="band1Vert">
      <w:tblPr/>
      <w:tcPr>
        <w:shd w:val="clear" w:color="auto" w:fill="F4EFE3" w:themeFill="accent2" w:themeFillTint="33"/>
      </w:tcPr>
    </w:tblStylePr>
    <w:tblStylePr w:type="band1Horz">
      <w:tblPr/>
      <w:tcPr>
        <w:shd w:val="clear" w:color="auto" w:fill="F4EFE3"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mvest.e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mvest.e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hmvest.eu"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CEDBE6"/>
      </a:lt2>
      <a:accent1>
        <a:srgbClr val="CCB478"/>
      </a:accent1>
      <a:accent2>
        <a:srgbClr val="CCB478"/>
      </a:accent2>
      <a:accent3>
        <a:srgbClr val="CCB478"/>
      </a:accent3>
      <a:accent4>
        <a:srgbClr val="CCB478"/>
      </a:accent4>
      <a:accent5>
        <a:srgbClr val="CCB478"/>
      </a:accent5>
      <a:accent6>
        <a:srgbClr val="CCB478"/>
      </a:accent6>
      <a:hlink>
        <a:srgbClr val="50771B"/>
      </a:hlink>
      <a:folHlink>
        <a:srgbClr val="CCB478"/>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UcumgeELZUUkm/UgHdYkPloyjQ==">CgMxLjAyCGguZ2pkZ3hzOAByITFuT01EZmhCN2FTRzRhN1N3MGt3X2VISEtOMFQ0QlFBRw==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F9BA0F-0EF4-45A5-89BD-7AB87D859922}">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customXml/itemProps3.xml><?xml version="1.0" encoding="utf-8"?>
<ds:datastoreItem xmlns:ds="http://schemas.openxmlformats.org/officeDocument/2006/customXml" ds:itemID="{69DB0EFD-BB7B-4B57-9104-AC674DCEEA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c95d3-5332-43d7-8b75-ddaf6f54b710"/>
    <ds:schemaRef ds:uri="a104c4c2-d6e5-4f26-a7e2-db21f40d6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E632F1-6979-4008-84E6-0E8F5DA406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1747</Words>
  <Characters>9963</Characters>
  <Application>Microsoft Office Word</Application>
  <DocSecurity>0</DocSecurity>
  <Lines>83</Lines>
  <Paragraphs>23</Paragraphs>
  <ScaleCrop>false</ScaleCrop>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cp:lastModifiedBy>
  <cp:revision>5</cp:revision>
  <dcterms:created xsi:type="dcterms:W3CDTF">2021-08-23T08:43:00Z</dcterms:created>
  <dcterms:modified xsi:type="dcterms:W3CDTF">2025-11-24T15:45:00Z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FCF1C6903B3046A5B60DBFDBE7A1C5AF</vt:lpwstr>
  </property>
  <property fmtid="{D5CDD505-2E9C-101B-9397-08002B2CF9AE}" pid="4" name="ContentTypeId">
    <vt:lpwstr>0x010100FA0CFE0FCB7C4D4D8064000D263D108F</vt:lpwstr>
  </property>
  <property fmtid="{D5CDD505-2E9C-101B-9397-08002B2CF9AE}" pid="5" name="MediaServiceImageTags">
    <vt:lpwstr/>
  </property>
</Properties>
</file>