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91" w:rsidRPr="0055106B" w:rsidRDefault="00CD22DD" w:rsidP="00CD22DD">
      <w:pPr>
        <w:pStyle w:val="berschrift1"/>
        <w:rPr>
          <w:lang w:val="en-US"/>
        </w:rPr>
      </w:pPr>
      <w:r>
        <w:rPr>
          <w:lang w:val="en-US"/>
        </w:rPr>
        <w:t>Ordnung in RIC-O Description</w:t>
      </w:r>
    </w:p>
    <w:p w:rsidR="00CD22DD" w:rsidRPr="00E842B7" w:rsidRDefault="00CD22DD" w:rsidP="00E842B7">
      <w:pPr>
        <w:pStyle w:val="FormatvorlageCourierNew10PtRechts-225cm"/>
      </w:pPr>
      <w:r w:rsidRPr="00E842B7">
        <w:t>&lt;rdf:Description&gt;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&lt;rdfs:label/&gt;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&lt;rdf:type rdf:resource/&gt;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 xml:space="preserve">&lt;rico:hasRecordSetType/&gt; 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&lt;rico:identifier/&gt;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&lt;rico:title/&gt;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&lt;rico:beginningDate/&gt;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&lt;rico:endDate/&gt;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&lt;rico:hasProvenance/&gt;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&lt;rico:createdBy/&gt;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&lt;rico:includedIn/&gt;</w:t>
      </w:r>
    </w:p>
    <w:p w:rsidR="00CD22DD" w:rsidRPr="00E842B7" w:rsidRDefault="00CD22DD" w:rsidP="00E842B7">
      <w:pPr>
        <w:pStyle w:val="FormatvorlageCourierNew10PtRechts-225cm"/>
      </w:pPr>
      <w:r w:rsidRPr="00E842B7">
        <w:tab/>
        <w:t>&lt;rico:includes/&gt;</w:t>
      </w:r>
    </w:p>
    <w:p w:rsidR="00CD22DD" w:rsidRPr="00E842B7" w:rsidRDefault="00CD22DD" w:rsidP="00E842B7">
      <w:pPr>
        <w:pStyle w:val="FormatvorlageCourierNew10PtRechts-225cm"/>
      </w:pPr>
    </w:p>
    <w:p w:rsidR="00CD22DD" w:rsidRPr="00E842B7" w:rsidRDefault="00CD22DD" w:rsidP="00E842B7">
      <w:pPr>
        <w:pStyle w:val="FormatvorlageCourierNew10PtRechts-225cm"/>
      </w:pPr>
      <w:r w:rsidRPr="00E842B7">
        <w:tab/>
        <w:t>&lt;rico:hasInstantiation/&gt;</w:t>
      </w:r>
    </w:p>
    <w:p w:rsidR="00CD22DD" w:rsidRPr="00E842B7" w:rsidRDefault="00CD22DD" w:rsidP="00E842B7">
      <w:pPr>
        <w:pStyle w:val="FormatvorlageCourierNew10PtRechts-225cm"/>
      </w:pPr>
      <w:r w:rsidRPr="00E842B7">
        <w:t>&lt;/rdf:Description&gt;</w:t>
      </w:r>
    </w:p>
    <w:p w:rsidR="00392AF6" w:rsidRDefault="00392AF6" w:rsidP="00392AF6">
      <w:pPr>
        <w:pStyle w:val="berschrift1"/>
        <w:rPr>
          <w:lang w:val="en-US"/>
        </w:rPr>
      </w:pPr>
      <w:proofErr w:type="spellStart"/>
      <w:r>
        <w:rPr>
          <w:lang w:val="en-US"/>
        </w:rPr>
        <w:t>Offene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Punkte</w:t>
      </w:r>
      <w:proofErr w:type="spellEnd"/>
    </w:p>
    <w:p w:rsidR="00392AF6" w:rsidRDefault="00392AF6" w:rsidP="00600845">
      <w:pPr>
        <w:pStyle w:val="FormatvorlageCourierNew10PtRechts-225cm"/>
        <w:rPr>
          <w:lang w:val="en-US"/>
        </w:rPr>
      </w:pPr>
      <w:r w:rsidRPr="00392AF6">
        <w:rPr>
          <w:lang w:val="en-US"/>
        </w:rPr>
        <w:t>    &lt;rico:</w:t>
      </w:r>
      <w:r w:rsidRPr="00392AF6">
        <w:rPr>
          <w:highlight w:val="yellow"/>
          <w:lang w:val="en-US"/>
        </w:rPr>
        <w:t>heldBy</w:t>
      </w:r>
      <w:r w:rsidRPr="00392AF6">
        <w:rPr>
          <w:lang w:val="en-US"/>
        </w:rPr>
        <w:t xml:space="preserve"> rdf:</w:t>
      </w:r>
      <w:r w:rsidRPr="00392AF6">
        <w:rPr>
          <w:color w:val="FF0000"/>
          <w:lang w:val="en-US"/>
        </w:rPr>
        <w:t>resource</w:t>
      </w:r>
      <w:r w:rsidRPr="00392AF6">
        <w:rPr>
          <w:color w:val="0000FF"/>
          <w:lang w:val="en-US"/>
        </w:rPr>
        <w:t>="agent/005061"</w:t>
      </w:r>
      <w:r w:rsidRPr="00392AF6">
        <w:rPr>
          <w:lang w:val="en-US"/>
        </w:rPr>
        <w:t>/&gt;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&lt;rico:history rdf:</w:t>
      </w:r>
      <w:r w:rsidRPr="00392AF6">
        <w:rPr>
          <w:color w:val="FF0000"/>
          <w:lang w:val="en-US"/>
        </w:rPr>
        <w:t>parseType</w:t>
      </w:r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&lt;html:div xml:</w:t>
      </w:r>
      <w:r w:rsidRPr="00392AF6">
        <w:rPr>
          <w:color w:val="FF0000"/>
          <w:lang w:val="en-US"/>
        </w:rPr>
        <w:t>lang</w:t>
      </w:r>
      <w:r w:rsidRPr="00392AF6">
        <w:rPr>
          <w:color w:val="0000FF"/>
          <w:lang w:val="en-US"/>
        </w:rPr>
        <w:t>="de"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    </w:t>
      </w:r>
      <w:r w:rsidRPr="00392AF6">
        <w:rPr>
          <w:highlight w:val="yellow"/>
          <w:lang w:val="en-US"/>
        </w:rPr>
        <w:t>&lt;html:h4&gt;Origine&lt;/html:h4&gt;</w:t>
      </w:r>
      <w:r w:rsidRPr="00392AF6">
        <w:rPr>
          <w:highlight w:val="yellow"/>
          <w:lang w:val="en-US"/>
        </w:rPr>
        <w:br/>
        <w:t>            &lt;html:p&gt;Grossrat des Kantons St.Gallen&lt;/html:p&gt;</w:t>
      </w:r>
      <w:r w:rsidRPr="00392AF6">
        <w:rPr>
          <w:lang w:val="en-US"/>
        </w:rPr>
        <w:br/>
        <w:t>        &lt;/html:div&gt;</w:t>
      </w:r>
      <w:r w:rsidRPr="00392AF6">
        <w:rPr>
          <w:lang w:val="en-US"/>
        </w:rPr>
        <w:br/>
        <w:t>    &lt;/rico:history&gt;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&lt;rico:history rdf:</w:t>
      </w:r>
      <w:r w:rsidRPr="00392AF6">
        <w:rPr>
          <w:color w:val="FF0000"/>
          <w:lang w:val="en-US"/>
        </w:rPr>
        <w:t>parseType</w:t>
      </w:r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&lt;html:div&gt;</w:t>
      </w:r>
      <w:r w:rsidRPr="00392AF6">
        <w:rPr>
          <w:lang w:val="en-US"/>
        </w:rPr>
        <w:br/>
        <w:t>            </w:t>
      </w:r>
      <w:r w:rsidRPr="00E842B7">
        <w:rPr>
          <w:lang w:val="en-US"/>
        </w:rPr>
        <w:t>&lt;</w:t>
      </w:r>
      <w:r w:rsidRPr="00392AF6">
        <w:rPr>
          <w:highlight w:val="yellow"/>
          <w:lang w:val="en-US"/>
        </w:rPr>
        <w:t>html:div xml:</w:t>
      </w:r>
      <w:r w:rsidRPr="00392AF6">
        <w:rPr>
          <w:color w:val="FF0000"/>
          <w:highlight w:val="yellow"/>
          <w:lang w:val="en-US"/>
        </w:rPr>
        <w:t>lang</w:t>
      </w:r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    &lt;html:h4&gt;Informations sur les modalités d’entrée&lt;/html:h4&gt;</w:t>
      </w:r>
      <w:r w:rsidRPr="00392AF6">
        <w:rPr>
          <w:highlight w:val="yellow"/>
          <w:lang w:val="en-US"/>
        </w:rPr>
        <w:br/>
        <w:t>                &lt;html:p&gt;Staatskanzlei des Kantons St.Gallen&lt;/html:p&gt;</w:t>
      </w:r>
      <w:r w:rsidRPr="00392AF6">
        <w:rPr>
          <w:highlight w:val="yellow"/>
          <w:lang w:val="en-US"/>
        </w:rPr>
        <w:br/>
        <w:t>            &lt;/html:div&gt;</w:t>
      </w:r>
      <w:r w:rsidRPr="00392AF6">
        <w:rPr>
          <w:highlight w:val="yellow"/>
          <w:lang w:val="en-US"/>
        </w:rPr>
        <w:br/>
        <w:t>            &lt;html:div xml:</w:t>
      </w:r>
      <w:r w:rsidRPr="00392AF6">
        <w:rPr>
          <w:color w:val="FF0000"/>
          <w:highlight w:val="yellow"/>
          <w:lang w:val="en-US"/>
        </w:rPr>
        <w:t>lang</w:t>
      </w:r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    &lt;html:h4&gt;Origine&lt;/html:h4&gt;</w:t>
      </w:r>
      <w:r w:rsidRPr="00392AF6">
        <w:rPr>
          <w:highlight w:val="yellow"/>
          <w:lang w:val="en-US"/>
        </w:rPr>
        <w:br/>
        <w:t>                &lt;html:p&gt;Grossrat des Kantons St.Gallen&lt;/html:p&gt;</w:t>
      </w:r>
      <w:r w:rsidRPr="00392AF6">
        <w:rPr>
          <w:highlight w:val="yellow"/>
          <w:lang w:val="en-US"/>
        </w:rPr>
        <w:br/>
        <w:t>            &lt;/html:div&gt;</w:t>
      </w:r>
      <w:r w:rsidRPr="00392AF6">
        <w:rPr>
          <w:lang w:val="en-US"/>
        </w:rPr>
        <w:br/>
        <w:t>        &lt;/html:div&gt;</w:t>
      </w:r>
      <w:r w:rsidRPr="00392AF6">
        <w:rPr>
          <w:lang w:val="en-US"/>
        </w:rPr>
        <w:br/>
        <w:t>    &lt;/rico:history&gt;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&lt;rico:scopeAndContent rdf:</w:t>
      </w:r>
      <w:r w:rsidRPr="00392AF6">
        <w:rPr>
          <w:color w:val="FF0000"/>
          <w:lang w:val="en-US"/>
        </w:rPr>
        <w:t>parseType</w:t>
      </w:r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</w:t>
      </w:r>
      <w:r w:rsidRPr="00392AF6">
        <w:rPr>
          <w:highlight w:val="yellow"/>
          <w:lang w:val="en-US"/>
        </w:rPr>
        <w:t>&lt;html:p xml:</w:t>
      </w:r>
      <w:r w:rsidRPr="00392AF6">
        <w:rPr>
          <w:color w:val="FF0000"/>
          <w:highlight w:val="yellow"/>
          <w:lang w:val="en-US"/>
        </w:rPr>
        <w:t>lang</w:t>
      </w:r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&gt;PDF-Dokument&lt;/html:p&gt;</w:t>
      </w:r>
      <w:r w:rsidRPr="00392AF6">
        <w:rPr>
          <w:lang w:val="en-US"/>
        </w:rPr>
        <w:br/>
        <w:t>    &lt;/rico:scopeAndContent&gt;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&lt;rico:scopeAndContent rdf:</w:t>
      </w:r>
      <w:r w:rsidRPr="00392AF6">
        <w:rPr>
          <w:color w:val="FF0000"/>
          <w:lang w:val="en-US"/>
        </w:rPr>
        <w:t>parseType</w:t>
      </w:r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</w:t>
      </w:r>
      <w:r w:rsidRPr="00392AF6">
        <w:rPr>
          <w:highlight w:val="yellow"/>
          <w:lang w:val="en-US"/>
        </w:rPr>
        <w:t>&lt;html:p xml:</w:t>
      </w:r>
      <w:r w:rsidRPr="00392AF6">
        <w:rPr>
          <w:color w:val="FF0000"/>
          <w:highlight w:val="yellow"/>
          <w:lang w:val="en-US"/>
        </w:rPr>
        <w:t>lang</w:t>
      </w:r>
      <w:r w:rsidRPr="00392AF6">
        <w:rPr>
          <w:color w:val="0000FF"/>
          <w:highlight w:val="yellow"/>
          <w:lang w:val="en-US"/>
        </w:rPr>
        <w:t>="de"</w:t>
      </w:r>
      <w:r w:rsidRPr="00392AF6">
        <w:rPr>
          <w:highlight w:val="yellow"/>
          <w:lang w:val="en-US"/>
        </w:rPr>
        <w:t>&gt;XML-Dokument&lt;/html:p&gt;</w:t>
      </w:r>
      <w:r w:rsidRPr="00392AF6">
        <w:rPr>
          <w:lang w:val="en-US"/>
        </w:rPr>
        <w:br/>
        <w:t>    &lt;/rico:scopeAndContent&gt;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</w:r>
      <w:r w:rsidRPr="00392AF6">
        <w:rPr>
          <w:lang w:val="en-US"/>
        </w:rPr>
        <w:lastRenderedPageBreak/>
        <w:t>    &lt;rico:conditionsOfAccess rdf:</w:t>
      </w:r>
      <w:r w:rsidRPr="00392AF6">
        <w:rPr>
          <w:color w:val="FF0000"/>
          <w:lang w:val="en-US"/>
        </w:rPr>
        <w:t>parseType</w:t>
      </w:r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</w:t>
      </w:r>
      <w:r w:rsidRPr="00392AF6">
        <w:rPr>
          <w:highlight w:val="yellow"/>
          <w:lang w:val="en-US"/>
        </w:rPr>
        <w:t>&lt;html:div xml:</w:t>
      </w:r>
      <w:r w:rsidRPr="00392AF6">
        <w:rPr>
          <w:color w:val="FF0000"/>
          <w:highlight w:val="yellow"/>
          <w:lang w:val="en-US"/>
        </w:rPr>
        <w:t>lang</w:t>
      </w:r>
      <w:r w:rsidRPr="00392AF6">
        <w:rPr>
          <w:color w:val="0000FF"/>
          <w:highlight w:val="yellow"/>
          <w:lang w:val="en-US"/>
        </w:rPr>
        <w:t>="fr"</w:t>
      </w:r>
      <w:r w:rsidRPr="00392AF6">
        <w:rPr>
          <w:highlight w:val="yellow"/>
          <w:lang w:val="en-US"/>
        </w:rPr>
        <w:t>&gt;</w:t>
      </w:r>
      <w:r w:rsidRPr="00392AF6">
        <w:rPr>
          <w:highlight w:val="yellow"/>
          <w:lang w:val="en-US"/>
        </w:rPr>
        <w:br/>
        <w:t>            &lt;html:ul/&gt;</w:t>
      </w:r>
      <w:r w:rsidRPr="00392AF6">
        <w:rPr>
          <w:highlight w:val="yellow"/>
          <w:lang w:val="en-US"/>
        </w:rPr>
        <w:br/>
        <w:t>        &lt;/html:div&gt;</w:t>
      </w:r>
      <w:r w:rsidRPr="00392AF6">
        <w:rPr>
          <w:lang w:val="en-US"/>
        </w:rPr>
        <w:br/>
        <w:t>    &lt;/rico:conditionsOfAccess&gt;</w:t>
      </w:r>
      <w:r w:rsidRPr="00392AF6">
        <w:rPr>
          <w:lang w:val="en-US"/>
        </w:rPr>
        <w:br/>
        <w:t>    </w:t>
      </w:r>
      <w:r w:rsidRPr="00392AF6">
        <w:rPr>
          <w:lang w:val="en-US"/>
        </w:rPr>
        <w:br/>
        <w:t>    &lt;rico:conditionsOfAccess rdf:</w:t>
      </w:r>
      <w:r w:rsidRPr="00392AF6">
        <w:rPr>
          <w:color w:val="FF0000"/>
          <w:lang w:val="en-US"/>
        </w:rPr>
        <w:t>parseType</w:t>
      </w:r>
      <w:r w:rsidRPr="00392AF6">
        <w:rPr>
          <w:color w:val="0000FF"/>
          <w:lang w:val="en-US"/>
        </w:rPr>
        <w:t>="Literal"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&lt;html:div xml:</w:t>
      </w:r>
      <w:r w:rsidRPr="00392AF6">
        <w:rPr>
          <w:color w:val="FF0000"/>
          <w:lang w:val="en-US"/>
        </w:rPr>
        <w:t>lang</w:t>
      </w:r>
      <w:r w:rsidRPr="00392AF6">
        <w:rPr>
          <w:color w:val="0000FF"/>
          <w:lang w:val="en-US"/>
        </w:rPr>
        <w:t>="fr"</w:t>
      </w:r>
      <w:r w:rsidRPr="00392AF6">
        <w:rPr>
          <w:lang w:val="en-US"/>
        </w:rPr>
        <w:t>&gt;</w:t>
      </w:r>
      <w:r w:rsidRPr="00392AF6">
        <w:rPr>
          <w:lang w:val="en-US"/>
        </w:rPr>
        <w:br/>
        <w:t>            </w:t>
      </w:r>
      <w:r w:rsidRPr="00392AF6">
        <w:rPr>
          <w:highlight w:val="yellow"/>
          <w:lang w:val="en-US"/>
        </w:rPr>
        <w:t>&lt;list&gt;</w:t>
      </w:r>
      <w:r w:rsidRPr="00392AF6">
        <w:rPr>
          <w:highlight w:val="yellow"/>
          <w:lang w:val="en-US"/>
        </w:rPr>
        <w:br/>
        <w:t>                &lt;defitem&gt;</w:t>
      </w:r>
      <w:r w:rsidRPr="00392AF6">
        <w:rPr>
          <w:highlight w:val="yellow"/>
          <w:lang w:val="en-US"/>
        </w:rPr>
        <w:br/>
        <w:t>                    &lt;label&gt;hasPrivacyProtection&lt;/label&gt;</w:t>
      </w:r>
      <w:r w:rsidRPr="00392AF6">
        <w:rPr>
          <w:highlight w:val="yellow"/>
          <w:lang w:val="en-US"/>
        </w:rPr>
        <w:br/>
        <w:t>                    &lt;item&gt;false&lt;/item&gt;</w:t>
      </w:r>
      <w:r w:rsidRPr="00392AF6">
        <w:rPr>
          <w:highlight w:val="yellow"/>
          <w:lang w:val="en-US"/>
        </w:rPr>
        <w:br/>
        <w:t>                &lt;/defitem&gt;</w:t>
      </w:r>
      <w:r w:rsidRPr="00392AF6">
        <w:rPr>
          <w:highlight w:val="yellow"/>
          <w:lang w:val="en-US"/>
        </w:rPr>
        <w:br/>
        <w:t>            &lt;/list&gt;</w:t>
      </w:r>
      <w:r w:rsidRPr="00392AF6">
        <w:rPr>
          <w:lang w:val="en-US"/>
        </w:rPr>
        <w:br/>
        <w:t>        &lt;/html:div&gt;</w:t>
      </w:r>
      <w:r w:rsidRPr="00392AF6">
        <w:rPr>
          <w:lang w:val="en-US"/>
        </w:rPr>
        <w:br/>
        <w:t>    &lt;/rico:conditionsOfAccess&gt;</w:t>
      </w:r>
    </w:p>
    <w:p w:rsidR="00600845" w:rsidRDefault="00600845" w:rsidP="00600845">
      <w:pPr>
        <w:pStyle w:val="berschrift1"/>
        <w:rPr>
          <w:lang w:val="en-US"/>
        </w:rPr>
      </w:pPr>
      <w:r>
        <w:rPr>
          <w:lang w:val="en-US"/>
        </w:rPr>
        <w:t xml:space="preserve">Triple Store </w:t>
      </w:r>
      <w:proofErr w:type="spellStart"/>
      <w:r>
        <w:rPr>
          <w:lang w:val="en-US"/>
        </w:rPr>
        <w:t>implementieren</w:t>
      </w:r>
      <w:proofErr w:type="spellEnd"/>
    </w:p>
    <w:p w:rsidR="00600845" w:rsidRPr="00600845" w:rsidRDefault="00600845" w:rsidP="00600845">
      <w:pPr>
        <w:ind w:right="-1277"/>
        <w:rPr>
          <w:lang w:val="en-US"/>
        </w:rPr>
      </w:pPr>
      <w:hyperlink r:id="rId7" w:history="1">
        <w:r w:rsidRPr="00D92E40">
          <w:rPr>
            <w:rStyle w:val="Hyperlink"/>
            <w:lang w:val="en-US"/>
          </w:rPr>
          <w:t>https://www.w3.org/2009/Talks/0615-qbe/</w:t>
        </w:r>
      </w:hyperlink>
      <w:r>
        <w:rPr>
          <w:lang w:val="en-US"/>
        </w:rPr>
        <w:t xml:space="preserve"> </w:t>
      </w:r>
    </w:p>
    <w:p w:rsidR="00600845" w:rsidRPr="00600845" w:rsidRDefault="00600845" w:rsidP="00600845">
      <w:pPr>
        <w:ind w:right="-1277"/>
        <w:rPr>
          <w:lang w:val="en-US"/>
        </w:rPr>
      </w:pPr>
      <w:hyperlink r:id="rId8" w:history="1">
        <w:r w:rsidRPr="00D92E40">
          <w:rPr>
            <w:rStyle w:val="Hyperlink"/>
            <w:lang w:val="en-US"/>
          </w:rPr>
          <w:t>https://github.com/semsol/arc2</w:t>
        </w:r>
      </w:hyperlink>
      <w:r>
        <w:rPr>
          <w:lang w:val="en-US"/>
        </w:rPr>
        <w:t xml:space="preserve"> </w:t>
      </w:r>
    </w:p>
    <w:p w:rsidR="00600845" w:rsidRPr="00BA2091" w:rsidRDefault="00600845" w:rsidP="00600845">
      <w:pPr>
        <w:ind w:right="-1277"/>
        <w:rPr>
          <w:lang w:val="en-US"/>
        </w:rPr>
      </w:pPr>
      <w:hyperlink r:id="rId9" w:history="1">
        <w:r w:rsidRPr="00D92E40">
          <w:rPr>
            <w:rStyle w:val="Hyperlink"/>
            <w:lang w:val="en-US"/>
          </w:rPr>
          <w:t>http://librdf.org/query/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600845" w:rsidRPr="00BA2091" w:rsidSect="00841C7A"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44" w:rsidRDefault="00AC5544">
      <w:r>
        <w:separator/>
      </w:r>
    </w:p>
  </w:endnote>
  <w:endnote w:type="continuationSeparator" w:id="0">
    <w:p w:rsidR="00AC5544" w:rsidRDefault="00AC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BD2" w:rsidRPr="00CD22DD" w:rsidRDefault="006A0BD2" w:rsidP="006A0BD2">
    <w:pPr>
      <w:pStyle w:val="Fuzeile"/>
      <w:rPr>
        <w:sz w:val="18"/>
        <w:szCs w:val="18"/>
        <w:lang w:val="en-US"/>
      </w:rPr>
    </w:pPr>
    <w:r w:rsidRPr="003E3CC5">
      <w:rPr>
        <w:sz w:val="18"/>
        <w:szCs w:val="18"/>
      </w:rPr>
      <w:fldChar w:fldCharType="begin"/>
    </w:r>
    <w:r w:rsidRPr="00CD22DD">
      <w:rPr>
        <w:sz w:val="18"/>
        <w:szCs w:val="18"/>
        <w:lang w:val="en-US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CD22DD" w:rsidRPr="00CD22DD">
      <w:rPr>
        <w:noProof/>
        <w:sz w:val="18"/>
        <w:szCs w:val="18"/>
        <w:lang w:val="en-US"/>
      </w:rPr>
      <w:t>C:\workbench\_Workbench\docu\Todo.docx</w:t>
    </w:r>
    <w:r w:rsidRPr="003E3CC5">
      <w:rPr>
        <w:sz w:val="18"/>
        <w:szCs w:val="18"/>
      </w:rPr>
      <w:fldChar w:fldCharType="end"/>
    </w:r>
  </w:p>
  <w:p w:rsidR="006A0BD2" w:rsidRPr="003E3CC5" w:rsidRDefault="006A0BD2" w:rsidP="006A0BD2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/Km/</w:t>
    </w:r>
    <w:proofErr w:type="spellStart"/>
    <w:r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600845">
      <w:rPr>
        <w:noProof/>
        <w:sz w:val="18"/>
        <w:szCs w:val="18"/>
      </w:rPr>
      <w:t>16.02.2021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600845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600845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</w:p>
  <w:p w:rsidR="006A0BD2" w:rsidRPr="00841C7A" w:rsidRDefault="006A0BD2" w:rsidP="006A0BD2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C7A" w:rsidRPr="00CD22DD" w:rsidRDefault="00AE5B10">
    <w:pPr>
      <w:pStyle w:val="Fuzeile"/>
      <w:rPr>
        <w:sz w:val="18"/>
        <w:szCs w:val="18"/>
        <w:lang w:val="en-US"/>
      </w:rPr>
    </w:pPr>
    <w:r w:rsidRPr="003E3CC5">
      <w:rPr>
        <w:sz w:val="18"/>
        <w:szCs w:val="18"/>
      </w:rPr>
      <w:fldChar w:fldCharType="begin"/>
    </w:r>
    <w:r w:rsidRPr="00CD22DD">
      <w:rPr>
        <w:sz w:val="18"/>
        <w:szCs w:val="18"/>
        <w:lang w:val="en-US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CD22DD" w:rsidRPr="00CD22DD">
      <w:rPr>
        <w:noProof/>
        <w:sz w:val="18"/>
        <w:szCs w:val="18"/>
        <w:lang w:val="en-US"/>
      </w:rPr>
      <w:t>C:\workbench\_Workbench\docu\Todo.docx</w:t>
    </w:r>
    <w:r w:rsidRPr="003E3CC5">
      <w:rPr>
        <w:sz w:val="18"/>
        <w:szCs w:val="18"/>
      </w:rPr>
      <w:fldChar w:fldCharType="end"/>
    </w:r>
  </w:p>
  <w:p w:rsidR="00AE5B10" w:rsidRPr="003E3CC5" w:rsidRDefault="00AE5B10" w:rsidP="00AE5B10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</w:t>
    </w:r>
    <w:r w:rsidR="003E3CC5" w:rsidRPr="003E3CC5">
      <w:rPr>
        <w:sz w:val="18"/>
        <w:szCs w:val="18"/>
      </w:rPr>
      <w:t>/</w:t>
    </w:r>
    <w:proofErr w:type="spellStart"/>
    <w:r w:rsidR="003E3CC5"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Pr="003E3CC5">
      <w:rPr>
        <w:sz w:val="18"/>
        <w:szCs w:val="18"/>
      </w:rPr>
      <w:fldChar w:fldCharType="separate"/>
    </w:r>
    <w:r w:rsidR="00600845">
      <w:rPr>
        <w:noProof/>
        <w:sz w:val="18"/>
        <w:szCs w:val="18"/>
      </w:rPr>
      <w:t>16.02.2021</w:t>
    </w:r>
    <w:r w:rsidRPr="003E3CC5">
      <w:rPr>
        <w:sz w:val="18"/>
        <w:szCs w:val="18"/>
      </w:rPr>
      <w:fldChar w:fldCharType="end"/>
    </w:r>
    <w:r w:rsidR="003E3CC5"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Pr="003E3CC5">
      <w:rPr>
        <w:sz w:val="18"/>
        <w:szCs w:val="18"/>
      </w:rPr>
      <w:fldChar w:fldCharType="separate"/>
    </w:r>
    <w:r w:rsidR="00600845">
      <w:rPr>
        <w:noProof/>
        <w:sz w:val="18"/>
        <w:szCs w:val="18"/>
      </w:rPr>
      <w:t>1</w:t>
    </w:r>
    <w:r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Pr="003E3CC5">
      <w:rPr>
        <w:sz w:val="18"/>
        <w:szCs w:val="18"/>
      </w:rPr>
      <w:fldChar w:fldCharType="separate"/>
    </w:r>
    <w:r w:rsidR="00600845">
      <w:rPr>
        <w:noProof/>
        <w:sz w:val="18"/>
        <w:szCs w:val="18"/>
      </w:rPr>
      <w:t>2</w:t>
    </w:r>
    <w:r w:rsidRPr="003E3CC5">
      <w:rPr>
        <w:sz w:val="18"/>
        <w:szCs w:val="18"/>
      </w:rPr>
      <w:fldChar w:fldCharType="end"/>
    </w:r>
  </w:p>
  <w:p w:rsidR="00AE5B10" w:rsidRPr="00841C7A" w:rsidRDefault="00AE5B10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44" w:rsidRDefault="00AC5544">
      <w:r>
        <w:separator/>
      </w:r>
    </w:p>
  </w:footnote>
  <w:footnote w:type="continuationSeparator" w:id="0">
    <w:p w:rsidR="00AC5544" w:rsidRDefault="00AC5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13"/>
      <w:gridCol w:w="6691"/>
    </w:tblGrid>
    <w:tr w:rsidR="00841C7A" w:rsidTr="003E2328">
      <w:tc>
        <w:tcPr>
          <w:tcW w:w="1813" w:type="dxa"/>
          <w:tcMar>
            <w:left w:w="57" w:type="dxa"/>
            <w:right w:w="57" w:type="dxa"/>
          </w:tcMar>
        </w:tcPr>
        <w:p w:rsidR="00841C7A" w:rsidRDefault="00841C7A" w:rsidP="007E6797">
          <w:pPr>
            <w:pStyle w:val="Kopfzeile1"/>
            <w:ind w:left="-63"/>
          </w:pPr>
          <w:r w:rsidRPr="003E3CC5"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:rsidR="00841C7A" w:rsidRPr="00841C7A" w:rsidRDefault="00841C7A" w:rsidP="003E3CC5">
          <w:pPr>
            <w:pStyle w:val="Kopfzeile2"/>
          </w:pPr>
          <w:r w:rsidRPr="00841C7A">
            <w:t>Koordinationsstelle für die dauerhafte Archivierung elektronischer Unterlagen</w:t>
          </w:r>
        </w:p>
      </w:tc>
    </w:tr>
  </w:tbl>
  <w:p w:rsidR="00841C7A" w:rsidRPr="006B77FD" w:rsidRDefault="00841C7A" w:rsidP="003E3CC5">
    <w:pPr>
      <w:pStyle w:val="Kopfzeile3"/>
    </w:pPr>
    <w:r w:rsidRPr="006B77FD">
      <w:t>Ein Gemeinschaftsunternehmen von Schweizer Archiven</w:t>
    </w:r>
  </w:p>
  <w:p w:rsidR="00841C7A" w:rsidRDefault="00841C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85F"/>
    <w:multiLevelType w:val="hybridMultilevel"/>
    <w:tmpl w:val="80FA70BE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BB3"/>
    <w:multiLevelType w:val="hybridMultilevel"/>
    <w:tmpl w:val="15D87D66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106B7"/>
    <w:multiLevelType w:val="multilevel"/>
    <w:tmpl w:val="382419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EC4E16"/>
    <w:multiLevelType w:val="hybridMultilevel"/>
    <w:tmpl w:val="F6941C0E"/>
    <w:lvl w:ilvl="0" w:tplc="C7A6CB1A">
      <w:start w:val="4"/>
      <w:numFmt w:val="bullet"/>
      <w:pStyle w:val="Listenabsatz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401A"/>
    <w:multiLevelType w:val="hybridMultilevel"/>
    <w:tmpl w:val="DF0C50D8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63B40"/>
    <w:multiLevelType w:val="hybridMultilevel"/>
    <w:tmpl w:val="D2B87D94"/>
    <w:lvl w:ilvl="0" w:tplc="EC6CB3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8E2990"/>
    <w:multiLevelType w:val="hybridMultilevel"/>
    <w:tmpl w:val="51DA68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50C3"/>
    <w:multiLevelType w:val="hybridMultilevel"/>
    <w:tmpl w:val="27BA8D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76F3"/>
    <w:multiLevelType w:val="hybridMultilevel"/>
    <w:tmpl w:val="1C84713C"/>
    <w:lvl w:ilvl="0" w:tplc="5EB8423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B7137"/>
    <w:multiLevelType w:val="hybridMultilevel"/>
    <w:tmpl w:val="67C21A4E"/>
    <w:lvl w:ilvl="0" w:tplc="001A2AE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1C30"/>
    <w:multiLevelType w:val="hybridMultilevel"/>
    <w:tmpl w:val="0AD26582"/>
    <w:lvl w:ilvl="0" w:tplc="5EB8423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0"/>
    <w:rsid w:val="00000B4F"/>
    <w:rsid w:val="000B5111"/>
    <w:rsid w:val="000C263B"/>
    <w:rsid w:val="000E0C13"/>
    <w:rsid w:val="000F0AF4"/>
    <w:rsid w:val="00145C4B"/>
    <w:rsid w:val="00151B69"/>
    <w:rsid w:val="001C1323"/>
    <w:rsid w:val="001D7FAA"/>
    <w:rsid w:val="001E6038"/>
    <w:rsid w:val="002A100B"/>
    <w:rsid w:val="002B311B"/>
    <w:rsid w:val="002C02FD"/>
    <w:rsid w:val="0032167F"/>
    <w:rsid w:val="00392AF6"/>
    <w:rsid w:val="00397BF6"/>
    <w:rsid w:val="003B11AD"/>
    <w:rsid w:val="003E2328"/>
    <w:rsid w:val="003E3CC5"/>
    <w:rsid w:val="003E6CB0"/>
    <w:rsid w:val="0041166A"/>
    <w:rsid w:val="00475337"/>
    <w:rsid w:val="004A4633"/>
    <w:rsid w:val="00524EB9"/>
    <w:rsid w:val="00525D7C"/>
    <w:rsid w:val="005B3403"/>
    <w:rsid w:val="00600845"/>
    <w:rsid w:val="00611548"/>
    <w:rsid w:val="006178FD"/>
    <w:rsid w:val="00661753"/>
    <w:rsid w:val="006A0BD2"/>
    <w:rsid w:val="006B77FD"/>
    <w:rsid w:val="006E4C88"/>
    <w:rsid w:val="0070231A"/>
    <w:rsid w:val="0071771C"/>
    <w:rsid w:val="007E6797"/>
    <w:rsid w:val="00841C7A"/>
    <w:rsid w:val="008502FF"/>
    <w:rsid w:val="00893F40"/>
    <w:rsid w:val="00906BE5"/>
    <w:rsid w:val="0091504B"/>
    <w:rsid w:val="00943920"/>
    <w:rsid w:val="009835A8"/>
    <w:rsid w:val="009A3B09"/>
    <w:rsid w:val="009E1576"/>
    <w:rsid w:val="00AC5544"/>
    <w:rsid w:val="00AE5B10"/>
    <w:rsid w:val="00BA2091"/>
    <w:rsid w:val="00BC6751"/>
    <w:rsid w:val="00BF3666"/>
    <w:rsid w:val="00C35172"/>
    <w:rsid w:val="00C47810"/>
    <w:rsid w:val="00C933BC"/>
    <w:rsid w:val="00CC541D"/>
    <w:rsid w:val="00CD22DD"/>
    <w:rsid w:val="00DE26D0"/>
    <w:rsid w:val="00E15159"/>
    <w:rsid w:val="00E842B7"/>
    <w:rsid w:val="00EB18F8"/>
    <w:rsid w:val="00F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3BFE879"/>
  <w15:docId w15:val="{65ABE29D-0294-4114-816D-AB883A34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3CC5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3E3CC5"/>
    <w:pPr>
      <w:keepNext/>
      <w:numPr>
        <w:numId w:val="2"/>
      </w:numPr>
      <w:spacing w:before="480" w:after="240"/>
      <w:outlineLvl w:val="0"/>
    </w:pPr>
    <w:rPr>
      <w:b/>
    </w:rPr>
  </w:style>
  <w:style w:type="paragraph" w:styleId="berschrift2">
    <w:name w:val="heading 2"/>
    <w:basedOn w:val="berschrift1"/>
    <w:next w:val="Standard"/>
    <w:autoRedefine/>
    <w:qFormat/>
    <w:rsid w:val="002B311B"/>
    <w:pPr>
      <w:numPr>
        <w:ilvl w:val="1"/>
      </w:numPr>
      <w:tabs>
        <w:tab w:val="clear" w:pos="1711"/>
        <w:tab w:val="num" w:pos="576"/>
      </w:tabs>
      <w:spacing w:before="360" w:after="120"/>
      <w:ind w:left="576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3E3CC5"/>
    <w:pPr>
      <w:numPr>
        <w:ilvl w:val="2"/>
      </w:numPr>
      <w:tabs>
        <w:tab w:val="clear" w:pos="720"/>
        <w:tab w:val="num" w:pos="567"/>
      </w:tabs>
      <w:ind w:left="567" w:hanging="567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2B311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2B311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2B311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2B311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2B311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2B311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B77F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Pr>
      <w:i/>
      <w:sz w:val="20"/>
    </w:rPr>
  </w:style>
  <w:style w:type="paragraph" w:styleId="Sprechblasentext">
    <w:name w:val="Balloon Text"/>
    <w:basedOn w:val="Standard"/>
    <w:link w:val="SprechblasentextZchn"/>
    <w:rsid w:val="008502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02FF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paragraph" w:customStyle="1" w:styleId="Dokumenttitel">
    <w:name w:val="Dokumenttitel"/>
    <w:basedOn w:val="berschrift1"/>
    <w:pPr>
      <w:numPr>
        <w:numId w:val="0"/>
      </w:numPr>
      <w:spacing w:before="120"/>
    </w:pPr>
    <w:rPr>
      <w:sz w:val="28"/>
    </w:rPr>
  </w:style>
  <w:style w:type="paragraph" w:customStyle="1" w:styleId="Kopfzeile3">
    <w:name w:val="Kopfzeile3"/>
    <w:basedOn w:val="Standard"/>
    <w:link w:val="Kopfzeile3Zchn"/>
    <w:qFormat/>
    <w:rsid w:val="003E3CC5"/>
    <w:pPr>
      <w:spacing w:before="20"/>
    </w:pPr>
    <w:rPr>
      <w:color w:val="333333"/>
      <w:spacing w:val="46"/>
      <w:sz w:val="24"/>
    </w:rPr>
  </w:style>
  <w:style w:type="paragraph" w:customStyle="1" w:styleId="Kopfzeile1">
    <w:name w:val="Kopfzeile1"/>
    <w:basedOn w:val="Standard"/>
    <w:qFormat/>
    <w:rsid w:val="003E3CC5"/>
    <w:rPr>
      <w:color w:val="333333"/>
      <w:sz w:val="64"/>
    </w:rPr>
  </w:style>
  <w:style w:type="character" w:customStyle="1" w:styleId="Kopfzeile3Zchn">
    <w:name w:val="Kopfzeile3 Zchn"/>
    <w:basedOn w:val="Absatz-Standardschriftart"/>
    <w:link w:val="Kopfzeile3"/>
    <w:rsid w:val="003E3CC5"/>
    <w:rPr>
      <w:rFonts w:ascii="Arial" w:hAnsi="Arial"/>
      <w:color w:val="333333"/>
      <w:spacing w:val="46"/>
      <w:sz w:val="24"/>
      <w:szCs w:val="24"/>
      <w:lang w:eastAsia="en-US"/>
    </w:rPr>
  </w:style>
  <w:style w:type="paragraph" w:customStyle="1" w:styleId="Kopfzeile2">
    <w:name w:val="Kopfzeile2"/>
    <w:basedOn w:val="Standard"/>
    <w:qFormat/>
    <w:rsid w:val="003E3CC5"/>
    <w:pPr>
      <w:spacing w:before="100" w:line="280" w:lineRule="atLeast"/>
    </w:pPr>
    <w:rPr>
      <w:rFonts w:cs="Arial"/>
      <w:b/>
      <w:color w:val="333333"/>
      <w:spacing w:val="12"/>
      <w:sz w:val="24"/>
    </w:rPr>
  </w:style>
  <w:style w:type="paragraph" w:styleId="Listenabsatz">
    <w:name w:val="List Paragraph"/>
    <w:basedOn w:val="Standard"/>
    <w:uiPriority w:val="34"/>
    <w:qFormat/>
    <w:rsid w:val="003E3CC5"/>
    <w:pPr>
      <w:numPr>
        <w:numId w:val="3"/>
      </w:numPr>
      <w:ind w:left="567" w:hanging="283"/>
      <w:contextualSpacing/>
    </w:pPr>
  </w:style>
  <w:style w:type="character" w:styleId="Hyperlink">
    <w:name w:val="Hyperlink"/>
    <w:basedOn w:val="Absatz-Standardschriftart"/>
    <w:uiPriority w:val="99"/>
    <w:unhideWhenUsed/>
    <w:rsid w:val="003E6CB0"/>
    <w:rPr>
      <w:color w:val="0000FF" w:themeColor="hyperlink"/>
      <w:u w:val="single"/>
    </w:rPr>
  </w:style>
  <w:style w:type="character" w:customStyle="1" w:styleId="mw-headline">
    <w:name w:val="mw-headline"/>
    <w:basedOn w:val="Absatz-Standardschriftart"/>
    <w:rsid w:val="000C263B"/>
  </w:style>
  <w:style w:type="paragraph" w:styleId="StandardWeb">
    <w:name w:val="Normal (Web)"/>
    <w:basedOn w:val="Standard"/>
    <w:uiPriority w:val="99"/>
    <w:semiHidden/>
    <w:unhideWhenUsed/>
    <w:rsid w:val="000C263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0C263B"/>
    <w:rPr>
      <w:rFonts w:ascii="Courier New" w:eastAsia="Times New Roman" w:hAnsi="Courier New" w:cs="Courier New"/>
      <w:sz w:val="20"/>
      <w:szCs w:val="20"/>
    </w:rPr>
  </w:style>
  <w:style w:type="paragraph" w:customStyle="1" w:styleId="FormatvorlageCourierNew10PtRechts-225cm">
    <w:name w:val="Formatvorlage Courier New 10 Pt. Rechts:  -2.25 cm"/>
    <w:basedOn w:val="Standard"/>
    <w:rsid w:val="00E842B7"/>
    <w:pPr>
      <w:ind w:right="-1277"/>
    </w:pPr>
    <w:rPr>
      <w:rFonts w:ascii="Courier New" w:hAnsi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sol/arc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2009/Talks/0615-qb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ibrdf.org/que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Martin KOST</dc:creator>
  <cp:lastModifiedBy>Kaiser Martin KOST</cp:lastModifiedBy>
  <cp:revision>25</cp:revision>
  <cp:lastPrinted>1899-12-31T23:00:00Z</cp:lastPrinted>
  <dcterms:created xsi:type="dcterms:W3CDTF">2020-06-10T07:50:00Z</dcterms:created>
  <dcterms:modified xsi:type="dcterms:W3CDTF">2021-02-16T15:19:00Z</dcterms:modified>
</cp:coreProperties>
</file>