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Semnale de control MIPS32</w:t>
      </w:r>
    </w:p>
    <w:p>
      <w:pPr>
        <w:pStyle w:val="Body A"/>
        <w:spacing w:after="0" w:line="240" w:lineRule="auto"/>
        <w:jc w:val="right"/>
      </w:pPr>
      <w:r>
        <w:rPr>
          <w:shd w:val="clear" w:color="auto" w:fill="ffff00"/>
          <w:rtl w:val="0"/>
          <w:lang w:val="en-US"/>
        </w:rPr>
        <w:t>Semnale de Branch op</w:t>
      </w:r>
      <w:r>
        <w:rPr>
          <w:shd w:val="clear" w:color="auto" w:fill="ffff00"/>
          <w:rtl w:val="0"/>
          <w:lang w:val="en-US"/>
        </w:rPr>
        <w:t>ț</w:t>
      </w:r>
      <w:r>
        <w:rPr>
          <w:shd w:val="clear" w:color="auto" w:fill="ffff00"/>
          <w:rtl w:val="0"/>
          <w:lang w:val="fr-FR"/>
        </w:rPr>
        <w:t xml:space="preserve">ionale: ? </w:t>
      </w:r>
      <w:r>
        <w:rPr>
          <w:shd w:val="clear" w:color="auto" w:fill="ffff00"/>
          <w:rtl w:val="0"/>
          <w:lang w:val="en-US"/>
        </w:rPr>
        <w:t xml:space="preserve">ϵ </w:t>
      </w:r>
      <w:r>
        <w:rPr>
          <w:shd w:val="clear" w:color="auto" w:fill="ffff00"/>
          <w:rtl w:val="0"/>
          <w:lang w:val="fr-FR"/>
        </w:rPr>
        <w:t xml:space="preserve">{gez, ne, gtz}, se va </w:t>
      </w:r>
      <w:r>
        <w:rPr>
          <w:shd w:val="clear" w:color="auto" w:fill="ffff00"/>
          <w:rtl w:val="0"/>
          <w:lang w:val="en-US"/>
        </w:rPr>
        <w:t>î</w:t>
      </w:r>
      <w:r>
        <w:rPr>
          <w:shd w:val="clear" w:color="auto" w:fill="ffff00"/>
          <w:rtl w:val="0"/>
          <w:lang w:val="en-US"/>
        </w:rPr>
        <w:t>nlocui ? cu o valoare din parantez</w:t>
      </w:r>
      <w:r>
        <w:rPr>
          <w:shd w:val="clear" w:color="auto" w:fill="ffff00"/>
          <w:rtl w:val="0"/>
          <w:lang w:val="en-US"/>
        </w:rPr>
        <w:t>ă</w:t>
      </w:r>
      <w:r>
        <w:rPr>
          <w:shd w:val="clear" w:color="auto" w:fill="ffff00"/>
          <w:rtl w:val="0"/>
          <w:lang w:val="en-US"/>
        </w:rPr>
        <w:t>, dac</w:t>
      </w:r>
      <w:r>
        <w:rPr>
          <w:shd w:val="clear" w:color="auto" w:fill="ffff00"/>
          <w:rtl w:val="0"/>
          <w:lang w:val="en-US"/>
        </w:rPr>
        <w:t xml:space="preserve">ă </w:t>
      </w:r>
      <w:r>
        <w:rPr>
          <w:shd w:val="clear" w:color="auto" w:fill="ffff00"/>
          <w:rtl w:val="0"/>
          <w:lang w:val="en-US"/>
        </w:rPr>
        <w:t>e cazul</w:t>
      </w:r>
    </w:p>
    <w:p>
      <w:pPr>
        <w:pStyle w:val="Body A"/>
        <w:spacing w:after="0"/>
        <w:jc w:val="right"/>
        <w:rPr>
          <w:shd w:val="clear" w:color="auto" w:fill="00ff00"/>
        </w:rPr>
      </w:pPr>
      <w:r>
        <w:rPr>
          <w:shd w:val="clear" w:color="auto" w:fill="00ff00"/>
          <w:rtl w:val="0"/>
          <w:lang w:val="en-US"/>
        </w:rPr>
        <w:t>Tipuri de opera</w:t>
      </w:r>
      <w:r>
        <w:rPr>
          <w:shd w:val="clear" w:color="auto" w:fill="00ff00"/>
          <w:rtl w:val="0"/>
          <w:lang w:val="en-US"/>
        </w:rPr>
        <w:t>ț</w:t>
      </w:r>
      <w:r>
        <w:rPr>
          <w:shd w:val="clear" w:color="auto" w:fill="00ff00"/>
          <w:rtl w:val="0"/>
          <w:lang w:val="en-US"/>
        </w:rPr>
        <w:t xml:space="preserve">ii care se pun </w:t>
      </w:r>
      <w:r>
        <w:rPr>
          <w:shd w:val="clear" w:color="auto" w:fill="00ff00"/>
          <w:rtl w:val="0"/>
          <w:lang w:val="en-US"/>
        </w:rPr>
        <w:t>î</w:t>
      </w:r>
      <w:r>
        <w:rPr>
          <w:shd w:val="clear" w:color="auto" w:fill="00ff00"/>
          <w:rtl w:val="0"/>
          <w:lang w:val="es-ES_tradnl"/>
        </w:rPr>
        <w:t>n parantez</w:t>
      </w:r>
      <w:r>
        <w:rPr>
          <w:shd w:val="clear" w:color="auto" w:fill="00ff00"/>
          <w:rtl w:val="0"/>
          <w:lang w:val="en-US"/>
        </w:rPr>
        <w:t xml:space="preserve">ă </w:t>
      </w:r>
      <w:r>
        <w:rPr>
          <w:shd w:val="clear" w:color="auto" w:fill="00ff00"/>
          <w:rtl w:val="0"/>
          <w:lang w:val="en-US"/>
        </w:rPr>
        <w:t>la ALUOp si ALUCtrl:</w:t>
      </w:r>
    </w:p>
    <w:p>
      <w:pPr>
        <w:pStyle w:val="Body A"/>
        <w:spacing w:after="0"/>
        <w:jc w:val="right"/>
      </w:pPr>
      <w:r>
        <w:rPr>
          <w:shd w:val="clear" w:color="auto" w:fill="00ff00"/>
          <w:rtl w:val="0"/>
          <w:lang w:val="en-US"/>
        </w:rPr>
        <w:t>(+), (-), (&amp;), (|), (^), (&lt;&lt;</w:t>
      </w:r>
      <w:r>
        <w:rPr>
          <w:i w:val="1"/>
          <w:iCs w:val="1"/>
          <w:shd w:val="clear" w:color="auto" w:fill="00ff00"/>
          <w:rtl w:val="0"/>
          <w:lang w:val="en-US"/>
        </w:rPr>
        <w:t>l</w:t>
      </w:r>
      <w:r>
        <w:rPr>
          <w:shd w:val="clear" w:color="auto" w:fill="00ff00"/>
          <w:rtl w:val="0"/>
          <w:lang w:val="en-US"/>
        </w:rPr>
        <w:t>), (&lt;&lt;</w:t>
      </w:r>
      <w:r>
        <w:rPr>
          <w:i w:val="1"/>
          <w:iCs w:val="1"/>
          <w:shd w:val="clear" w:color="auto" w:fill="00ff00"/>
          <w:rtl w:val="0"/>
          <w:lang w:val="en-US"/>
        </w:rPr>
        <w:t>lv</w:t>
      </w:r>
      <w:r>
        <w:rPr>
          <w:shd w:val="clear" w:color="auto" w:fill="00ff00"/>
          <w:rtl w:val="0"/>
          <w:lang w:val="en-US"/>
        </w:rPr>
        <w:t>), (&gt;&gt;</w:t>
      </w:r>
      <w:r>
        <w:rPr>
          <w:i w:val="1"/>
          <w:iCs w:val="1"/>
          <w:shd w:val="clear" w:color="auto" w:fill="00ff00"/>
          <w:rtl w:val="0"/>
          <w:lang w:val="en-US"/>
        </w:rPr>
        <w:t>l</w:t>
      </w:r>
      <w:r>
        <w:rPr>
          <w:shd w:val="clear" w:color="auto" w:fill="00ff00"/>
          <w:rtl w:val="0"/>
          <w:lang w:val="en-US"/>
        </w:rPr>
        <w:t>), (&gt;&gt;</w:t>
      </w:r>
      <w:r>
        <w:rPr>
          <w:i w:val="1"/>
          <w:iCs w:val="1"/>
          <w:shd w:val="clear" w:color="auto" w:fill="00ff00"/>
          <w:rtl w:val="0"/>
          <w:lang w:val="en-US"/>
        </w:rPr>
        <w:t>a</w:t>
      </w:r>
      <w:r>
        <w:rPr>
          <w:shd w:val="clear" w:color="auto" w:fill="00ff00"/>
          <w:rtl w:val="0"/>
          <w:lang w:val="en-US"/>
        </w:rPr>
        <w:t>), (&lt;)</w:t>
      </w:r>
      <w:r>
        <w:rPr>
          <w:rtl w:val="0"/>
          <w:lang w:val="en-US"/>
        </w:rPr>
        <w:t xml:space="preserve"> </w:t>
      </w:r>
    </w:p>
    <w:p>
      <w:pPr>
        <w:pStyle w:val="Body A"/>
        <w:spacing w:after="0"/>
        <w:jc w:val="right"/>
        <w:rPr>
          <w:i w:val="1"/>
          <w:iCs w:val="1"/>
        </w:rPr>
      </w:pPr>
      <w:r>
        <w:rPr>
          <w:shd w:val="clear" w:color="auto" w:fill="00ffff"/>
          <w:rtl w:val="0"/>
          <w:lang w:val="en-US"/>
        </w:rPr>
        <w:t>Semnifica</w:t>
      </w:r>
      <w:r>
        <w:rPr>
          <w:shd w:val="clear" w:color="auto" w:fill="00ffff"/>
          <w:rtl w:val="0"/>
          <w:lang w:val="en-US"/>
        </w:rPr>
        <w:t>ț</w:t>
      </w:r>
      <w:r>
        <w:rPr>
          <w:shd w:val="clear" w:color="auto" w:fill="00ffff"/>
          <w:rtl w:val="0"/>
          <w:lang w:val="en-US"/>
        </w:rPr>
        <w:t>ii: &amp; - AND, | - OR, ^</w:t>
      </w:r>
      <w:r>
        <w:rPr>
          <w:i w:val="1"/>
          <w:iCs w:val="1"/>
          <w:shd w:val="clear" w:color="auto" w:fill="00ffff"/>
          <w:rtl w:val="0"/>
          <w:lang w:val="de-DE"/>
        </w:rPr>
        <w:t xml:space="preserve"> - XOR, l</w:t>
      </w:r>
      <w:r>
        <w:rPr>
          <w:shd w:val="clear" w:color="auto" w:fill="00ffff"/>
          <w:rtl w:val="0"/>
          <w:lang w:val="en-US"/>
        </w:rPr>
        <w:t xml:space="preserve"> </w:t>
      </w:r>
      <w:r>
        <w:rPr>
          <w:i w:val="1"/>
          <w:iCs w:val="1"/>
          <w:shd w:val="clear" w:color="auto" w:fill="00ffff"/>
          <w:rtl w:val="0"/>
          <w:lang w:val="en-US"/>
        </w:rPr>
        <w:t>- logic, a - aritmetic, v - cu variabil</w:t>
      </w:r>
      <w:r>
        <w:rPr>
          <w:i w:val="1"/>
          <w:iCs w:val="1"/>
          <w:shd w:val="clear" w:color="auto" w:fill="00ffff"/>
          <w:rtl w:val="0"/>
          <w:lang w:val="en-US"/>
        </w:rPr>
        <w:t>ă</w:t>
      </w:r>
    </w:p>
    <w:tbl>
      <w:tblPr>
        <w:tblW w:w="1415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1"/>
        <w:gridCol w:w="1415"/>
      </w:tblGrid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8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Instruc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ț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iune</w:t>
            </w:r>
          </w:p>
        </w:tc>
        <w:tc>
          <w:tcPr>
            <w:tcW w:type="dxa" w:w="136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Opcode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Instr[31-26]</w:t>
            </w:r>
          </w:p>
        </w:tc>
        <w:tc>
          <w:tcPr>
            <w:tcW w:type="dxa" w:w="69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RegDst</w:t>
            </w:r>
          </w:p>
        </w:tc>
        <w:tc>
          <w:tcPr>
            <w:tcW w:type="dxa" w:w="8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nl-NL"/>
              </w:rPr>
              <w:t>ExtOp</w:t>
            </w:r>
          </w:p>
        </w:tc>
        <w:tc>
          <w:tcPr>
            <w:tcW w:type="dxa" w:w="9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ALUSrc</w:t>
            </w:r>
          </w:p>
        </w:tc>
        <w:tc>
          <w:tcPr>
            <w:tcW w:type="dxa" w:w="9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Branch</w:t>
            </w:r>
          </w:p>
        </w:tc>
        <w:tc>
          <w:tcPr>
            <w:tcW w:type="dxa" w:w="7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  <w:rPr>
                <w:b w:val="1"/>
                <w:bCs w:val="1"/>
                <w:outline w:val="0"/>
                <w:color w:val="a6a6a6"/>
                <w:u w:color="a6a6a6"/>
                <w:shd w:val="nil" w:color="auto" w:fill="auto"/>
                <w14:textFill>
                  <w14:solidFill>
                    <w14:srgbClr w14:val="A6A6A6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a6a6a6"/>
                <w:u w:color="a6a6a6"/>
                <w:shd w:val="nil" w:color="auto" w:fill="auto"/>
                <w:rtl w:val="0"/>
                <w:lang w:val="zh-TW" w:eastAsia="zh-TW"/>
                <w14:textFill>
                  <w14:solidFill>
                    <w14:srgbClr w14:val="A6A6A6"/>
                  </w14:solidFill>
                </w14:textFill>
              </w:rPr>
              <w:t>Br_?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a6a6a6"/>
                <w:sz w:val="16"/>
                <w:szCs w:val="16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(op</w:t>
            </w:r>
            <w:r>
              <w:rPr>
                <w:outline w:val="0"/>
                <w:color w:val="a6a6a6"/>
                <w:sz w:val="16"/>
                <w:szCs w:val="16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ț</w:t>
            </w:r>
            <w:r>
              <w:rPr>
                <w:outline w:val="0"/>
                <w:color w:val="a6a6a6"/>
                <w:sz w:val="16"/>
                <w:szCs w:val="16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ional)</w:t>
            </w:r>
          </w:p>
        </w:tc>
        <w:tc>
          <w:tcPr>
            <w:tcW w:type="dxa" w:w="72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Jump</w:t>
            </w:r>
          </w:p>
        </w:tc>
        <w:tc>
          <w:tcPr>
            <w:tcW w:type="dxa" w:w="8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outline w:val="0"/>
                <w:color w:val="a6a6a6"/>
                <w:u w:color="a6a6a6"/>
                <w:shd w:val="nil" w:color="auto" w:fill="auto"/>
                <w:rtl w:val="0"/>
                <w:lang w:val="de-DE"/>
                <w14:textFill>
                  <w14:solidFill>
                    <w14:srgbClr w14:val="A6A6A6"/>
                  </w14:solidFill>
                </w14:textFill>
              </w:rPr>
              <w:t xml:space="preserve">JmpR </w:t>
            </w:r>
            <w:r>
              <w:rPr>
                <w:outline w:val="0"/>
                <w:color w:val="a6a6a6"/>
                <w:sz w:val="16"/>
                <w:szCs w:val="16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(op</w:t>
            </w:r>
            <w:r>
              <w:rPr>
                <w:outline w:val="0"/>
                <w:color w:val="a6a6a6"/>
                <w:sz w:val="16"/>
                <w:szCs w:val="16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ț</w:t>
            </w:r>
            <w:r>
              <w:rPr>
                <w:outline w:val="0"/>
                <w:color w:val="a6a6a6"/>
                <w:sz w:val="16"/>
                <w:szCs w:val="16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ional)</w:t>
            </w:r>
          </w:p>
        </w:tc>
        <w:tc>
          <w:tcPr>
            <w:tcW w:type="dxa" w:w="8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MemWrite</w:t>
            </w:r>
          </w:p>
        </w:tc>
        <w:tc>
          <w:tcPr>
            <w:tcW w:type="dxa" w:w="9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nl-NL"/>
              </w:rPr>
              <w:t>MemtoReg</w:t>
            </w:r>
          </w:p>
        </w:tc>
        <w:tc>
          <w:tcPr>
            <w:tcW w:type="dxa" w:w="8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Reg Write</w:t>
            </w:r>
          </w:p>
        </w:tc>
        <w:tc>
          <w:tcPr>
            <w:tcW w:type="dxa" w:w="142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ALUOp[2: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0]</w:t>
            </w:r>
          </w:p>
        </w:tc>
        <w:tc>
          <w:tcPr>
            <w:tcW w:type="dxa" w:w="99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function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Instr[5-0]</w:t>
            </w:r>
          </w:p>
        </w:tc>
        <w:tc>
          <w:tcPr>
            <w:tcW w:type="dxa" w:w="141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ALUCtrl[3:0]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ADD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100000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000 1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SUB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100001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0 100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SLL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100010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0 110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SRL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 A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100011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00 11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AND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100100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00 10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OR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100101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0 111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XOR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000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(R)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100110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0 101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JR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100111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ADDI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000001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001(+)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LW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000010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001(+)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SW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000011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001(+)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BEQ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000100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100(-)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ANDI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000101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010(&amp;)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SLTI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000110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111(slti)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J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000111</w:t>
            </w:r>
          </w:p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42" w:hRule="atLeast"/>
        </w:trPr>
        <w:tc>
          <w:tcPr>
            <w:tcW w:type="dxa" w:w="885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spacing w:after="0" w:line="240" w:lineRule="auto"/>
        <w:ind w:left="108" w:hanging="108"/>
        <w:jc w:val="center"/>
        <w:rPr>
          <w:i w:val="1"/>
          <w:iCs w:val="1"/>
        </w:rPr>
      </w:pPr>
    </w:p>
    <w:p>
      <w:pPr>
        <w:pStyle w:val="Body A"/>
        <w:widowControl w:val="0"/>
        <w:spacing w:after="0" w:line="240" w:lineRule="auto"/>
        <w:jc w:val="center"/>
        <w:rPr>
          <w:i w:val="1"/>
          <w:iCs w:val="1"/>
        </w:rPr>
      </w:pPr>
    </w:p>
    <w:p>
      <w:pPr>
        <w:pStyle w:val="Body A"/>
        <w:widowControl w:val="0"/>
        <w:spacing w:after="0" w:line="240" w:lineRule="auto"/>
        <w:ind w:left="108" w:hanging="108"/>
        <w:jc w:val="center"/>
        <w:rPr>
          <w:i w:val="1"/>
          <w:iCs w:val="1"/>
        </w:rPr>
      </w:pPr>
    </w:p>
    <w:p>
      <w:pPr>
        <w:pStyle w:val="Body A"/>
        <w:widowControl w:val="0"/>
        <w:spacing w:after="0" w:line="240" w:lineRule="auto"/>
        <w:jc w:val="center"/>
        <w:rPr>
          <w:i w:val="1"/>
          <w:iCs w:val="1"/>
        </w:rPr>
      </w:pPr>
    </w:p>
    <w:p>
      <w:pPr>
        <w:pStyle w:val="Body A"/>
      </w:pPr>
      <w:r>
        <w:rPr>
          <w:sz w:val="24"/>
          <w:szCs w:val="24"/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"https://drive.google.com/file/d/1SI7x2Gp_2m3SEkwnXuGt4ns4voYzpGBH/view?usp=sharing"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https://drive.google.com/file/d/1SI7x2Gp_2m3SEkwnXuGt4ns4voYzpGBH/view?usp=sharing</w:t>
      </w:r>
      <w:r>
        <w:rPr/>
        <w:fldChar w:fldCharType="end" w:fldLock="0"/>
      </w:r>
    </w:p>
    <w:sectPr>
      <w:headerReference w:type="default" r:id="rId4"/>
      <w:footerReference w:type="default" r:id="rId5"/>
      <w:pgSz w:w="15840" w:h="12240" w:orient="landscape"/>
      <w:pgMar w:top="1260" w:right="1381" w:bottom="117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sz w:val="24"/>
      <w:szCs w:val="24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