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63AC6">
      <w:pPr>
        <w:spacing w:before="500" w:after="0"/>
        <w:jc w:val="center"/>
      </w:pPr>
      <w:r>
        <w:rPr>
          <w:rFonts w:ascii="Calibri" w:hAnsi="Calibri" w:eastAsia="Calibri" w:cs="Calibri"/>
          <w:b/>
          <w:bCs/>
          <w:color w:val="1F5C2E"/>
          <w:sz w:val="72"/>
          <w:szCs w:val="72"/>
        </w:rPr>
        <w:t>GWA</w:t>
      </w:r>
    </w:p>
    <w:p w14:paraId="2CD36F09">
      <w:pPr>
        <w:spacing w:before="0" w:after="300"/>
        <w:jc w:val="center"/>
      </w:pPr>
      <w:r>
        <w:rPr>
          <w:rFonts w:ascii="Calibri" w:hAnsi="Calibri" w:eastAsia="Calibri" w:cs="Calibri"/>
          <w:i/>
          <w:iCs/>
          <w:color w:val="C27D10"/>
          <w:sz w:val="22"/>
          <w:szCs w:val="22"/>
        </w:rPr>
        <w:t>Marketplace agro-africaine mobile-first · KOUAME Corporation</w:t>
      </w:r>
    </w:p>
    <w:p w14:paraId="68EA5BC3">
      <w:pPr>
        <w:spacing w:before="200" w:after="100"/>
        <w:jc w:val="center"/>
      </w:pPr>
      <w:r>
        <w:rPr>
          <w:rFonts w:ascii="Calibri" w:hAnsi="Calibri" w:eastAsia="Calibri" w:cs="Calibri"/>
          <w:b/>
          <w:bCs/>
          <w:color w:val="1C1917"/>
          <w:sz w:val="36"/>
          <w:szCs w:val="36"/>
        </w:rPr>
        <w:t>CAHIER DES CHARGES COMPLET</w:t>
      </w:r>
    </w:p>
    <w:p w14:paraId="7BE06387">
      <w:pPr>
        <w:spacing w:before="0" w:after="500"/>
        <w:jc w:val="center"/>
      </w:pPr>
      <w:r>
        <w:rPr>
          <w:rFonts w:ascii="Calibri" w:hAnsi="Calibri" w:eastAsia="Calibri" w:cs="Calibri"/>
          <w:b/>
          <w:bCs/>
          <w:color w:val="1F5C2E"/>
          <w:sz w:val="32"/>
          <w:szCs w:val="32"/>
        </w:rPr>
        <w:t>OBJECTIFS 12 / 24 MOIS — TOUTES SPÉCIFICATIONS</w:t>
      </w:r>
    </w:p>
    <w:p w14:paraId="288305EF">
      <w:pPr>
        <w:spacing w:before="0" w:after="60"/>
        <w:jc w:val="center"/>
      </w:pPr>
      <w:r>
        <w:rPr>
          <w:rFonts w:ascii="Calibri" w:hAnsi="Calibri" w:eastAsia="Calibri" w:cs="Calibri"/>
          <w:b/>
          <w:bCs/>
          <w:color w:val="1E5A96"/>
          <w:sz w:val="22"/>
          <w:szCs w:val="22"/>
        </w:rPr>
        <w:t>Horizon : Septembre 2026 (bêta) → Septembre 2028</w:t>
      </w:r>
    </w:p>
    <w:p w14:paraId="4E81FD55">
      <w:pPr>
        <w:spacing w:before="0" w:after="600"/>
        <w:jc w:val="center"/>
      </w:pPr>
      <w:r>
        <w:rPr>
          <w:rFonts w:ascii="Calibri" w:hAnsi="Calibri" w:eastAsia="Calibri" w:cs="Calibri"/>
          <w:color w:val="666666"/>
          <w:sz w:val="20"/>
          <w:szCs w:val="20"/>
        </w:rPr>
        <w:t>Version du 25 juillet 2026 — Document de référence unique, prolonge le Cahier des charges bêta (révision : doctrine partenariale banques/IMF — pas de concurrence)</w:t>
      </w:r>
    </w:p>
    <w:tbl>
      <w:tblPr>
        <w:tblStyle w:val="15"/>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000"/>
      </w:tblGrid>
      <w:tr w14:paraId="0075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00" w:type="dxa"/>
            <w:shd w:val="clear" w:color="auto" w:fill="F5F5F0"/>
            <w:tcMar>
              <w:top w:w="80" w:type="dxa"/>
              <w:left w:w="100" w:type="dxa"/>
              <w:bottom w:w="80" w:type="dxa"/>
              <w:right w:w="100" w:type="dxa"/>
            </w:tcMar>
            <w:vAlign w:val="center"/>
          </w:tcPr>
          <w:p w14:paraId="20CE77FA">
            <w:pPr>
              <w:spacing w:after="0"/>
            </w:pPr>
            <w:r>
              <w:rPr>
                <w:rFonts w:ascii="Calibri" w:hAnsi="Calibri" w:eastAsia="Calibri" w:cs="Calibri"/>
                <w:b/>
                <w:bCs/>
                <w:color w:val="1C1917"/>
                <w:sz w:val="19"/>
                <w:szCs w:val="19"/>
              </w:rPr>
              <w:t>Porteur</w:t>
            </w:r>
          </w:p>
        </w:tc>
        <w:tc>
          <w:tcPr>
            <w:tcW w:w="5000" w:type="dxa"/>
            <w:tcMar>
              <w:top w:w="80" w:type="dxa"/>
              <w:left w:w="100" w:type="dxa"/>
              <w:bottom w:w="80" w:type="dxa"/>
              <w:right w:w="100" w:type="dxa"/>
            </w:tcMar>
            <w:vAlign w:val="center"/>
          </w:tcPr>
          <w:p w14:paraId="0A61EEF5">
            <w:pPr>
              <w:spacing w:after="0"/>
            </w:pPr>
            <w:r>
              <w:rPr>
                <w:rFonts w:ascii="Calibri" w:hAnsi="Calibri" w:eastAsia="Calibri" w:cs="Calibri"/>
                <w:b w:val="0"/>
                <w:bCs w:val="0"/>
                <w:color w:val="1C1917"/>
                <w:sz w:val="19"/>
                <w:szCs w:val="19"/>
              </w:rPr>
              <w:t>KOUAME Corporation — KOUAME TECH</w:t>
            </w:r>
          </w:p>
        </w:tc>
      </w:tr>
      <w:tr w14:paraId="3845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F5F5F0"/>
            <w:tcMar>
              <w:top w:w="80" w:type="dxa"/>
              <w:left w:w="100" w:type="dxa"/>
              <w:bottom w:w="80" w:type="dxa"/>
              <w:right w:w="100" w:type="dxa"/>
            </w:tcMar>
            <w:vAlign w:val="center"/>
          </w:tcPr>
          <w:p w14:paraId="0D1F5F92">
            <w:pPr>
              <w:spacing w:after="0"/>
            </w:pPr>
            <w:r>
              <w:rPr>
                <w:rFonts w:ascii="Calibri" w:hAnsi="Calibri" w:eastAsia="Calibri" w:cs="Calibri"/>
                <w:b/>
                <w:bCs/>
                <w:color w:val="1C1917"/>
                <w:sz w:val="19"/>
                <w:szCs w:val="19"/>
              </w:rPr>
              <w:t>Responsable</w:t>
            </w:r>
          </w:p>
        </w:tc>
        <w:tc>
          <w:tcPr>
            <w:tcW w:w="5000" w:type="dxa"/>
            <w:tcMar>
              <w:top w:w="80" w:type="dxa"/>
              <w:left w:w="100" w:type="dxa"/>
              <w:bottom w:w="80" w:type="dxa"/>
              <w:right w:w="100" w:type="dxa"/>
            </w:tcMar>
            <w:vAlign w:val="center"/>
          </w:tcPr>
          <w:p w14:paraId="4F81CE01">
            <w:pPr>
              <w:spacing w:after="0"/>
            </w:pPr>
            <w:r>
              <w:rPr>
                <w:rFonts w:ascii="Calibri" w:hAnsi="Calibri" w:eastAsia="Calibri" w:cs="Calibri"/>
                <w:b w:val="0"/>
                <w:bCs w:val="0"/>
                <w:color w:val="1C1917"/>
                <w:sz w:val="19"/>
                <w:szCs w:val="19"/>
              </w:rPr>
              <w:t>KOUAME YAO WILFRIED — Fondateur, CEO/CTO</w:t>
            </w:r>
          </w:p>
        </w:tc>
      </w:tr>
      <w:tr w14:paraId="3F12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F5F5F0"/>
            <w:tcMar>
              <w:top w:w="80" w:type="dxa"/>
              <w:left w:w="100" w:type="dxa"/>
              <w:bottom w:w="80" w:type="dxa"/>
              <w:right w:w="100" w:type="dxa"/>
            </w:tcMar>
            <w:vAlign w:val="center"/>
          </w:tcPr>
          <w:p w14:paraId="2646A99B">
            <w:pPr>
              <w:spacing w:after="0"/>
            </w:pPr>
            <w:r>
              <w:rPr>
                <w:rFonts w:ascii="Calibri" w:hAnsi="Calibri" w:eastAsia="Calibri" w:cs="Calibri"/>
                <w:b/>
                <w:bCs/>
                <w:color w:val="1C1917"/>
                <w:sz w:val="19"/>
                <w:szCs w:val="19"/>
              </w:rPr>
              <w:t>Point de départ</w:t>
            </w:r>
          </w:p>
        </w:tc>
        <w:tc>
          <w:tcPr>
            <w:tcW w:w="5000" w:type="dxa"/>
            <w:tcMar>
              <w:top w:w="80" w:type="dxa"/>
              <w:left w:w="100" w:type="dxa"/>
              <w:bottom w:w="80" w:type="dxa"/>
              <w:right w:w="100" w:type="dxa"/>
            </w:tcMar>
            <w:vAlign w:val="center"/>
          </w:tcPr>
          <w:p w14:paraId="0DB93A0E">
            <w:pPr>
              <w:spacing w:after="0"/>
            </w:pPr>
            <w:r>
              <w:rPr>
                <w:rFonts w:ascii="Calibri" w:hAnsi="Calibri" w:eastAsia="Calibri" w:cs="Calibri"/>
                <w:b w:val="0"/>
                <w:bCs w:val="0"/>
                <w:color w:val="1C1917"/>
                <w:sz w:val="19"/>
                <w:szCs w:val="19"/>
              </w:rPr>
              <w:t>Bêta live au 1ᵉʳ septembre 2026 (F1-F6, agriculture uniquement)</w:t>
            </w:r>
          </w:p>
        </w:tc>
      </w:tr>
      <w:tr w14:paraId="1E33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F5F5F0"/>
            <w:tcMar>
              <w:top w:w="80" w:type="dxa"/>
              <w:left w:w="100" w:type="dxa"/>
              <w:bottom w:w="80" w:type="dxa"/>
              <w:right w:w="100" w:type="dxa"/>
            </w:tcMar>
            <w:vAlign w:val="center"/>
          </w:tcPr>
          <w:p w14:paraId="7CE3A88D">
            <w:pPr>
              <w:spacing w:after="0"/>
            </w:pPr>
            <w:r>
              <w:rPr>
                <w:rFonts w:ascii="Calibri" w:hAnsi="Calibri" w:eastAsia="Calibri" w:cs="Calibri"/>
                <w:b/>
                <w:bCs/>
                <w:color w:val="1C1917"/>
                <w:sz w:val="19"/>
                <w:szCs w:val="19"/>
              </w:rPr>
              <w:t>Périmètre</w:t>
            </w:r>
          </w:p>
        </w:tc>
        <w:tc>
          <w:tcPr>
            <w:tcW w:w="5000" w:type="dxa"/>
            <w:tcMar>
              <w:top w:w="80" w:type="dxa"/>
              <w:left w:w="100" w:type="dxa"/>
              <w:bottom w:w="80" w:type="dxa"/>
              <w:right w:w="100" w:type="dxa"/>
            </w:tcMar>
            <w:vAlign w:val="center"/>
          </w:tcPr>
          <w:p w14:paraId="18F25A11">
            <w:pPr>
              <w:spacing w:after="0"/>
            </w:pPr>
            <w:r>
              <w:rPr>
                <w:rFonts w:ascii="Calibri" w:hAnsi="Calibri" w:eastAsia="Calibri" w:cs="Calibri"/>
                <w:b w:val="0"/>
                <w:bCs w:val="0"/>
                <w:color w:val="1C1917"/>
                <w:sz w:val="19"/>
                <w:szCs w:val="19"/>
              </w:rPr>
              <w:t>100% agriculture — l'artisanat reste exclu sur tout l'horizon 12/24 mois</w:t>
            </w:r>
          </w:p>
        </w:tc>
      </w:tr>
    </w:tbl>
    <w:p w14:paraId="69D07B8C">
      <w:r>
        <w:br w:type="page"/>
      </w:r>
    </w:p>
    <w:p w14:paraId="01CCBCA3">
      <w:pPr>
        <w:pStyle w:val="2"/>
        <w:pBdr>
          <w:bottom w:val="single" w:color="1F5C2E" w:sz="8" w:space="4"/>
        </w:pBdr>
        <w:spacing w:before="400" w:after="200"/>
      </w:pPr>
      <w:r>
        <w:rPr>
          <w:rFonts w:ascii="Calibri" w:hAnsi="Calibri" w:eastAsia="Calibri" w:cs="Calibri"/>
          <w:b/>
          <w:bCs/>
          <w:color w:val="1F5C2E"/>
          <w:sz w:val="30"/>
          <w:szCs w:val="30"/>
        </w:rPr>
        <w:t>Sommaire</w:t>
      </w:r>
    </w:p>
    <w:p w14:paraId="5D6BA0D3">
      <w:pPr>
        <w:pStyle w:val="16"/>
        <w:numPr>
          <w:ilvl w:val="0"/>
          <w:numId w:val="1"/>
        </w:numPr>
        <w:spacing w:after="80"/>
      </w:pPr>
      <w:r>
        <w:rPr>
          <w:rFonts w:ascii="Calibri" w:hAnsi="Calibri" w:eastAsia="Calibri" w:cs="Calibri"/>
          <w:b w:val="0"/>
          <w:bCs w:val="0"/>
          <w:color w:val="1C1917"/>
          <w:sz w:val="21"/>
          <w:szCs w:val="21"/>
        </w:rPr>
        <w:t>1. Introduction</w:t>
      </w:r>
    </w:p>
    <w:p w14:paraId="3021982D">
      <w:pPr>
        <w:pStyle w:val="16"/>
        <w:numPr>
          <w:ilvl w:val="0"/>
          <w:numId w:val="1"/>
        </w:numPr>
        <w:spacing w:after="80"/>
      </w:pPr>
      <w:r>
        <w:rPr>
          <w:rFonts w:ascii="Calibri" w:hAnsi="Calibri" w:eastAsia="Calibri" w:cs="Calibri"/>
          <w:b w:val="0"/>
          <w:bCs w:val="0"/>
          <w:color w:val="1C1917"/>
          <w:sz w:val="21"/>
          <w:szCs w:val="21"/>
        </w:rPr>
        <w:t>2. Contexte du projet</w:t>
      </w:r>
    </w:p>
    <w:p w14:paraId="40AE35D7">
      <w:pPr>
        <w:pStyle w:val="16"/>
        <w:numPr>
          <w:ilvl w:val="0"/>
          <w:numId w:val="1"/>
        </w:numPr>
        <w:spacing w:after="80"/>
      </w:pPr>
      <w:r>
        <w:rPr>
          <w:rFonts w:ascii="Calibri" w:hAnsi="Calibri" w:eastAsia="Calibri" w:cs="Calibri"/>
          <w:b w:val="0"/>
          <w:bCs w:val="0"/>
          <w:color w:val="1C1917"/>
          <w:sz w:val="21"/>
          <w:szCs w:val="21"/>
        </w:rPr>
        <w:t>3. Cibles et utilisateurs</w:t>
      </w:r>
    </w:p>
    <w:p w14:paraId="7CB69E0F">
      <w:pPr>
        <w:pStyle w:val="16"/>
        <w:numPr>
          <w:ilvl w:val="0"/>
          <w:numId w:val="1"/>
        </w:numPr>
        <w:spacing w:after="80"/>
      </w:pPr>
      <w:r>
        <w:rPr>
          <w:rFonts w:ascii="Calibri" w:hAnsi="Calibri" w:eastAsia="Calibri" w:cs="Calibri"/>
          <w:b w:val="0"/>
          <w:bCs w:val="0"/>
          <w:color w:val="1C1917"/>
          <w:sz w:val="21"/>
          <w:szCs w:val="21"/>
        </w:rPr>
        <w:t>4. Problématique</w:t>
      </w:r>
    </w:p>
    <w:p w14:paraId="21F41ACC">
      <w:pPr>
        <w:pStyle w:val="16"/>
        <w:numPr>
          <w:ilvl w:val="0"/>
          <w:numId w:val="1"/>
        </w:numPr>
        <w:spacing w:after="80"/>
      </w:pPr>
      <w:r>
        <w:rPr>
          <w:rFonts w:ascii="Calibri" w:hAnsi="Calibri" w:eastAsia="Calibri" w:cs="Calibri"/>
          <w:b w:val="0"/>
          <w:bCs w:val="0"/>
          <w:color w:val="1C1917"/>
          <w:sz w:val="21"/>
          <w:szCs w:val="21"/>
        </w:rPr>
        <w:t>5. Objectif principal</w:t>
      </w:r>
    </w:p>
    <w:p w14:paraId="6E514AA0">
      <w:pPr>
        <w:pStyle w:val="16"/>
        <w:numPr>
          <w:ilvl w:val="0"/>
          <w:numId w:val="1"/>
        </w:numPr>
        <w:spacing w:after="80"/>
      </w:pPr>
      <w:r>
        <w:rPr>
          <w:rFonts w:ascii="Calibri" w:hAnsi="Calibri" w:eastAsia="Calibri" w:cs="Calibri"/>
          <w:b w:val="0"/>
          <w:bCs w:val="0"/>
          <w:color w:val="1C1917"/>
          <w:sz w:val="21"/>
          <w:szCs w:val="21"/>
        </w:rPr>
        <w:t>6. Objectifs spécifiques</w:t>
      </w:r>
    </w:p>
    <w:p w14:paraId="139A2867">
      <w:pPr>
        <w:pStyle w:val="16"/>
        <w:numPr>
          <w:ilvl w:val="0"/>
          <w:numId w:val="1"/>
        </w:numPr>
        <w:spacing w:after="80"/>
      </w:pPr>
      <w:r>
        <w:rPr>
          <w:rFonts w:ascii="Calibri" w:hAnsi="Calibri" w:eastAsia="Calibri" w:cs="Calibri"/>
          <w:b w:val="0"/>
          <w:bCs w:val="0"/>
          <w:color w:val="1C1917"/>
          <w:sz w:val="21"/>
          <w:szCs w:val="21"/>
        </w:rPr>
        <w:t>7. Spécifications fonctionnelles complètes (17 modules)</w:t>
      </w:r>
    </w:p>
    <w:p w14:paraId="6E8A509C">
      <w:pPr>
        <w:pStyle w:val="16"/>
        <w:numPr>
          <w:ilvl w:val="0"/>
          <w:numId w:val="1"/>
        </w:numPr>
        <w:spacing w:after="80"/>
      </w:pPr>
      <w:r>
        <w:rPr>
          <w:rFonts w:ascii="Calibri" w:hAnsi="Calibri" w:eastAsia="Calibri" w:cs="Calibri"/>
          <w:b w:val="0"/>
          <w:bCs w:val="0"/>
          <w:color w:val="1C1917"/>
          <w:sz w:val="21"/>
          <w:szCs w:val="21"/>
        </w:rPr>
        <w:t>8. Spécifications techniques et contraintes non fonctionnelles</w:t>
      </w:r>
    </w:p>
    <w:p w14:paraId="4EFF9158">
      <w:pPr>
        <w:pStyle w:val="16"/>
        <w:numPr>
          <w:ilvl w:val="0"/>
          <w:numId w:val="1"/>
        </w:numPr>
        <w:spacing w:after="80"/>
      </w:pPr>
      <w:r>
        <w:rPr>
          <w:rFonts w:ascii="Calibri" w:hAnsi="Calibri" w:eastAsia="Calibri" w:cs="Calibri"/>
          <w:b w:val="0"/>
          <w:bCs w:val="0"/>
          <w:color w:val="1C1917"/>
          <w:sz w:val="21"/>
          <w:szCs w:val="21"/>
        </w:rPr>
        <w:t>9. Architecture technique (avec schéma)</w:t>
      </w:r>
    </w:p>
    <w:p w14:paraId="0DA19BE9">
      <w:pPr>
        <w:pStyle w:val="16"/>
        <w:numPr>
          <w:ilvl w:val="0"/>
          <w:numId w:val="1"/>
        </w:numPr>
        <w:spacing w:after="80"/>
      </w:pPr>
      <w:r>
        <w:rPr>
          <w:rFonts w:ascii="Calibri" w:hAnsi="Calibri" w:eastAsia="Calibri" w:cs="Calibri"/>
          <w:b w:val="0"/>
          <w:bCs w:val="0"/>
          <w:color w:val="1C1917"/>
          <w:sz w:val="21"/>
          <w:szCs w:val="21"/>
        </w:rPr>
        <w:t>10. Contraintes</w:t>
      </w:r>
    </w:p>
    <w:p w14:paraId="2C7DF4DC">
      <w:pPr>
        <w:pStyle w:val="16"/>
        <w:numPr>
          <w:ilvl w:val="0"/>
          <w:numId w:val="1"/>
        </w:numPr>
        <w:spacing w:after="80"/>
      </w:pPr>
      <w:r>
        <w:rPr>
          <w:rFonts w:ascii="Calibri" w:hAnsi="Calibri" w:eastAsia="Calibri" w:cs="Calibri"/>
          <w:b w:val="0"/>
          <w:bCs w:val="0"/>
          <w:color w:val="1C1917"/>
          <w:sz w:val="21"/>
          <w:szCs w:val="21"/>
        </w:rPr>
        <w:t>11. Livrables attendus</w:t>
      </w:r>
    </w:p>
    <w:p w14:paraId="5FE82434">
      <w:pPr>
        <w:pStyle w:val="16"/>
        <w:numPr>
          <w:ilvl w:val="0"/>
          <w:numId w:val="1"/>
        </w:numPr>
        <w:spacing w:after="80"/>
      </w:pPr>
      <w:r>
        <w:rPr>
          <w:rFonts w:ascii="Calibri" w:hAnsi="Calibri" w:eastAsia="Calibri" w:cs="Calibri"/>
          <w:b w:val="0"/>
          <w:bCs w:val="0"/>
          <w:color w:val="1C1917"/>
          <w:sz w:val="21"/>
          <w:szCs w:val="21"/>
        </w:rPr>
        <w:t>12. Planning et jalons jusqu'à M+24</w:t>
      </w:r>
    </w:p>
    <w:p w14:paraId="434C5336">
      <w:pPr>
        <w:pStyle w:val="16"/>
        <w:numPr>
          <w:ilvl w:val="0"/>
          <w:numId w:val="1"/>
        </w:numPr>
        <w:spacing w:after="80"/>
      </w:pPr>
      <w:r>
        <w:rPr>
          <w:rFonts w:ascii="Calibri" w:hAnsi="Calibri" w:eastAsia="Calibri" w:cs="Calibri"/>
          <w:b w:val="0"/>
          <w:bCs w:val="0"/>
          <w:color w:val="1C1917"/>
          <w:sz w:val="21"/>
          <w:szCs w:val="21"/>
        </w:rPr>
        <w:t>13. Gouvernance et suivi</w:t>
      </w:r>
    </w:p>
    <w:p w14:paraId="56B19A2E">
      <w:r>
        <w:br w:type="page"/>
      </w:r>
    </w:p>
    <w:p w14:paraId="49C62C65">
      <w:pPr>
        <w:pStyle w:val="2"/>
        <w:pBdr>
          <w:bottom w:val="single" w:color="1F5C2E" w:sz="8" w:space="4"/>
        </w:pBdr>
        <w:spacing w:before="400" w:after="200"/>
      </w:pPr>
      <w:r>
        <w:rPr>
          <w:rFonts w:ascii="Calibri" w:hAnsi="Calibri" w:eastAsia="Calibri" w:cs="Calibri"/>
          <w:b/>
          <w:bCs/>
          <w:color w:val="1F5C2E"/>
          <w:sz w:val="30"/>
          <w:szCs w:val="30"/>
        </w:rPr>
        <w:t>1. Introduction</w:t>
      </w:r>
    </w:p>
    <w:p w14:paraId="787D01EE">
      <w:pPr>
        <w:spacing w:before="0" w:after="120"/>
        <w:jc w:val="left"/>
      </w:pPr>
      <w:r>
        <w:rPr>
          <w:rFonts w:ascii="Calibri" w:hAnsi="Calibri" w:eastAsia="Calibri" w:cs="Calibri"/>
          <w:b w:val="0"/>
          <w:bCs w:val="0"/>
          <w:i w:val="0"/>
          <w:iCs w:val="0"/>
          <w:color w:val="1C1917"/>
          <w:sz w:val="21"/>
          <w:szCs w:val="21"/>
        </w:rPr>
        <w:t>Ce cahier des charges définit, de manière exhaustive, les objectifs, les cibles, les spécifications fonctionnelles et techniques et les contraintes de GWA sur l'horizon 12 à 24 mois suivant le lancement de la bêta (1ᵉʳ septembre 2026). Il prolonge et détaille le Cahier des charges complet de la bêta (F1-F6) sans en modifier le périmètre déjà verrouillé, et couvre l'intégralité des modules envisagés jusqu'à septembre 2028.</w:t>
      </w:r>
    </w:p>
    <w:p w14:paraId="01979A0B">
      <w:pPr>
        <w:spacing w:before="0" w:after="120"/>
        <w:jc w:val="left"/>
      </w:pPr>
      <w:r>
        <w:rPr>
          <w:rFonts w:ascii="Calibri" w:hAnsi="Calibri" w:eastAsia="Calibri" w:cs="Calibri"/>
          <w:b w:val="0"/>
          <w:bCs w:val="0"/>
          <w:i/>
          <w:iCs/>
          <w:color w:val="1C1917"/>
          <w:sz w:val="21"/>
          <w:szCs w:val="21"/>
        </w:rPr>
        <w:t>Contrairement à la feuille de route de synthèse précédente, ce document liste, pour chaque module, la description fonctionnelle complète, les fonctionnalités clés, la stack technique retenue et l'horizon de mise en œuvre  au même niveau de détail qu'un cahier des charges de dépôt de dossier.</w:t>
      </w:r>
    </w:p>
    <w:p w14:paraId="662A2813">
      <w:pPr>
        <w:pStyle w:val="2"/>
        <w:pBdr>
          <w:bottom w:val="single" w:color="1F5C2E" w:sz="8" w:space="4"/>
        </w:pBdr>
        <w:spacing w:before="400" w:after="200"/>
      </w:pPr>
      <w:r>
        <w:rPr>
          <w:rFonts w:ascii="Calibri" w:hAnsi="Calibri" w:eastAsia="Calibri" w:cs="Calibri"/>
          <w:b/>
          <w:bCs/>
          <w:color w:val="1F5C2E"/>
          <w:sz w:val="30"/>
          <w:szCs w:val="30"/>
        </w:rPr>
        <w:t>2. Contexte du projet</w:t>
      </w:r>
    </w:p>
    <w:p w14:paraId="7C79E0FB">
      <w:pPr>
        <w:spacing w:before="0" w:after="120"/>
        <w:jc w:val="left"/>
      </w:pPr>
      <w:r>
        <w:rPr>
          <w:rFonts w:ascii="Calibri" w:hAnsi="Calibri" w:eastAsia="Calibri" w:cs="Calibri"/>
          <w:b w:val="0"/>
          <w:bCs w:val="0"/>
          <w:i w:val="0"/>
          <w:iCs w:val="0"/>
          <w:color w:val="1C1917"/>
          <w:sz w:val="21"/>
          <w:szCs w:val="21"/>
        </w:rPr>
        <w:t>La Côte d'Ivoire et l'Afrique de l'Ouest disposent d'un potentiel agricole considérable mais souffrent d'un déficit de structuration des chaînes de valeur : les producteurs vendent sans visibilité sur les prix, sans accès direct aux acheteurs, sans protection de paiement et sans historique exploitable pour accéder au crédit. Les coopératives, malgré leur rôle d'agrégation, restent peu outillées numériquement et peu connectées aux circuits de financement formels.</w:t>
      </w:r>
    </w:p>
    <w:p w14:paraId="205CBE5C">
      <w:pPr>
        <w:spacing w:before="0" w:after="120"/>
        <w:jc w:val="left"/>
      </w:pPr>
      <w:r>
        <w:rPr>
          <w:rFonts w:ascii="Calibri" w:hAnsi="Calibri" w:eastAsia="Calibri" w:cs="Calibri"/>
          <w:b w:val="0"/>
          <w:bCs w:val="0"/>
          <w:i w:val="0"/>
          <w:iCs w:val="0"/>
          <w:color w:val="1C1917"/>
          <w:sz w:val="21"/>
          <w:szCs w:val="21"/>
        </w:rPr>
        <w:t>GWA répond à ce constat par une plateforme mobile-first combinant commerce (marketplace, feed, messagerie), confiance (Smart Escrow, Score de Confiance GWA) et facilitation de l'accès au crédit (affacturage digital adossé à l'escrow, financé et décaissé par un établissement agréé partenaire). Le projet est porté par KOUAME Corporation, déjà engagée sur l'agroalimentaire (TUA, Aboisso) et les technologies agricoles (ECOREP).</w:t>
      </w:r>
      <w:r>
        <w:rPr>
          <w:rFonts w:hint="default" w:ascii="Calibri" w:hAnsi="Calibri" w:eastAsia="Calibri" w:cs="Calibri"/>
          <w:b w:val="0"/>
          <w:bCs w:val="0"/>
          <w:i w:val="0"/>
          <w:iCs w:val="0"/>
          <w:color w:val="1C1917"/>
          <w:sz w:val="21"/>
          <w:szCs w:val="21"/>
          <w:lang/>
        </w:rPr>
      </w:r>
      <w:r>
        <w:rPr>
          <w:rFonts w:ascii="Calibri" w:hAnsi="Calibri" w:eastAsia="Calibri" w:cs="Calibri"/>
          <w:b w:val="0"/>
          <w:bCs w:val="0"/>
          <w:i w:val="0"/>
          <w:iCs w:val="0"/>
          <w:color w:val="1C1917"/>
          <w:sz w:val="21"/>
          <w:szCs w:val="21"/>
        </w:rPr>
      </w:r>
    </w:p>
    <w:p w14:paraId="71912968">
      <w:pPr>
        <w:spacing w:before="0" w:after="120"/>
        <w:jc w:val="left"/>
      </w:pPr>
      <w:r>
        <w:rPr>
          <w:rFonts w:ascii="Calibri" w:hAnsi="Calibri" w:eastAsia="Calibri" w:cs="Calibri"/>
          <w:b/>
          <w:bCs/>
          <w:i w:val="0"/>
          <w:iCs w:val="0"/>
          <w:color w:val="B3261E"/>
          <w:sz w:val="21"/>
          <w:szCs w:val="21"/>
        </w:rPr>
        <w:t>Décision de périmètre confirmée pour tout l'horizon 12/24 mois : agriculture exclusivement (production, transformation, coopératives, achat/export)  aucune réintroduction de l'artisanat, aucun élargissement de filière hors agriculture.</w:t>
      </w:r>
    </w:p>
    <w:p>
      <w:r>
        <w:t>Doctrine partenariale (non négociable) — Les banques et IMF ne sont pas des concurrents de GWA.</w:t>
      </w:r>
    </w:p>
    <w:p>
      <w:r>
        <w:t>GWA n'est pas une banque, n'émet pas de crédit pour son propre compte et ne se substitue pas aux établissements agréés (banques, IMF, SFD). Les banques et IMF sont des partenaires stratégiques : GWA structure le commerce agricole, sécurise les paiements (escrow) et produit la preuve de confiance (SCG, historique transactionnel, garanties de groupe) ; le partenaire financier décide, finance et débourse. Tout langage de remplacement, de désintermédiation bancaire ou de concurrence aux banques est hors positionnement. La valeur GWA côté finance = pipeline de deal flow qualifié + données auditables pour le partenaire.</w:t>
      </w:r>
    </w:p>
    <w:p w14:paraId="1D90D94A">
      <w:pPr>
        <w:pStyle w:val="2"/>
        <w:pBdr>
          <w:bottom w:val="single" w:color="1F5C2E" w:sz="8" w:space="4"/>
        </w:pBdr>
        <w:spacing w:before="400" w:after="200"/>
      </w:pPr>
      <w:r>
        <w:rPr>
          <w:rFonts w:ascii="Calibri" w:hAnsi="Calibri" w:eastAsia="Calibri" w:cs="Calibri"/>
          <w:b/>
          <w:bCs/>
          <w:color w:val="1F5C2E"/>
          <w:sz w:val="30"/>
          <w:szCs w:val="30"/>
        </w:rPr>
        <w:t>3. Cibles et utilisateurs</w:t>
      </w:r>
    </w:p>
    <w:p w14:paraId="35C6952B">
      <w:pPr>
        <w:spacing w:before="0" w:after="120"/>
        <w:jc w:val="left"/>
      </w:pPr>
      <w:r>
        <w:rPr>
          <w:rFonts w:ascii="Calibri" w:hAnsi="Calibri" w:eastAsia="Calibri" w:cs="Calibri"/>
          <w:b w:val="0"/>
          <w:bCs w:val="0"/>
          <w:i w:val="0"/>
          <w:iCs w:val="0"/>
          <w:color w:val="1C1917"/>
          <w:sz w:val="21"/>
          <w:szCs w:val="21"/>
        </w:rPr>
        <w:t>GWA cible des acteurs des filières agricoles ivoiriennes puis ouest-africaines (Ghana, Sénégal à partir de M+13). Ce sont des personnes majeures, pas nécessairement instruites, présentes en milieu urbain comme rural — la conception de l'interface (y compris le Digest audio) tient compte de ce niveau d'alphabétisation numérique variable.</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600"/>
        <w:gridCol w:w="3100"/>
        <w:gridCol w:w="1200"/>
      </w:tblGrid>
      <w:tr w14:paraId="4006A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735103FF">
            <w:pPr>
              <w:spacing w:after="0"/>
            </w:pPr>
            <w:r>
              <w:rPr>
                <w:rFonts w:ascii="Calibri" w:hAnsi="Calibri" w:eastAsia="Calibri" w:cs="Calibri"/>
                <w:b/>
                <w:bCs/>
                <w:color w:val="FFFFFF"/>
                <w:sz w:val="18"/>
                <w:szCs w:val="18"/>
              </w:rPr>
              <w:t>Profil</w:t>
            </w:r>
          </w:p>
        </w:tc>
        <w:tc>
          <w:tcPr>
            <w:tcW w:w="2600" w:type="dxa"/>
            <w:shd w:val="clear" w:color="auto" w:fill="1F5C2E"/>
            <w:tcMar>
              <w:top w:w="80" w:type="dxa"/>
              <w:left w:w="100" w:type="dxa"/>
              <w:bottom w:w="80" w:type="dxa"/>
              <w:right w:w="100" w:type="dxa"/>
            </w:tcMar>
            <w:vAlign w:val="center"/>
          </w:tcPr>
          <w:p w14:paraId="258BBFFB">
            <w:pPr>
              <w:spacing w:after="0"/>
            </w:pPr>
            <w:r>
              <w:rPr>
                <w:rFonts w:ascii="Calibri" w:hAnsi="Calibri" w:eastAsia="Calibri" w:cs="Calibri"/>
                <w:b/>
                <w:bCs/>
                <w:color w:val="FFFFFF"/>
                <w:sz w:val="18"/>
                <w:szCs w:val="18"/>
              </w:rPr>
              <w:t>Rôle sur GWA</w:t>
            </w:r>
          </w:p>
        </w:tc>
        <w:tc>
          <w:tcPr>
            <w:tcW w:w="3100" w:type="dxa"/>
            <w:shd w:val="clear" w:color="auto" w:fill="1F5C2E"/>
            <w:tcMar>
              <w:top w:w="80" w:type="dxa"/>
              <w:left w:w="100" w:type="dxa"/>
              <w:bottom w:w="80" w:type="dxa"/>
              <w:right w:w="100" w:type="dxa"/>
            </w:tcMar>
            <w:vAlign w:val="center"/>
          </w:tcPr>
          <w:p w14:paraId="3477EE0A">
            <w:pPr>
              <w:spacing w:after="0"/>
            </w:pPr>
            <w:r>
              <w:rPr>
                <w:rFonts w:ascii="Calibri" w:hAnsi="Calibri" w:eastAsia="Calibri" w:cs="Calibri"/>
                <w:b/>
                <w:bCs/>
                <w:color w:val="FFFFFF"/>
                <w:sz w:val="18"/>
                <w:szCs w:val="18"/>
              </w:rPr>
              <w:t>Ce qui évolue à 12/24 mois</w:t>
            </w:r>
          </w:p>
        </w:tc>
        <w:tc>
          <w:tcPr>
            <w:tcW w:w="1200" w:type="dxa"/>
            <w:shd w:val="clear" w:color="auto" w:fill="1F5C2E"/>
            <w:tcMar>
              <w:top w:w="80" w:type="dxa"/>
              <w:left w:w="100" w:type="dxa"/>
              <w:bottom w:w="80" w:type="dxa"/>
              <w:right w:w="100" w:type="dxa"/>
            </w:tcMar>
            <w:vAlign w:val="center"/>
          </w:tcPr>
          <w:p w14:paraId="08C00993">
            <w:pPr>
              <w:spacing w:after="0"/>
            </w:pPr>
            <w:r>
              <w:rPr>
                <w:rFonts w:ascii="Calibri" w:hAnsi="Calibri" w:eastAsia="Calibri" w:cs="Calibri"/>
                <w:b/>
                <w:bCs/>
                <w:color w:val="FFFFFF"/>
                <w:sz w:val="18"/>
                <w:szCs w:val="18"/>
              </w:rPr>
              <w:t>Horizon</w:t>
            </w:r>
          </w:p>
        </w:tc>
      </w:tr>
      <w:tr w14:paraId="67C9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16D179E">
            <w:pPr>
              <w:spacing w:after="0"/>
            </w:pPr>
            <w:r>
              <w:rPr>
                <w:rFonts w:ascii="Calibri" w:hAnsi="Calibri" w:eastAsia="Calibri" w:cs="Calibri"/>
                <w:b w:val="0"/>
                <w:bCs w:val="0"/>
                <w:color w:val="1C1917"/>
                <w:sz w:val="19"/>
                <w:szCs w:val="19"/>
              </w:rPr>
              <w:t>Producteur agricole</w:t>
            </w:r>
          </w:p>
        </w:tc>
        <w:tc>
          <w:tcPr>
            <w:tcW w:w="2600" w:type="dxa"/>
            <w:tcMar>
              <w:top w:w="80" w:type="dxa"/>
              <w:left w:w="100" w:type="dxa"/>
              <w:bottom w:w="80" w:type="dxa"/>
              <w:right w:w="100" w:type="dxa"/>
            </w:tcMar>
            <w:vAlign w:val="center"/>
          </w:tcPr>
          <w:p w14:paraId="228F29EC">
            <w:pPr>
              <w:spacing w:after="0"/>
            </w:pPr>
            <w:r>
              <w:rPr>
                <w:rFonts w:ascii="Calibri" w:hAnsi="Calibri" w:eastAsia="Calibri" w:cs="Calibri"/>
                <w:b w:val="0"/>
                <w:bCs w:val="0"/>
                <w:color w:val="1C1917"/>
                <w:sz w:val="19"/>
                <w:szCs w:val="19"/>
              </w:rPr>
              <w:t>Vend,</w:t>
            </w:r>
            <w:r>
              <w:rPr>
                <w:rFonts w:hint="default" w:ascii="Calibri" w:hAnsi="Calibri" w:eastAsia="Calibri" w:cs="Calibri"/>
                <w:b w:val="0"/>
                <w:bCs w:val="0"/>
                <w:color w:val="1C1917"/>
                <w:sz w:val="19"/>
                <w:szCs w:val="19"/>
                <w:lang/>
              </w:rPr>
              <w:t xml:space="preserve"> </w:t>
            </w:r>
            <w:r>
              <w:rPr>
                <w:rFonts w:ascii="Calibri" w:hAnsi="Calibri" w:eastAsia="Calibri" w:cs="Calibri"/>
                <w:b w:val="0"/>
                <w:bCs w:val="0"/>
                <w:color w:val="1C1917"/>
                <w:sz w:val="19"/>
                <w:szCs w:val="19"/>
              </w:rPr>
              <w:t>reçoit commandes, encaisse via l'escrow</w:t>
            </w:r>
          </w:p>
        </w:tc>
        <w:tc>
          <w:tcPr>
            <w:tcW w:w="3100" w:type="dxa"/>
            <w:tcMar>
              <w:top w:w="80" w:type="dxa"/>
              <w:left w:w="100" w:type="dxa"/>
              <w:bottom w:w="80" w:type="dxa"/>
              <w:right w:w="100" w:type="dxa"/>
            </w:tcMar>
            <w:vAlign w:val="center"/>
          </w:tcPr>
          <w:p w14:paraId="7528C816">
            <w:pPr>
              <w:spacing w:after="0"/>
            </w:pPr>
            <w:r>
              <w:rPr>
                <w:rFonts w:ascii="Calibri" w:hAnsi="Calibri" w:eastAsia="Calibri" w:cs="Calibri"/>
                <w:b w:val="0"/>
                <w:bCs w:val="0"/>
                <w:color w:val="1C1917"/>
                <w:sz w:val="19"/>
                <w:szCs w:val="19"/>
              </w:rPr>
              <w:t>SCG enrichi, accès formations, historique multi-année</w:t>
            </w:r>
          </w:p>
        </w:tc>
        <w:tc>
          <w:tcPr>
            <w:tcW w:w="1200" w:type="dxa"/>
            <w:tcMar>
              <w:top w:w="80" w:type="dxa"/>
              <w:left w:w="100" w:type="dxa"/>
              <w:bottom w:w="80" w:type="dxa"/>
              <w:right w:w="100" w:type="dxa"/>
            </w:tcMar>
            <w:vAlign w:val="center"/>
          </w:tcPr>
          <w:p w14:paraId="7FE4F17B">
            <w:pPr>
              <w:spacing w:after="0"/>
            </w:pPr>
            <w:r>
              <w:rPr>
                <w:rFonts w:ascii="Calibri" w:hAnsi="Calibri" w:eastAsia="Calibri" w:cs="Calibri"/>
                <w:b w:val="0"/>
                <w:bCs w:val="0"/>
                <w:color w:val="1C1917"/>
                <w:sz w:val="19"/>
                <w:szCs w:val="19"/>
              </w:rPr>
              <w:t>M+1 à M+24</w:t>
            </w:r>
          </w:p>
        </w:tc>
      </w:tr>
      <w:tr w14:paraId="7A0F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A34795E">
            <w:pPr>
              <w:spacing w:after="0"/>
            </w:pPr>
            <w:r>
              <w:rPr>
                <w:rFonts w:ascii="Calibri" w:hAnsi="Calibri" w:eastAsia="Calibri" w:cs="Calibri"/>
                <w:b w:val="0"/>
                <w:bCs w:val="0"/>
                <w:color w:val="1C1917"/>
                <w:sz w:val="19"/>
                <w:szCs w:val="19"/>
              </w:rPr>
              <w:t>Coopérative agricole</w:t>
            </w:r>
          </w:p>
        </w:tc>
        <w:tc>
          <w:tcPr>
            <w:tcW w:w="2600" w:type="dxa"/>
            <w:tcMar>
              <w:top w:w="80" w:type="dxa"/>
              <w:left w:w="100" w:type="dxa"/>
              <w:bottom w:w="80" w:type="dxa"/>
              <w:right w:w="100" w:type="dxa"/>
            </w:tcMar>
            <w:vAlign w:val="center"/>
          </w:tcPr>
          <w:p w14:paraId="22B6FD42">
            <w:pPr>
              <w:spacing w:after="0"/>
            </w:pPr>
            <w:r>
              <w:rPr>
                <w:rFonts w:ascii="Calibri" w:hAnsi="Calibri" w:eastAsia="Calibri" w:cs="Calibri"/>
                <w:b w:val="0"/>
                <w:bCs w:val="0"/>
                <w:color w:val="1C1917"/>
                <w:sz w:val="19"/>
                <w:szCs w:val="19"/>
              </w:rPr>
              <w:t>Agrège les membres, vend en volume, bénéficie de l'affacturage</w:t>
            </w:r>
          </w:p>
        </w:tc>
        <w:tc>
          <w:tcPr>
            <w:tcW w:w="3100" w:type="dxa"/>
            <w:tcMar>
              <w:top w:w="80" w:type="dxa"/>
              <w:left w:w="100" w:type="dxa"/>
              <w:bottom w:w="80" w:type="dxa"/>
              <w:right w:w="100" w:type="dxa"/>
            </w:tcMar>
            <w:vAlign w:val="center"/>
          </w:tcPr>
          <w:p w14:paraId="33AC9815">
            <w:pPr>
              <w:spacing w:after="0"/>
            </w:pPr>
            <w:r>
              <w:rPr>
                <w:rFonts w:ascii="Calibri" w:hAnsi="Calibri" w:eastAsia="Calibri" w:cs="Calibri"/>
                <w:b w:val="0"/>
                <w:bCs w:val="0"/>
                <w:color w:val="1C1917"/>
                <w:sz w:val="19"/>
                <w:szCs w:val="19"/>
              </w:rPr>
              <w:t>Gestion</w:t>
            </w:r>
            <w:r>
              <w:rPr>
                <w:rFonts w:hint="default" w:ascii="Calibri" w:hAnsi="Calibri" w:eastAsia="Calibri" w:cs="Calibri"/>
                <w:b w:val="0"/>
                <w:bCs w:val="0"/>
                <w:color w:val="1C1917"/>
                <w:sz w:val="19"/>
                <w:szCs w:val="19"/>
                <w:lang/>
              </w:rPr>
              <w:t xml:space="preserve"> </w:t>
            </w:r>
            <w:r>
              <w:rPr>
                <w:rFonts w:ascii="Calibri" w:hAnsi="Calibri" w:eastAsia="Calibri" w:cs="Calibri"/>
                <w:b w:val="0"/>
                <w:bCs w:val="0"/>
                <w:color w:val="1C1917"/>
                <w:sz w:val="19"/>
                <w:szCs w:val="19"/>
              </w:rPr>
              <w:t>multi-rôles complète, tableau de bord consolidé, contrats-cadres B2B</w:t>
            </w:r>
          </w:p>
        </w:tc>
        <w:tc>
          <w:tcPr>
            <w:tcW w:w="1200" w:type="dxa"/>
            <w:tcMar>
              <w:top w:w="80" w:type="dxa"/>
              <w:left w:w="100" w:type="dxa"/>
              <w:bottom w:w="80" w:type="dxa"/>
              <w:right w:w="100" w:type="dxa"/>
            </w:tcMar>
            <w:vAlign w:val="center"/>
          </w:tcPr>
          <w:p w14:paraId="04D7D83F">
            <w:pPr>
              <w:spacing w:after="0"/>
            </w:pPr>
            <w:r>
              <w:rPr>
                <w:rFonts w:ascii="Calibri" w:hAnsi="Calibri" w:eastAsia="Calibri" w:cs="Calibri"/>
                <w:b w:val="0"/>
                <w:bCs w:val="0"/>
                <w:color w:val="1C1917"/>
                <w:sz w:val="19"/>
                <w:szCs w:val="19"/>
              </w:rPr>
              <w:t>M+4 à M+10</w:t>
            </w:r>
          </w:p>
        </w:tc>
      </w:tr>
      <w:tr w14:paraId="16DCD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F232819">
            <w:pPr>
              <w:spacing w:after="0"/>
            </w:pPr>
            <w:r>
              <w:rPr>
                <w:rFonts w:ascii="Calibri" w:hAnsi="Calibri" w:eastAsia="Calibri" w:cs="Calibri"/>
                <w:b w:val="0"/>
                <w:bCs w:val="0"/>
                <w:color w:val="1C1917"/>
                <w:sz w:val="19"/>
                <w:szCs w:val="19"/>
              </w:rPr>
              <w:t>Acheteur/ transformateur/ exportateur</w:t>
            </w:r>
          </w:p>
        </w:tc>
        <w:tc>
          <w:tcPr>
            <w:tcW w:w="2600" w:type="dxa"/>
            <w:tcMar>
              <w:top w:w="80" w:type="dxa"/>
              <w:left w:w="100" w:type="dxa"/>
              <w:bottom w:w="80" w:type="dxa"/>
              <w:right w:w="100" w:type="dxa"/>
            </w:tcMar>
            <w:vAlign w:val="center"/>
          </w:tcPr>
          <w:p w14:paraId="4DAA8F92">
            <w:pPr>
              <w:spacing w:after="0"/>
            </w:pPr>
            <w:r>
              <w:rPr>
                <w:rFonts w:ascii="Calibri" w:hAnsi="Calibri" w:eastAsia="Calibri" w:cs="Calibri"/>
                <w:b w:val="0"/>
                <w:bCs w:val="0"/>
                <w:color w:val="1C1917"/>
                <w:sz w:val="19"/>
                <w:szCs w:val="19"/>
              </w:rPr>
              <w:t>Consulte, commande, paie, valide livraison</w:t>
            </w:r>
          </w:p>
        </w:tc>
        <w:tc>
          <w:tcPr>
            <w:tcW w:w="3100" w:type="dxa"/>
            <w:tcMar>
              <w:top w:w="80" w:type="dxa"/>
              <w:left w:w="100" w:type="dxa"/>
              <w:bottom w:w="80" w:type="dxa"/>
              <w:right w:w="100" w:type="dxa"/>
            </w:tcMar>
            <w:vAlign w:val="center"/>
          </w:tcPr>
          <w:p w14:paraId="25D54E4A">
            <w:pPr>
              <w:spacing w:after="0"/>
            </w:pPr>
            <w:r>
              <w:rPr>
                <w:rFonts w:ascii="Calibri" w:hAnsi="Calibri" w:eastAsia="Calibri" w:cs="Calibri"/>
                <w:b w:val="0"/>
                <w:bCs w:val="0"/>
                <w:color w:val="1C1917"/>
                <w:sz w:val="19"/>
                <w:szCs w:val="19"/>
              </w:rPr>
              <w:t>RFQ B2B, traçabilité EUDR pour l'export UE</w:t>
            </w:r>
          </w:p>
        </w:tc>
        <w:tc>
          <w:tcPr>
            <w:tcW w:w="1200" w:type="dxa"/>
            <w:tcMar>
              <w:top w:w="80" w:type="dxa"/>
              <w:left w:w="100" w:type="dxa"/>
              <w:bottom w:w="80" w:type="dxa"/>
              <w:right w:w="100" w:type="dxa"/>
            </w:tcMar>
            <w:vAlign w:val="center"/>
          </w:tcPr>
          <w:p w14:paraId="5E9481E0">
            <w:pPr>
              <w:spacing w:after="0"/>
            </w:pPr>
            <w:r>
              <w:rPr>
                <w:rFonts w:ascii="Calibri" w:hAnsi="Calibri" w:eastAsia="Calibri" w:cs="Calibri"/>
                <w:b w:val="0"/>
                <w:bCs w:val="0"/>
                <w:color w:val="1C1917"/>
                <w:sz w:val="19"/>
                <w:szCs w:val="19"/>
              </w:rPr>
              <w:t>M+6 à M+20</w:t>
            </w:r>
          </w:p>
        </w:tc>
      </w:tr>
      <w:tr w14:paraId="1943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412C1E2">
            <w:pPr>
              <w:spacing w:after="0"/>
            </w:pPr>
            <w:r>
              <w:rPr>
                <w:rFonts w:ascii="Calibri" w:hAnsi="Calibri" w:eastAsia="Calibri" w:cs="Calibri"/>
                <w:b w:val="0"/>
                <w:bCs w:val="0"/>
                <w:color w:val="1C1917"/>
                <w:sz w:val="19"/>
                <w:szCs w:val="19"/>
              </w:rPr>
              <w:t>Bénéficiaire d'affacturage</w:t>
            </w:r>
          </w:p>
        </w:tc>
        <w:tc>
          <w:tcPr>
            <w:tcW w:w="2600" w:type="dxa"/>
            <w:tcMar>
              <w:top w:w="80" w:type="dxa"/>
              <w:left w:w="100" w:type="dxa"/>
              <w:bottom w:w="80" w:type="dxa"/>
              <w:right w:w="100" w:type="dxa"/>
            </w:tcMar>
            <w:vAlign w:val="center"/>
          </w:tcPr>
          <w:p w14:paraId="7BD3180E">
            <w:pPr>
              <w:spacing w:after="0"/>
            </w:pPr>
            <w:r>
              <w:rPr>
                <w:rFonts w:ascii="Calibri" w:hAnsi="Calibri" w:eastAsia="Calibri" w:cs="Calibri"/>
                <w:b w:val="0"/>
                <w:bCs w:val="0"/>
                <w:color w:val="1C1917"/>
                <w:sz w:val="19"/>
                <w:szCs w:val="19"/>
              </w:rPr>
              <w:t>Sollicite une avance sur facture</w:t>
            </w:r>
          </w:p>
        </w:tc>
        <w:tc>
          <w:tcPr>
            <w:tcW w:w="3100" w:type="dxa"/>
            <w:tcMar>
              <w:top w:w="80" w:type="dxa"/>
              <w:left w:w="100" w:type="dxa"/>
              <w:bottom w:w="80" w:type="dxa"/>
              <w:right w:w="100" w:type="dxa"/>
            </w:tcMar>
            <w:vAlign w:val="center"/>
          </w:tcPr>
          <w:p w14:paraId="1F5846FE">
            <w:pPr>
              <w:spacing w:after="0"/>
            </w:pPr>
            <w:r>
              <w:rPr>
                <w:rFonts w:ascii="Calibri" w:hAnsi="Calibri" w:eastAsia="Calibri" w:cs="Calibri"/>
                <w:b w:val="0"/>
                <w:bCs w:val="0"/>
                <w:color w:val="1C1917"/>
                <w:sz w:val="19"/>
                <w:szCs w:val="19"/>
              </w:rPr>
              <w:t>Décaissement automatisé via API chez le partenaire bancaire/IMF (GWA orchestre, le partenaire finance)</w:t>
            </w:r>
          </w:p>
        </w:tc>
        <w:tc>
          <w:tcPr>
            <w:tcW w:w="1200" w:type="dxa"/>
            <w:tcMar>
              <w:top w:w="80" w:type="dxa"/>
              <w:left w:w="100" w:type="dxa"/>
              <w:bottom w:w="80" w:type="dxa"/>
              <w:right w:w="100" w:type="dxa"/>
            </w:tcMar>
            <w:vAlign w:val="center"/>
          </w:tcPr>
          <w:p w14:paraId="0DDEFC81">
            <w:pPr>
              <w:spacing w:after="0"/>
            </w:pPr>
            <w:r>
              <w:rPr>
                <w:rFonts w:ascii="Calibri" w:hAnsi="Calibri" w:eastAsia="Calibri" w:cs="Calibri"/>
                <w:b w:val="0"/>
                <w:bCs w:val="0"/>
                <w:color w:val="1C1917"/>
                <w:sz w:val="19"/>
                <w:szCs w:val="19"/>
              </w:rPr>
              <w:t>M+6 à M+12</w:t>
            </w:r>
          </w:p>
        </w:tc>
      </w:tr>
      <w:tr w14:paraId="0E10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F7C5ABE">
            <w:pPr>
              <w:spacing w:after="0"/>
            </w:pPr>
            <w:r>
              <w:rPr>
                <w:rFonts w:ascii="Calibri" w:hAnsi="Calibri" w:eastAsia="Calibri" w:cs="Calibri"/>
                <w:b w:val="0"/>
                <w:bCs w:val="0"/>
                <w:color w:val="1C1917"/>
                <w:sz w:val="19"/>
                <w:szCs w:val="19"/>
              </w:rPr>
              <w:t>Admin / back-office</w:t>
            </w:r>
          </w:p>
        </w:tc>
        <w:tc>
          <w:tcPr>
            <w:tcW w:w="2600" w:type="dxa"/>
            <w:tcMar>
              <w:top w:w="80" w:type="dxa"/>
              <w:left w:w="100" w:type="dxa"/>
              <w:bottom w:w="80" w:type="dxa"/>
              <w:right w:w="100" w:type="dxa"/>
            </w:tcMar>
            <w:vAlign w:val="center"/>
          </w:tcPr>
          <w:p w14:paraId="4D189D8A">
            <w:pPr>
              <w:spacing w:after="0"/>
            </w:pPr>
            <w:r>
              <w:rPr>
                <w:rFonts w:ascii="Calibri" w:hAnsi="Calibri" w:eastAsia="Calibri" w:cs="Calibri"/>
                <w:b w:val="0"/>
                <w:bCs w:val="0"/>
                <w:color w:val="1C1917"/>
                <w:sz w:val="19"/>
                <w:szCs w:val="19"/>
              </w:rPr>
              <w:t>Pilotage, modération, conformité</w:t>
            </w:r>
          </w:p>
        </w:tc>
        <w:tc>
          <w:tcPr>
            <w:tcW w:w="3100" w:type="dxa"/>
            <w:tcMar>
              <w:top w:w="80" w:type="dxa"/>
              <w:left w:w="100" w:type="dxa"/>
              <w:bottom w:w="80" w:type="dxa"/>
              <w:right w:w="100" w:type="dxa"/>
            </w:tcMar>
            <w:vAlign w:val="center"/>
          </w:tcPr>
          <w:p w14:paraId="3311F6DA">
            <w:pPr>
              <w:spacing w:after="0"/>
            </w:pPr>
            <w:r>
              <w:rPr>
                <w:rFonts w:ascii="Calibri" w:hAnsi="Calibri" w:eastAsia="Calibri" w:cs="Calibri"/>
                <w:b w:val="0"/>
                <w:bCs w:val="0"/>
                <w:color w:val="1C1917"/>
                <w:sz w:val="19"/>
                <w:szCs w:val="19"/>
              </w:rPr>
              <w:t>SLA formalisés, alertes automatiques, gestion multi-pays</w:t>
            </w:r>
          </w:p>
        </w:tc>
        <w:tc>
          <w:tcPr>
            <w:tcW w:w="1200" w:type="dxa"/>
            <w:tcMar>
              <w:top w:w="80" w:type="dxa"/>
              <w:left w:w="100" w:type="dxa"/>
              <w:bottom w:w="80" w:type="dxa"/>
              <w:right w:w="100" w:type="dxa"/>
            </w:tcMar>
            <w:vAlign w:val="center"/>
          </w:tcPr>
          <w:p w14:paraId="7BA9674D">
            <w:pPr>
              <w:spacing w:after="0"/>
            </w:pPr>
            <w:r>
              <w:rPr>
                <w:rFonts w:ascii="Calibri" w:hAnsi="Calibri" w:eastAsia="Calibri" w:cs="Calibri"/>
                <w:b w:val="0"/>
                <w:bCs w:val="0"/>
                <w:color w:val="1C1917"/>
                <w:sz w:val="19"/>
                <w:szCs w:val="19"/>
              </w:rPr>
              <w:t>Continu</w:t>
            </w:r>
          </w:p>
        </w:tc>
      </w:tr>
      <w:tr w14:paraId="78188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70F3C44">
            <w:pPr>
              <w:spacing w:after="0"/>
            </w:pPr>
            <w:r>
              <w:rPr>
                <w:rFonts w:ascii="Calibri" w:hAnsi="Calibri" w:eastAsia="Calibri" w:cs="Calibri"/>
                <w:b w:val="0"/>
                <w:bCs w:val="0"/>
                <w:color w:val="1C1917"/>
                <w:sz w:val="19"/>
                <w:szCs w:val="19"/>
              </w:rPr>
              <w:t>Banque / IMF partenaire (pas concurrent)</w:t>
            </w:r>
          </w:p>
        </w:tc>
        <w:tc>
          <w:tcPr>
            <w:tcW w:w="2600" w:type="dxa"/>
            <w:tcMar>
              <w:top w:w="80" w:type="dxa"/>
              <w:left w:w="100" w:type="dxa"/>
              <w:bottom w:w="80" w:type="dxa"/>
              <w:right w:w="100" w:type="dxa"/>
            </w:tcMar>
            <w:vAlign w:val="center"/>
          </w:tcPr>
          <w:p w14:paraId="7D698ADC">
            <w:pPr>
              <w:spacing w:after="0"/>
            </w:pPr>
            <w:r>
              <w:rPr>
                <w:rFonts w:ascii="Calibri" w:hAnsi="Calibri" w:eastAsia="Calibri" w:cs="Calibri"/>
                <w:b w:val="0"/>
                <w:bCs w:val="0"/>
                <w:color w:val="1C1917"/>
                <w:sz w:val="19"/>
                <w:szCs w:val="19"/>
              </w:rPr>
              <w:t>Finance et débourse l'affacturage ; consomme le SCG et les preuves GWA — GWA n'est pas un concurrent</w:t>
            </w:r>
          </w:p>
        </w:tc>
        <w:tc>
          <w:tcPr>
            <w:tcW w:w="3100" w:type="dxa"/>
            <w:tcMar>
              <w:top w:w="80" w:type="dxa"/>
              <w:left w:w="100" w:type="dxa"/>
              <w:bottom w:w="80" w:type="dxa"/>
              <w:right w:w="100" w:type="dxa"/>
            </w:tcMar>
            <w:vAlign w:val="center"/>
          </w:tcPr>
          <w:p w14:paraId="4600FE76">
            <w:pPr>
              <w:spacing w:after="0"/>
            </w:pPr>
            <w:r>
              <w:rPr>
                <w:rFonts w:ascii="Calibri" w:hAnsi="Calibri" w:eastAsia="Calibri" w:cs="Calibri"/>
                <w:b w:val="0"/>
                <w:bCs w:val="0"/>
                <w:color w:val="1C1917"/>
                <w:sz w:val="19"/>
                <w:szCs w:val="19"/>
              </w:rPr>
              <w:t>Passage d'une vue consultative (export CSV) à une intégration API active (décision/décaissement chez le partenaire)</w:t>
            </w:r>
          </w:p>
        </w:tc>
        <w:tc>
          <w:tcPr>
            <w:tcW w:w="1200" w:type="dxa"/>
            <w:tcMar>
              <w:top w:w="80" w:type="dxa"/>
              <w:left w:w="100" w:type="dxa"/>
              <w:bottom w:w="80" w:type="dxa"/>
              <w:right w:w="100" w:type="dxa"/>
            </w:tcMar>
            <w:vAlign w:val="center"/>
          </w:tcPr>
          <w:p w14:paraId="7025C31D">
            <w:pPr>
              <w:spacing w:after="0"/>
            </w:pPr>
            <w:r>
              <w:rPr>
                <w:rFonts w:ascii="Calibri" w:hAnsi="Calibri" w:eastAsia="Calibri" w:cs="Calibri"/>
                <w:b w:val="0"/>
                <w:bCs w:val="0"/>
                <w:color w:val="1C1917"/>
                <w:sz w:val="19"/>
                <w:szCs w:val="19"/>
              </w:rPr>
              <w:t>M+9 à M+12</w:t>
            </w:r>
          </w:p>
        </w:tc>
      </w:tr>
      <w:tr w14:paraId="3F22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772D89E">
            <w:pPr>
              <w:spacing w:after="0"/>
            </w:pPr>
            <w:r>
              <w:rPr>
                <w:rFonts w:ascii="Calibri" w:hAnsi="Calibri" w:eastAsia="Calibri" w:cs="Calibri"/>
                <w:b w:val="0"/>
                <w:bCs w:val="0"/>
                <w:color w:val="1C1917"/>
                <w:sz w:val="19"/>
                <w:szCs w:val="19"/>
              </w:rPr>
              <w:t>Utilisateur déclaratif</w:t>
            </w:r>
          </w:p>
        </w:tc>
        <w:tc>
          <w:tcPr>
            <w:tcW w:w="2600" w:type="dxa"/>
            <w:tcMar>
              <w:top w:w="80" w:type="dxa"/>
              <w:left w:w="100" w:type="dxa"/>
              <w:bottom w:w="80" w:type="dxa"/>
              <w:right w:w="100" w:type="dxa"/>
            </w:tcMar>
            <w:vAlign w:val="center"/>
          </w:tcPr>
          <w:p w14:paraId="7E964025">
            <w:pPr>
              <w:spacing w:after="0"/>
            </w:pPr>
            <w:r>
              <w:rPr>
                <w:rFonts w:ascii="Calibri" w:hAnsi="Calibri" w:eastAsia="Calibri" w:cs="Calibri"/>
                <w:b w:val="0"/>
                <w:bCs w:val="0"/>
                <w:color w:val="1C1917"/>
                <w:sz w:val="19"/>
                <w:szCs w:val="19"/>
              </w:rPr>
              <w:t>Renseigne les données non automatisées</w:t>
            </w:r>
          </w:p>
        </w:tc>
        <w:tc>
          <w:tcPr>
            <w:tcW w:w="3100" w:type="dxa"/>
            <w:tcMar>
              <w:top w:w="80" w:type="dxa"/>
              <w:left w:w="100" w:type="dxa"/>
              <w:bottom w:w="80" w:type="dxa"/>
              <w:right w:w="100" w:type="dxa"/>
            </w:tcMar>
            <w:vAlign w:val="center"/>
          </w:tcPr>
          <w:p w14:paraId="625FD4A1">
            <w:pPr>
              <w:spacing w:after="0"/>
            </w:pPr>
            <w:r>
              <w:rPr>
                <w:rFonts w:ascii="Calibri" w:hAnsi="Calibri" w:eastAsia="Calibri" w:cs="Calibri"/>
                <w:b w:val="0"/>
                <w:bCs w:val="0"/>
                <w:color w:val="1C1917"/>
                <w:sz w:val="19"/>
                <w:szCs w:val="19"/>
              </w:rPr>
              <w:t>Réduction progressive du déclaratif via automatisation (météo, RCCM)</w:t>
            </w:r>
          </w:p>
        </w:tc>
        <w:tc>
          <w:tcPr>
            <w:tcW w:w="1200" w:type="dxa"/>
            <w:tcMar>
              <w:top w:w="80" w:type="dxa"/>
              <w:left w:w="100" w:type="dxa"/>
              <w:bottom w:w="80" w:type="dxa"/>
              <w:right w:w="100" w:type="dxa"/>
            </w:tcMar>
            <w:vAlign w:val="center"/>
          </w:tcPr>
          <w:p w14:paraId="10797D7C">
            <w:pPr>
              <w:spacing w:after="0"/>
            </w:pPr>
            <w:r>
              <w:rPr>
                <w:rFonts w:ascii="Calibri" w:hAnsi="Calibri" w:eastAsia="Calibri" w:cs="Calibri"/>
                <w:b w:val="0"/>
                <w:bCs w:val="0"/>
                <w:color w:val="1C1917"/>
                <w:sz w:val="19"/>
                <w:szCs w:val="19"/>
              </w:rPr>
              <w:t>M+3 à M+15</w:t>
            </w:r>
          </w:p>
        </w:tc>
      </w:tr>
      <w:tr w14:paraId="24D9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4DDA0F6">
            <w:pPr>
              <w:spacing w:after="0"/>
            </w:pPr>
            <w:r>
              <w:rPr>
                <w:rFonts w:ascii="Calibri" w:hAnsi="Calibri" w:eastAsia="Calibri" w:cs="Calibri"/>
                <w:b w:val="0"/>
                <w:bCs w:val="0"/>
                <w:color w:val="1C1917"/>
                <w:sz w:val="19"/>
                <w:szCs w:val="19"/>
              </w:rPr>
              <w:t>Producteur/ coopérative Ghana</w:t>
            </w:r>
          </w:p>
        </w:tc>
        <w:tc>
          <w:tcPr>
            <w:tcW w:w="2600" w:type="dxa"/>
            <w:tcMar>
              <w:top w:w="80" w:type="dxa"/>
              <w:left w:w="100" w:type="dxa"/>
              <w:bottom w:w="80" w:type="dxa"/>
              <w:right w:w="100" w:type="dxa"/>
            </w:tcMar>
            <w:vAlign w:val="center"/>
          </w:tcPr>
          <w:p w14:paraId="657C0727">
            <w:pPr>
              <w:spacing w:after="0"/>
            </w:pPr>
            <w:r>
              <w:rPr>
                <w:rFonts w:ascii="Calibri" w:hAnsi="Calibri" w:eastAsia="Calibri" w:cs="Calibri"/>
                <w:b w:val="0"/>
                <w:bCs w:val="0"/>
                <w:color w:val="1C1917"/>
                <w:sz w:val="19"/>
                <w:szCs w:val="19"/>
              </w:rPr>
              <w:t>Réplique le cycle GWA sur un marché pilote</w:t>
            </w:r>
          </w:p>
        </w:tc>
        <w:tc>
          <w:tcPr>
            <w:tcW w:w="3100" w:type="dxa"/>
            <w:tcMar>
              <w:top w:w="80" w:type="dxa"/>
              <w:left w:w="100" w:type="dxa"/>
              <w:bottom w:w="80" w:type="dxa"/>
              <w:right w:w="100" w:type="dxa"/>
            </w:tcMar>
            <w:vAlign w:val="center"/>
          </w:tcPr>
          <w:p w14:paraId="77755942">
            <w:pPr>
              <w:spacing w:after="0"/>
            </w:pPr>
            <w:r>
              <w:rPr>
                <w:rFonts w:ascii="Calibri" w:hAnsi="Calibri" w:eastAsia="Calibri" w:cs="Calibri"/>
                <w:b w:val="0"/>
                <w:bCs w:val="0"/>
                <w:color w:val="1C1917"/>
                <w:sz w:val="19"/>
                <w:szCs w:val="19"/>
              </w:rPr>
              <w:t>Nouveau profil — paiement local, SCG adapté aux données disponibles</w:t>
            </w:r>
          </w:p>
        </w:tc>
        <w:tc>
          <w:tcPr>
            <w:tcW w:w="1200" w:type="dxa"/>
            <w:tcMar>
              <w:top w:w="80" w:type="dxa"/>
              <w:left w:w="100" w:type="dxa"/>
              <w:bottom w:w="80" w:type="dxa"/>
              <w:right w:w="100" w:type="dxa"/>
            </w:tcMar>
            <w:vAlign w:val="center"/>
          </w:tcPr>
          <w:p w14:paraId="09290D88">
            <w:pPr>
              <w:spacing w:after="0"/>
            </w:pPr>
            <w:r>
              <w:rPr>
                <w:rFonts w:ascii="Calibri" w:hAnsi="Calibri" w:eastAsia="Calibri" w:cs="Calibri"/>
                <w:b w:val="0"/>
                <w:bCs w:val="0"/>
                <w:color w:val="1C1917"/>
                <w:sz w:val="19"/>
                <w:szCs w:val="19"/>
              </w:rPr>
              <w:t>M+13 à M+18</w:t>
            </w:r>
          </w:p>
        </w:tc>
      </w:tr>
      <w:tr w14:paraId="3CC3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56B86CC">
            <w:pPr>
              <w:spacing w:after="0"/>
            </w:pPr>
            <w:r>
              <w:rPr>
                <w:rFonts w:ascii="Calibri" w:hAnsi="Calibri" w:eastAsia="Calibri" w:cs="Calibri"/>
                <w:b w:val="0"/>
                <w:bCs w:val="0"/>
                <w:color w:val="1C1917"/>
                <w:sz w:val="19"/>
                <w:szCs w:val="19"/>
              </w:rPr>
              <w:t>Producteur/ coopérative Sénégal</w:t>
            </w:r>
          </w:p>
        </w:tc>
        <w:tc>
          <w:tcPr>
            <w:tcW w:w="2600" w:type="dxa"/>
            <w:tcMar>
              <w:top w:w="80" w:type="dxa"/>
              <w:left w:w="100" w:type="dxa"/>
              <w:bottom w:w="80" w:type="dxa"/>
              <w:right w:w="100" w:type="dxa"/>
            </w:tcMar>
            <w:vAlign w:val="center"/>
          </w:tcPr>
          <w:p w14:paraId="44F76522">
            <w:pPr>
              <w:spacing w:after="0"/>
            </w:pPr>
            <w:r>
              <w:rPr>
                <w:rFonts w:ascii="Calibri" w:hAnsi="Calibri" w:eastAsia="Calibri" w:cs="Calibri"/>
                <w:b w:val="0"/>
                <w:bCs w:val="0"/>
                <w:color w:val="1C1917"/>
                <w:sz w:val="19"/>
                <w:szCs w:val="19"/>
              </w:rPr>
              <w:t>Deuxième marché d'expansion</w:t>
            </w:r>
          </w:p>
        </w:tc>
        <w:tc>
          <w:tcPr>
            <w:tcW w:w="3100" w:type="dxa"/>
            <w:tcMar>
              <w:top w:w="80" w:type="dxa"/>
              <w:left w:w="100" w:type="dxa"/>
              <w:bottom w:w="80" w:type="dxa"/>
              <w:right w:w="100" w:type="dxa"/>
            </w:tcMar>
            <w:vAlign w:val="center"/>
          </w:tcPr>
          <w:p w14:paraId="6579B64B">
            <w:pPr>
              <w:spacing w:after="0"/>
            </w:pPr>
            <w:r>
              <w:rPr>
                <w:rFonts w:ascii="Calibri" w:hAnsi="Calibri" w:eastAsia="Calibri" w:cs="Calibri"/>
                <w:b w:val="0"/>
                <w:bCs w:val="0"/>
                <w:color w:val="1C1917"/>
                <w:sz w:val="19"/>
                <w:szCs w:val="19"/>
              </w:rPr>
              <w:t>Nouveau profil, séquencé après stabilisation Ghana</w:t>
            </w:r>
          </w:p>
        </w:tc>
        <w:tc>
          <w:tcPr>
            <w:tcW w:w="1200" w:type="dxa"/>
            <w:tcMar>
              <w:top w:w="80" w:type="dxa"/>
              <w:left w:w="100" w:type="dxa"/>
              <w:bottom w:w="80" w:type="dxa"/>
              <w:right w:w="100" w:type="dxa"/>
            </w:tcMar>
            <w:vAlign w:val="center"/>
          </w:tcPr>
          <w:p w14:paraId="0C528893">
            <w:pPr>
              <w:spacing w:after="0"/>
            </w:pPr>
            <w:r>
              <w:rPr>
                <w:rFonts w:ascii="Calibri" w:hAnsi="Calibri" w:eastAsia="Calibri" w:cs="Calibri"/>
                <w:b w:val="0"/>
                <w:bCs w:val="0"/>
                <w:color w:val="1C1917"/>
                <w:sz w:val="19"/>
                <w:szCs w:val="19"/>
              </w:rPr>
              <w:t>M+18 à M+24</w:t>
            </w:r>
          </w:p>
        </w:tc>
      </w:tr>
      <w:tr w14:paraId="249D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506B785">
            <w:pPr>
              <w:spacing w:after="0"/>
            </w:pPr>
            <w:r>
              <w:rPr>
                <w:rFonts w:ascii="Calibri" w:hAnsi="Calibri" w:eastAsia="Calibri" w:cs="Calibri"/>
                <w:b w:val="0"/>
                <w:bCs w:val="0"/>
                <w:color w:val="1C1917"/>
                <w:sz w:val="19"/>
                <w:szCs w:val="19"/>
              </w:rPr>
              <w:t>Diaspora Europe (acheteur)</w:t>
            </w:r>
          </w:p>
        </w:tc>
        <w:tc>
          <w:tcPr>
            <w:tcW w:w="2600" w:type="dxa"/>
            <w:tcMar>
              <w:top w:w="80" w:type="dxa"/>
              <w:left w:w="100" w:type="dxa"/>
              <w:bottom w:w="80" w:type="dxa"/>
              <w:right w:w="100" w:type="dxa"/>
            </w:tcMar>
            <w:vAlign w:val="center"/>
          </w:tcPr>
          <w:p w14:paraId="0DDBB427">
            <w:pPr>
              <w:spacing w:after="0"/>
            </w:pPr>
            <w:r>
              <w:rPr>
                <w:rFonts w:ascii="Calibri" w:hAnsi="Calibri" w:eastAsia="Calibri" w:cs="Calibri"/>
                <w:b w:val="0"/>
                <w:bCs w:val="0"/>
                <w:color w:val="1C1917"/>
                <w:sz w:val="19"/>
                <w:szCs w:val="19"/>
              </w:rPr>
              <w:t>Achète des produits tracés EUDR depuis l'Europe</w:t>
            </w:r>
          </w:p>
        </w:tc>
        <w:tc>
          <w:tcPr>
            <w:tcW w:w="3100" w:type="dxa"/>
            <w:tcMar>
              <w:top w:w="80" w:type="dxa"/>
              <w:left w:w="100" w:type="dxa"/>
              <w:bottom w:w="80" w:type="dxa"/>
              <w:right w:w="100" w:type="dxa"/>
            </w:tcMar>
            <w:vAlign w:val="center"/>
          </w:tcPr>
          <w:p w14:paraId="66FABF92">
            <w:pPr>
              <w:spacing w:after="0"/>
            </w:pPr>
            <w:r>
              <w:rPr>
                <w:rFonts w:ascii="Calibri" w:hAnsi="Calibri" w:eastAsia="Calibri" w:cs="Calibri"/>
                <w:b w:val="0"/>
                <w:bCs w:val="0"/>
                <w:color w:val="1C1917"/>
                <w:sz w:val="19"/>
                <w:szCs w:val="19"/>
              </w:rPr>
              <w:t>Nouveau profil, canal e-commerce spécifique</w:t>
            </w:r>
          </w:p>
        </w:tc>
        <w:tc>
          <w:tcPr>
            <w:tcW w:w="1200" w:type="dxa"/>
            <w:tcMar>
              <w:top w:w="80" w:type="dxa"/>
              <w:left w:w="100" w:type="dxa"/>
              <w:bottom w:w="80" w:type="dxa"/>
              <w:right w:w="100" w:type="dxa"/>
            </w:tcMar>
            <w:vAlign w:val="center"/>
          </w:tcPr>
          <w:p w14:paraId="6FDE624B">
            <w:pPr>
              <w:spacing w:after="0"/>
            </w:pPr>
            <w:r>
              <w:rPr>
                <w:rFonts w:ascii="Calibri" w:hAnsi="Calibri" w:eastAsia="Calibri" w:cs="Calibri"/>
                <w:b w:val="0"/>
                <w:bCs w:val="0"/>
                <w:color w:val="1C1917"/>
                <w:sz w:val="19"/>
                <w:szCs w:val="19"/>
              </w:rPr>
              <w:t>M+18 à M+24</w:t>
            </w:r>
          </w:p>
        </w:tc>
      </w:tr>
    </w:tbl>
    <w:p w14:paraId="5D4B852E">
      <w:pPr>
        <w:pStyle w:val="2"/>
        <w:pBdr>
          <w:bottom w:val="single" w:color="1F5C2E" w:sz="8" w:space="4"/>
        </w:pBdr>
        <w:spacing w:before="400" w:after="200"/>
      </w:pPr>
      <w:r>
        <w:rPr>
          <w:rFonts w:ascii="Calibri" w:hAnsi="Calibri" w:eastAsia="Calibri" w:cs="Calibri"/>
          <w:b/>
          <w:bCs/>
          <w:color w:val="1F5C2E"/>
          <w:sz w:val="30"/>
          <w:szCs w:val="30"/>
        </w:rPr>
        <w:t>4. Problématique</w:t>
      </w:r>
    </w:p>
    <w:p w14:paraId="12BFCD97">
      <w:pPr>
        <w:spacing w:before="0" w:after="120"/>
        <w:jc w:val="left"/>
      </w:pPr>
      <w:r>
        <w:rPr>
          <w:rFonts w:ascii="Calibri" w:hAnsi="Calibri" w:eastAsia="Calibri" w:cs="Calibri"/>
          <w:b w:val="0"/>
          <w:bCs w:val="0"/>
          <w:i/>
          <w:iCs/>
          <w:color w:val="1C1917"/>
          <w:sz w:val="21"/>
          <w:szCs w:val="21"/>
        </w:rPr>
        <w:t>Comment transformer GWA d'une marketplace agricole nationale en une infrastructure régionale de commerce agricole qui facilite l'accès au financement via des partenaires bancaires/IMF, en automatisant la confiance (SCG) et l'orchestration de l'affacturage au rythme de la preuve terrain, sans complexifier l'usage pour des utilisateurs peu familiers du numérique, sans jamais diluer le périmètre agricole, et sans jamais se positionner comme concurrent des banques ?</w:t>
      </w:r>
    </w:p>
    <w:p w14:paraId="798738EE">
      <w:pPr>
        <w:pStyle w:val="2"/>
        <w:pBdr>
          <w:bottom w:val="single" w:color="1F5C2E" w:sz="8" w:space="4"/>
        </w:pBdr>
        <w:spacing w:before="400" w:after="200"/>
      </w:pPr>
      <w:r>
        <w:rPr>
          <w:rFonts w:ascii="Calibri" w:hAnsi="Calibri" w:eastAsia="Calibri" w:cs="Calibri"/>
          <w:b/>
          <w:bCs/>
          <w:color w:val="1F5C2E"/>
          <w:sz w:val="30"/>
          <w:szCs w:val="30"/>
        </w:rPr>
        <w:t>5. Objectif principal</w:t>
      </w:r>
    </w:p>
    <w:p w14:paraId="450BEDF3">
      <w:pPr>
        <w:spacing w:before="0" w:after="120"/>
        <w:jc w:val="left"/>
      </w:pPr>
      <w:r>
        <w:rPr>
          <w:rFonts w:ascii="Calibri" w:hAnsi="Calibri" w:eastAsia="Calibri" w:cs="Calibri"/>
          <w:b w:val="0"/>
          <w:bCs w:val="0"/>
          <w:i w:val="0"/>
          <w:iCs w:val="0"/>
          <w:color w:val="1C1917"/>
          <w:sz w:val="21"/>
          <w:szCs w:val="21"/>
        </w:rPr>
        <w:t>Faire de GWA, entre le 1er septembre 2026 et le 1er septembre 2028, l'infrastructure numérique de référence du commerce agricole en Afrique de l'Ouest, en automatisant progressivement le scoring de confiance (SCG) et l'orchestration de l'affacturage avec des partenaires financiers (qui restent les décideurs et financeurs), et en répliquant le modèle validé en Côte d'Ivoire vers au moins deux nouveaux marchés.</w:t>
      </w:r>
    </w:p>
    <w:p w14:paraId="77756D8F">
      <w:pPr>
        <w:pStyle w:val="2"/>
        <w:pBdr>
          <w:bottom w:val="single" w:color="1F5C2E" w:sz="8" w:space="4"/>
        </w:pBdr>
        <w:spacing w:before="400" w:after="200"/>
      </w:pPr>
      <w:r>
        <w:rPr>
          <w:rFonts w:ascii="Calibri" w:hAnsi="Calibri" w:eastAsia="Calibri" w:cs="Calibri"/>
          <w:b/>
          <w:bCs/>
          <w:color w:val="1F5C2E"/>
          <w:sz w:val="30"/>
          <w:szCs w:val="30"/>
        </w:rPr>
        <w:t>6. Objectifs spécifiques</w:t>
      </w:r>
    </w:p>
    <w:p w14:paraId="6C1C2AF7">
      <w:pPr>
        <w:pStyle w:val="16"/>
        <w:numPr>
          <w:ilvl w:val="0"/>
          <w:numId w:val="1"/>
        </w:numPr>
        <w:spacing w:after="80"/>
      </w:pPr>
      <w:r>
        <w:rPr>
          <w:rFonts w:ascii="Calibri" w:hAnsi="Calibri" w:eastAsia="Calibri" w:cs="Calibri"/>
          <w:b w:val="0"/>
          <w:bCs w:val="0"/>
          <w:color w:val="1C1917"/>
          <w:sz w:val="21"/>
          <w:szCs w:val="21"/>
        </w:rPr>
        <w:t>Exécuter intégralement le backlog validé de la bêta (Lots 1 à 6) au cours des 6 premiers mois.</w:t>
      </w:r>
    </w:p>
    <w:p w14:paraId="3DB3855A">
      <w:pPr>
        <w:pStyle w:val="16"/>
        <w:numPr>
          <w:ilvl w:val="0"/>
          <w:numId w:val="1"/>
        </w:numPr>
        <w:spacing w:after="80"/>
      </w:pPr>
      <w:r>
        <w:rPr>
          <w:rFonts w:ascii="Calibri" w:hAnsi="Calibri" w:eastAsia="Calibri" w:cs="Calibri"/>
          <w:b w:val="0"/>
          <w:bCs w:val="0"/>
          <w:color w:val="1C1917"/>
          <w:sz w:val="21"/>
          <w:szCs w:val="21"/>
        </w:rPr>
        <w:t>Automatiser l'orchestration de l'affacturage (éligibilité, demande, reporting) via une intégration API avec au moins un partenaire financier avant M+12 — le décaissement et la décision de crédit restant du ressort du partenaire agréé.</w:t>
      </w:r>
    </w:p>
    <w:p w14:paraId="520CBCFC">
      <w:pPr>
        <w:pStyle w:val="16"/>
        <w:numPr>
          <w:ilvl w:val="0"/>
          <w:numId w:val="1"/>
        </w:numPr>
        <w:spacing w:after="80"/>
      </w:pPr>
      <w:r>
        <w:rPr>
          <w:rFonts w:ascii="Calibri" w:hAnsi="Calibri" w:eastAsia="Calibri" w:cs="Calibri"/>
          <w:b w:val="0"/>
          <w:bCs w:val="0"/>
          <w:color w:val="1C1917"/>
          <w:sz w:val="21"/>
          <w:szCs w:val="21"/>
        </w:rPr>
        <w:t>Faire évoluer le SCG vers une version 3 réduisant la part des paramètres déclaratifs par l'automatisation des sources de données (météo, RCCM, historique bancaire consenti).</w:t>
      </w:r>
    </w:p>
    <w:p w14:paraId="35783D41">
      <w:pPr>
        <w:pStyle w:val="16"/>
        <w:numPr>
          <w:ilvl w:val="0"/>
          <w:numId w:val="1"/>
        </w:numPr>
        <w:spacing w:after="80"/>
      </w:pPr>
      <w:r>
        <w:rPr>
          <w:rFonts w:ascii="Calibri" w:hAnsi="Calibri" w:eastAsia="Calibri" w:cs="Calibri"/>
          <w:b w:val="0"/>
          <w:bCs w:val="0"/>
          <w:color w:val="1C1917"/>
          <w:sz w:val="21"/>
          <w:szCs w:val="21"/>
        </w:rPr>
        <w:t>Lancer les modules de profondeur commerciale (B2B RFQ, Formations, gestion complète des coopératives) avant M+12.</w:t>
      </w:r>
    </w:p>
    <w:p w14:paraId="4B6F3E2A">
      <w:pPr>
        <w:pStyle w:val="16"/>
        <w:numPr>
          <w:ilvl w:val="0"/>
          <w:numId w:val="1"/>
        </w:numPr>
        <w:spacing w:after="80"/>
      </w:pPr>
      <w:r>
        <w:rPr>
          <w:rFonts w:ascii="Calibri" w:hAnsi="Calibri" w:eastAsia="Calibri" w:cs="Calibri"/>
          <w:b w:val="0"/>
          <w:bCs w:val="0"/>
          <w:color w:val="1C1917"/>
          <w:sz w:val="21"/>
          <w:szCs w:val="21"/>
        </w:rPr>
        <w:t>Répliquer le modèle GWA sur un premier marché ouest-africain (Ghana) entre M+13 et M+18, puis un second (Sénégal) entre M+18 et M+24.</w:t>
      </w:r>
    </w:p>
    <w:p w14:paraId="60A91852">
      <w:pPr>
        <w:pStyle w:val="16"/>
        <w:numPr>
          <w:ilvl w:val="0"/>
          <w:numId w:val="1"/>
        </w:numPr>
        <w:spacing w:after="80"/>
      </w:pPr>
      <w:r>
        <w:rPr>
          <w:rFonts w:ascii="Calibri" w:hAnsi="Calibri" w:eastAsia="Calibri" w:cs="Calibri"/>
          <w:b w:val="0"/>
          <w:bCs w:val="0"/>
          <w:color w:val="1C1917"/>
          <w:sz w:val="21"/>
          <w:szCs w:val="21"/>
        </w:rPr>
        <w:t>Mettre en place la traçabilité EUDR pour les filières exportatrices avant M+20.</w:t>
      </w:r>
    </w:p>
    <w:p w14:paraId="24D62D5C">
      <w:pPr>
        <w:pStyle w:val="16"/>
        <w:numPr>
          <w:ilvl w:val="0"/>
          <w:numId w:val="1"/>
        </w:numPr>
        <w:spacing w:after="80"/>
      </w:pPr>
      <w:r>
        <w:rPr>
          <w:rFonts w:ascii="Calibri" w:hAnsi="Calibri" w:eastAsia="Calibri" w:cs="Calibri"/>
          <w:b w:val="0"/>
          <w:bCs w:val="0"/>
          <w:color w:val="1C1917"/>
          <w:sz w:val="21"/>
          <w:szCs w:val="21"/>
        </w:rPr>
        <w:t>Maintenir un niveau de sécurité et de conformité réglementaire (BCEAO/UEMOA et équivalents locaux) sans interruption sur tout l'horizon.</w:t>
      </w:r>
    </w:p>
    <w:p w14:paraId="7CFB5E78">
      <w:r>
        <w:br w:type="page"/>
      </w:r>
    </w:p>
    <w:p w14:paraId="603FDC10">
      <w:pPr>
        <w:pStyle w:val="2"/>
        <w:pBdr>
          <w:bottom w:val="single" w:color="1F5C2E" w:sz="8" w:space="4"/>
        </w:pBdr>
        <w:spacing w:before="400" w:after="200"/>
      </w:pPr>
      <w:r>
        <w:rPr>
          <w:rFonts w:ascii="Calibri" w:hAnsi="Calibri" w:eastAsia="Calibri" w:cs="Calibri"/>
          <w:b/>
          <w:bCs/>
          <w:color w:val="1F5C2E"/>
          <w:sz w:val="30"/>
          <w:szCs w:val="30"/>
        </w:rPr>
        <w:t>7. Spécifications fonctionnelles complètes</w:t>
      </w:r>
    </w:p>
    <w:p w14:paraId="1F69182E">
      <w:pPr>
        <w:spacing w:before="0" w:after="120"/>
        <w:jc w:val="left"/>
      </w:pPr>
      <w:r>
        <w:rPr>
          <w:rFonts w:ascii="Calibri" w:hAnsi="Calibri" w:eastAsia="Calibri" w:cs="Calibri"/>
          <w:b w:val="0"/>
          <w:bCs w:val="0"/>
          <w:i w:val="0"/>
          <w:iCs w:val="0"/>
          <w:color w:val="1C1917"/>
          <w:sz w:val="21"/>
          <w:szCs w:val="21"/>
        </w:rPr>
        <w:t>Dix-sept modules couvrent l'intégralité du périmètre fonctionnel visé à 12/24 mois. Les modules A à F sont ceux de la bêta, dont l'évolution est spécifiée ici ; les modules G à Q sont nouveaux ou activés en Phase 2.</w:t>
      </w:r>
    </w:p>
    <w:p w14:paraId="34B8E444">
      <w:pPr>
        <w:pStyle w:val="4"/>
        <w:spacing w:before="240" w:after="120"/>
      </w:pPr>
      <w:r>
        <w:rPr>
          <w:rFonts w:ascii="Calibri" w:hAnsi="Calibri" w:eastAsia="Calibri" w:cs="Calibri"/>
          <w:b/>
          <w:bCs/>
          <w:color w:val="C27D10"/>
          <w:sz w:val="22"/>
          <w:szCs w:val="22"/>
        </w:rPr>
        <w:t>A — Authentification, profils &amp; KYC avancé</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0291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7E02F44A">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2B8B3935">
            <w:pPr>
              <w:spacing w:after="0"/>
            </w:pPr>
            <w:r>
              <w:rPr>
                <w:rFonts w:ascii="Calibri" w:hAnsi="Calibri" w:eastAsia="Calibri" w:cs="Calibri"/>
                <w:b/>
                <w:bCs/>
                <w:color w:val="FFFFFF"/>
                <w:sz w:val="18"/>
                <w:szCs w:val="18"/>
              </w:rPr>
              <w:t>Spécification</w:t>
            </w:r>
          </w:p>
        </w:tc>
      </w:tr>
      <w:tr w14:paraId="3987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CB35443">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27C53BB">
            <w:pPr>
              <w:spacing w:after="0"/>
            </w:pPr>
            <w:r>
              <w:rPr>
                <w:rFonts w:ascii="Calibri" w:hAnsi="Calibri" w:eastAsia="Calibri" w:cs="Calibri"/>
                <w:b w:val="0"/>
                <w:bCs w:val="0"/>
                <w:color w:val="1C1917"/>
                <w:sz w:val="19"/>
                <w:szCs w:val="19"/>
              </w:rPr>
              <w:t>Évolution de l'authentification bêta (OTP + profils) vers un KYC renforcé et une gestion multi-pays des identités.</w:t>
            </w:r>
          </w:p>
        </w:tc>
      </w:tr>
      <w:tr w14:paraId="15E2B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0989009">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1C7A2581">
            <w:pPr>
              <w:spacing w:after="0"/>
            </w:pPr>
            <w:r>
              <w:rPr>
                <w:rFonts w:ascii="Calibri" w:hAnsi="Calibri" w:eastAsia="Calibri" w:cs="Calibri"/>
                <w:b w:val="0"/>
                <w:bCs w:val="0"/>
                <w:color w:val="1C1917"/>
                <w:sz w:val="19"/>
                <w:szCs w:val="19"/>
              </w:rPr>
              <w:t>Vérification RCCM automatisée, relance automatique des documents flous, timeline KYC visible par l'utilisateur, support de pièces d'identité multi-pays (Ghana, Sénégal).</w:t>
            </w:r>
          </w:p>
        </w:tc>
      </w:tr>
      <w:tr w14:paraId="43D0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479A9AD">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5E3518FF">
            <w:pPr>
              <w:spacing w:after="0"/>
            </w:pPr>
            <w:r>
              <w:rPr>
                <w:rFonts w:ascii="Calibri" w:hAnsi="Calibri" w:eastAsia="Calibri" w:cs="Calibri"/>
                <w:b w:val="0"/>
                <w:bCs w:val="0"/>
                <w:color w:val="1C1917"/>
                <w:sz w:val="19"/>
                <w:szCs w:val="19"/>
              </w:rPr>
              <w:t>Supabase Auth + NextAuth (existant), service de vérification documentaire tiers à intégrer, règles KYC paramétrables par pays.</w:t>
            </w:r>
          </w:p>
        </w:tc>
      </w:tr>
      <w:tr w14:paraId="4958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534E151">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37204644">
            <w:pPr>
              <w:spacing w:after="0"/>
            </w:pPr>
            <w:r>
              <w:rPr>
                <w:rFonts w:ascii="Calibri" w:hAnsi="Calibri" w:eastAsia="Calibri" w:cs="Calibri"/>
                <w:b w:val="0"/>
                <w:bCs w:val="0"/>
                <w:color w:val="1C1917"/>
                <w:sz w:val="19"/>
                <w:szCs w:val="19"/>
              </w:rPr>
              <w:t>M+1 à M+9  réduit la friction d'inscription et le délai de traitement KYC (SLA 24h visé).</w:t>
            </w:r>
          </w:p>
        </w:tc>
      </w:tr>
    </w:tbl>
    <w:p w14:paraId="70AF2E3F">
      <w:pPr>
        <w:pStyle w:val="4"/>
        <w:spacing w:before="240" w:after="120"/>
      </w:pPr>
      <w:r>
        <w:rPr>
          <w:rFonts w:ascii="Calibri" w:hAnsi="Calibri" w:eastAsia="Calibri" w:cs="Calibri"/>
          <w:b/>
          <w:bCs/>
          <w:color w:val="C27D10"/>
          <w:sz w:val="22"/>
          <w:szCs w:val="22"/>
        </w:rPr>
        <w:t>B — Catalogue &amp; marketplace (évolution)</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7FA20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50F65B73">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2F3EB2E3">
            <w:pPr>
              <w:spacing w:after="0"/>
            </w:pPr>
            <w:r>
              <w:rPr>
                <w:rFonts w:ascii="Calibri" w:hAnsi="Calibri" w:eastAsia="Calibri" w:cs="Calibri"/>
                <w:b/>
                <w:bCs/>
                <w:color w:val="FFFFFF"/>
                <w:sz w:val="18"/>
                <w:szCs w:val="18"/>
              </w:rPr>
              <w:t>Spécification</w:t>
            </w:r>
          </w:p>
        </w:tc>
      </w:tr>
      <w:tr w14:paraId="7426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79F80C1">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0C0AFB60">
            <w:pPr>
              <w:spacing w:after="0"/>
            </w:pPr>
            <w:r>
              <w:rPr>
                <w:rFonts w:ascii="Calibri" w:hAnsi="Calibri" w:eastAsia="Calibri" w:cs="Calibri"/>
                <w:b w:val="0"/>
                <w:bCs w:val="0"/>
                <w:color w:val="1C1917"/>
                <w:sz w:val="19"/>
                <w:szCs w:val="19"/>
              </w:rPr>
              <w:t>Enrichissement du catalogue existant : vidéos produit, multilingue, certifications vérifiées automatiquement, données géographiques obligatoires.</w:t>
            </w:r>
          </w:p>
        </w:tc>
      </w:tr>
      <w:tr w14:paraId="14D1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9C26962">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49B53E70">
            <w:pPr>
              <w:spacing w:after="0"/>
            </w:pPr>
            <w:r>
              <w:rPr>
                <w:rFonts w:ascii="Calibri" w:hAnsi="Calibri" w:eastAsia="Calibri" w:cs="Calibri"/>
                <w:b w:val="0"/>
                <w:bCs w:val="0"/>
                <w:color w:val="1C1917"/>
                <w:sz w:val="19"/>
                <w:szCs w:val="19"/>
              </w:rPr>
              <w:t>Upload vidéo compressée, traduction assistée (Yelly IA), vérification automatique de certificats (bio, fairtrade) via base documentaire, ville/pays obligatoires à la publication.</w:t>
            </w:r>
          </w:p>
        </w:tc>
      </w:tr>
      <w:tr w14:paraId="675C7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1A867F4">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732BDAE9">
            <w:pPr>
              <w:spacing w:after="0"/>
            </w:pPr>
            <w:r>
              <w:rPr>
                <w:rFonts w:ascii="Calibri" w:hAnsi="Calibri" w:eastAsia="Calibri" w:cs="Calibri"/>
                <w:b w:val="0"/>
                <w:bCs w:val="0"/>
                <w:color w:val="1C1917"/>
                <w:sz w:val="19"/>
                <w:szCs w:val="19"/>
              </w:rPr>
              <w:t>Next.js/React (existant), stockage Supabase, service de vérification documentaire, IA Gemini pour la traduction assistée.</w:t>
            </w:r>
          </w:p>
        </w:tc>
      </w:tr>
      <w:tr w14:paraId="47BC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60BF5E4">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5910DFC3">
            <w:pPr>
              <w:spacing w:after="0"/>
            </w:pPr>
            <w:r>
              <w:rPr>
                <w:rFonts w:ascii="Calibri" w:hAnsi="Calibri" w:eastAsia="Calibri" w:cs="Calibri"/>
                <w:b w:val="0"/>
                <w:bCs w:val="0"/>
                <w:color w:val="1C1917"/>
                <w:sz w:val="19"/>
                <w:szCs w:val="19"/>
              </w:rPr>
              <w:t>M+1 à M+6  corrig</w:t>
            </w:r>
            <w:r>
              <w:rPr>
                <w:rFonts w:hint="default" w:ascii="Calibri" w:hAnsi="Calibri" w:eastAsia="Calibri" w:cs="Calibri"/>
                <w:b w:val="0"/>
                <w:bCs w:val="0"/>
                <w:color w:val="1C1917"/>
                <w:sz w:val="19"/>
                <w:szCs w:val="19"/>
                <w:lang/>
              </w:rPr>
              <w:t xml:space="preserve">e </w:t>
            </w:r>
            <w:r>
              <w:rPr>
                <w:rFonts w:ascii="Calibri" w:hAnsi="Calibri" w:eastAsia="Calibri" w:cs="Calibri"/>
                <w:b w:val="0"/>
                <w:bCs w:val="0"/>
                <w:color w:val="1C1917"/>
                <w:sz w:val="19"/>
                <w:szCs w:val="19"/>
              </w:rPr>
              <w:t>le risque data géo déjà identifié en bêta et amélior</w:t>
            </w:r>
            <w:r>
              <w:rPr>
                <w:rFonts w:hint="default" w:ascii="Calibri" w:hAnsi="Calibri" w:eastAsia="Calibri" w:cs="Calibri"/>
                <w:b w:val="0"/>
                <w:bCs w:val="0"/>
                <w:color w:val="1C1917"/>
                <w:sz w:val="19"/>
                <w:szCs w:val="19"/>
                <w:lang/>
              </w:rPr>
              <w:t>é</w:t>
            </w:r>
            <w:r>
              <w:rPr>
                <w:rFonts w:ascii="Calibri" w:hAnsi="Calibri" w:eastAsia="Calibri" w:cs="Calibri"/>
                <w:b w:val="0"/>
                <w:bCs w:val="0"/>
                <w:color w:val="1C1917"/>
                <w:sz w:val="19"/>
                <w:szCs w:val="19"/>
              </w:rPr>
              <w:t xml:space="preserve"> la conversion acheteur.</w:t>
            </w:r>
          </w:p>
        </w:tc>
      </w:tr>
    </w:tbl>
    <w:p w14:paraId="3F328F44">
      <w:pPr>
        <w:pStyle w:val="4"/>
        <w:spacing w:before="240" w:after="120"/>
      </w:pPr>
      <w:r>
        <w:rPr>
          <w:rFonts w:ascii="Calibri" w:hAnsi="Calibri" w:eastAsia="Calibri" w:cs="Calibri"/>
          <w:b/>
          <w:bCs/>
          <w:color w:val="C27D10"/>
          <w:sz w:val="22"/>
          <w:szCs w:val="22"/>
        </w:rPr>
        <w:t>C — Commande, paiement &amp; Smart Escrow (évolution)</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2F60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54E5997A">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7C6F1DB1">
            <w:pPr>
              <w:spacing w:after="0"/>
            </w:pPr>
            <w:r>
              <w:rPr>
                <w:rFonts w:ascii="Calibri" w:hAnsi="Calibri" w:eastAsia="Calibri" w:cs="Calibri"/>
                <w:b/>
                <w:bCs/>
                <w:color w:val="FFFFFF"/>
                <w:sz w:val="18"/>
                <w:szCs w:val="18"/>
              </w:rPr>
              <w:t>Spécification</w:t>
            </w:r>
          </w:p>
        </w:tc>
      </w:tr>
      <w:tr w14:paraId="5E04D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F960066">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3602FD62">
            <w:pPr>
              <w:spacing w:after="0"/>
            </w:pPr>
            <w:r>
              <w:rPr>
                <w:rFonts w:ascii="Calibri" w:hAnsi="Calibri" w:eastAsia="Calibri" w:cs="Calibri"/>
                <w:b w:val="0"/>
                <w:bCs w:val="0"/>
                <w:color w:val="1C1917"/>
                <w:sz w:val="19"/>
                <w:szCs w:val="19"/>
              </w:rPr>
              <w:t>Passage de Feexpay sandbox à une production pleinement fiabilisée, avec gestion multi-devise pour l'expansion.</w:t>
            </w:r>
          </w:p>
        </w:tc>
      </w:tr>
      <w:tr w14:paraId="03E72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DFB3E3C">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7483C474">
            <w:pPr>
              <w:spacing w:after="0"/>
            </w:pPr>
            <w:r>
              <w:rPr>
                <w:rFonts w:ascii="Calibri" w:hAnsi="Calibri" w:eastAsia="Calibri" w:cs="Calibri"/>
                <w:b w:val="0"/>
                <w:bCs w:val="0"/>
                <w:color w:val="1C1917"/>
                <w:sz w:val="19"/>
                <w:szCs w:val="19"/>
              </w:rPr>
              <w:t>Payment_url réel en production, gestion multi-devises (XOF, GHS, EUR pour diaspora), timeline escrow visuelle, rappel J-1 avant libération, photo de réception.</w:t>
            </w:r>
          </w:p>
        </w:tc>
      </w:tr>
      <w:tr w14:paraId="6021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539E612">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082FD03F">
            <w:pPr>
              <w:spacing w:after="0"/>
            </w:pPr>
            <w:r>
              <w:rPr>
                <w:rFonts w:ascii="Calibri" w:hAnsi="Calibri" w:eastAsia="Calibri" w:cs="Calibri"/>
                <w:b w:val="0"/>
                <w:bCs w:val="0"/>
                <w:color w:val="1C1917"/>
                <w:sz w:val="19"/>
                <w:szCs w:val="19"/>
              </w:rPr>
              <w:t>Feexpay (CI/UEMOA), agrégateur local à identifier pour le Ghana, module de conversion de devise.</w:t>
            </w:r>
          </w:p>
        </w:tc>
      </w:tr>
      <w:tr w14:paraId="3F03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6408A13">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4DD23D6A">
            <w:pPr>
              <w:spacing w:after="0"/>
            </w:pPr>
            <w:r>
              <w:rPr>
                <w:rFonts w:ascii="Calibri" w:hAnsi="Calibri" w:eastAsia="Calibri" w:cs="Calibri"/>
                <w:b w:val="0"/>
                <w:bCs w:val="0"/>
                <w:color w:val="1C1917"/>
                <w:sz w:val="19"/>
                <w:szCs w:val="19"/>
              </w:rPr>
              <w:t>M+1 (finalisation CI) à M+18 (multi-devise Ghana/diaspora).</w:t>
            </w:r>
          </w:p>
        </w:tc>
      </w:tr>
    </w:tbl>
    <w:p w14:paraId="0C9C253D">
      <w:pPr>
        <w:pStyle w:val="4"/>
        <w:spacing w:before="240" w:after="120"/>
      </w:pPr>
      <w:r>
        <w:rPr>
          <w:rFonts w:ascii="Calibri" w:hAnsi="Calibri" w:eastAsia="Calibri" w:cs="Calibri"/>
          <w:b/>
          <w:bCs/>
          <w:color w:val="C27D10"/>
          <w:sz w:val="22"/>
          <w:szCs w:val="22"/>
        </w:rPr>
        <w:t>D — Affacturage digital &amp; finance intégrée</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2C72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0BF259A0">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5037EDA6">
            <w:pPr>
              <w:spacing w:after="0"/>
            </w:pPr>
            <w:r>
              <w:rPr>
                <w:rFonts w:ascii="Calibri" w:hAnsi="Calibri" w:eastAsia="Calibri" w:cs="Calibri"/>
                <w:b/>
                <w:bCs/>
                <w:color w:val="FFFFFF"/>
                <w:sz w:val="18"/>
                <w:szCs w:val="18"/>
              </w:rPr>
              <w:t>Spécification</w:t>
            </w:r>
          </w:p>
        </w:tc>
      </w:tr>
      <w:tr w14:paraId="1953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E3FBFE0">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41FF2003">
            <w:pPr>
              <w:spacing w:after="0"/>
            </w:pPr>
            <w:r>
              <w:rPr>
                <w:rFonts w:ascii="Calibri" w:hAnsi="Calibri" w:eastAsia="Calibri" w:cs="Calibri"/>
                <w:b w:val="0"/>
                <w:bCs w:val="0"/>
                <w:color w:val="1C1917"/>
                <w:sz w:val="19"/>
                <w:szCs w:val="19"/>
              </w:rPr>
              <w:t>Passage du circuit semi-manuel de la bêta à une orchestration automatisée via API avec un partenaire financier signé. GWA calcule l'éligibilité et transmet le dossier ; le partenaire décide et débourse. Les banques/IMF ne sont pas des concurrents.</w:t>
            </w:r>
          </w:p>
        </w:tc>
      </w:tr>
      <w:tr w14:paraId="6B1E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7A6A760">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075C83AF">
            <w:pPr>
              <w:spacing w:after="0"/>
            </w:pPr>
            <w:r>
              <w:rPr>
                <w:rFonts w:ascii="Calibri" w:hAnsi="Calibri" w:eastAsia="Calibri" w:cs="Calibri"/>
                <w:b w:val="0"/>
                <w:bCs w:val="0"/>
                <w:color w:val="1C1917"/>
                <w:sz w:val="19"/>
                <w:szCs w:val="19"/>
              </w:rPr>
              <w:t>Calcul d'éligibilité en temps réel, demande d'avance en un clic, transmission automatisée du dossier au partenaire, décaissement chez le partenaire sous conditions (SCG &gt;= seuil, garantie de groupe), historique financier consolidé, reporting pour le partenaire financier.</w:t>
            </w:r>
          </w:p>
        </w:tc>
      </w:tr>
      <w:tr w14:paraId="7B00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0FAA7BA">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28989CD1">
            <w:pPr>
              <w:spacing w:after="0"/>
            </w:pPr>
            <w:r>
              <w:rPr>
                <w:rFonts w:ascii="Calibri" w:hAnsi="Calibri" w:eastAsia="Calibri" w:cs="Calibri"/>
                <w:b w:val="0"/>
                <w:bCs w:val="0"/>
                <w:color w:val="1C1917"/>
                <w:sz w:val="19"/>
                <w:szCs w:val="19"/>
              </w:rPr>
              <w:t>Service Python FastAPI (existant, étendu), API bancaire du partenaire (à spécifier conjointement), file de validation back-office conservée en secours.</w:t>
            </w:r>
          </w:p>
        </w:tc>
      </w:tr>
      <w:tr w14:paraId="1D1D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BBC7608">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3AF9C334">
            <w:pPr>
              <w:spacing w:after="0"/>
            </w:pPr>
            <w:r>
              <w:rPr>
                <w:rFonts w:ascii="Calibri" w:hAnsi="Calibri" w:eastAsia="Calibri" w:cs="Calibri"/>
                <w:b w:val="0"/>
                <w:bCs w:val="0"/>
                <w:color w:val="1C1917"/>
                <w:sz w:val="19"/>
                <w:szCs w:val="19"/>
              </w:rPr>
              <w:t>M+6 (préparation) à M+12 (orchestration live) — brique de différenciation = preuve de confiance + deal flow pour le partenaire financier (pas un produit bancaire concurrent).</w:t>
            </w:r>
          </w:p>
        </w:tc>
      </w:tr>
    </w:tbl>
    <w:p w14:paraId="3BBB3E43">
      <w:pPr>
        <w:pStyle w:val="4"/>
        <w:spacing w:before="240" w:after="120"/>
      </w:pPr>
      <w:r>
        <w:rPr>
          <w:rFonts w:ascii="Calibri" w:hAnsi="Calibri" w:eastAsia="Calibri" w:cs="Calibri"/>
          <w:b/>
          <w:bCs/>
          <w:color w:val="C27D10"/>
          <w:sz w:val="22"/>
          <w:szCs w:val="22"/>
        </w:rPr>
        <w:t>E — SCG v3 — scoring de crédit avancé</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56A0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7FDF83A4">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1BFC9DDD">
            <w:pPr>
              <w:spacing w:after="0"/>
            </w:pPr>
            <w:r>
              <w:rPr>
                <w:rFonts w:ascii="Calibri" w:hAnsi="Calibri" w:eastAsia="Calibri" w:cs="Calibri"/>
                <w:b/>
                <w:bCs/>
                <w:color w:val="FFFFFF"/>
                <w:sz w:val="18"/>
                <w:szCs w:val="18"/>
              </w:rPr>
              <w:t>Spécification</w:t>
            </w:r>
          </w:p>
        </w:tc>
      </w:tr>
      <w:tr w14:paraId="1ADC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07F3DC9">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58061343">
            <w:pPr>
              <w:spacing w:after="0"/>
            </w:pPr>
            <w:r>
              <w:rPr>
                <w:rFonts w:ascii="Calibri" w:hAnsi="Calibri" w:eastAsia="Calibri" w:cs="Calibri"/>
                <w:b w:val="0"/>
                <w:bCs w:val="0"/>
                <w:color w:val="1C1917"/>
                <w:sz w:val="19"/>
                <w:szCs w:val="19"/>
              </w:rPr>
              <w:t>Extension de la grille bancaire 5C (13 sous-critères, bêta) par l'automatisation progressive des sources aujourd'hui déclaratives.</w:t>
            </w:r>
          </w:p>
        </w:tc>
      </w:tr>
      <w:tr w14:paraId="626C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F3AF72A">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620AF534">
            <w:pPr>
              <w:spacing w:after="0"/>
            </w:pPr>
            <w:r>
              <w:rPr>
                <w:rFonts w:ascii="Calibri" w:hAnsi="Calibri" w:eastAsia="Calibri" w:cs="Calibri"/>
                <w:b w:val="0"/>
                <w:bCs w:val="0"/>
                <w:color w:val="1C1917"/>
                <w:sz w:val="19"/>
                <w:szCs w:val="19"/>
              </w:rPr>
              <w:t>API météo pour le risque géo-climatique, vérification RCCM automatisée, relevés Mobile Money consentis pour le flux de trésorerie, explication du score en langage simple pour l'utilisateur.</w:t>
            </w:r>
          </w:p>
        </w:tc>
      </w:tr>
      <w:tr w14:paraId="668B7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1A4B868">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4375535F">
            <w:pPr>
              <w:spacing w:after="0"/>
            </w:pPr>
            <w:r>
              <w:rPr>
                <w:rFonts w:ascii="Calibri" w:hAnsi="Calibri" w:eastAsia="Calibri" w:cs="Calibri"/>
                <w:b w:val="0"/>
                <w:bCs w:val="0"/>
                <w:color w:val="1C1917"/>
                <w:sz w:val="19"/>
                <w:szCs w:val="19"/>
              </w:rPr>
              <w:t>Service Python FastAPI dédié (existant), intégrations API météo et registre du commerce, règles explicites (pas de boîte noire) pour rester auditable par un partenaire bancaire.</w:t>
            </w:r>
          </w:p>
        </w:tc>
      </w:tr>
      <w:tr w14:paraId="29C67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4CBA6F6">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226EAB7B">
            <w:pPr>
              <w:spacing w:after="0"/>
            </w:pPr>
            <w:r>
              <w:rPr>
                <w:rFonts w:ascii="Calibri" w:hAnsi="Calibri" w:eastAsia="Calibri" w:cs="Calibri"/>
                <w:b w:val="0"/>
                <w:bCs w:val="0"/>
                <w:color w:val="1C1917"/>
                <w:sz w:val="19"/>
                <w:szCs w:val="19"/>
              </w:rPr>
              <w:t>M+3 à M+15 condition de crédibilité pour tout partenariat bancaire élargi.</w:t>
            </w:r>
          </w:p>
        </w:tc>
      </w:tr>
    </w:tbl>
    <w:p w14:paraId="5A9D5EDC">
      <w:pPr>
        <w:pStyle w:val="4"/>
        <w:spacing w:before="240" w:after="120"/>
      </w:pPr>
      <w:r>
        <w:rPr>
          <w:rFonts w:ascii="Calibri" w:hAnsi="Calibri" w:eastAsia="Calibri" w:cs="Calibri"/>
          <w:b/>
          <w:bCs/>
          <w:color w:val="C27D10"/>
          <w:sz w:val="22"/>
          <w:szCs w:val="22"/>
        </w:rPr>
        <w:t>F — Coopératives — gestion complète</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1052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595801D1">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7031E950">
            <w:pPr>
              <w:spacing w:after="0"/>
            </w:pPr>
            <w:r>
              <w:rPr>
                <w:rFonts w:ascii="Calibri" w:hAnsi="Calibri" w:eastAsia="Calibri" w:cs="Calibri"/>
                <w:b/>
                <w:bCs/>
                <w:color w:val="FFFFFF"/>
                <w:sz w:val="18"/>
                <w:szCs w:val="18"/>
              </w:rPr>
              <w:t>Spécification</w:t>
            </w:r>
          </w:p>
        </w:tc>
      </w:tr>
      <w:tr w14:paraId="6AA2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FA2C8D2">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275DC87C">
            <w:pPr>
              <w:spacing w:after="0"/>
            </w:pPr>
            <w:r>
              <w:rPr>
                <w:rFonts w:ascii="Calibri" w:hAnsi="Calibri" w:eastAsia="Calibri" w:cs="Calibri"/>
                <w:b w:val="0"/>
                <w:bCs w:val="0"/>
                <w:color w:val="1C1917"/>
                <w:sz w:val="19"/>
                <w:szCs w:val="19"/>
              </w:rPr>
              <w:t>Passage d'une gestion partielle (pages détail/slug en bêta) à une gestion multi-rôles et multi-membres complète.</w:t>
            </w:r>
          </w:p>
        </w:tc>
      </w:tr>
      <w:tr w14:paraId="394F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968AF44">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013FDD42">
            <w:pPr>
              <w:spacing w:after="0"/>
            </w:pPr>
            <w:r>
              <w:rPr>
                <w:rFonts w:ascii="Calibri" w:hAnsi="Calibri" w:eastAsia="Calibri" w:cs="Calibri"/>
                <w:b w:val="0"/>
                <w:bCs w:val="0"/>
                <w:color w:val="1C1917"/>
                <w:sz w:val="19"/>
                <w:szCs w:val="19"/>
              </w:rPr>
              <w:t>Rôles (président, trésorier, secrétaire, membre), parts sociales, tableau de bord consolidé des ventes et du SCG par coopérative, vitrine enrichie, digest dédié à la coopérative.</w:t>
            </w:r>
          </w:p>
        </w:tc>
      </w:tr>
      <w:tr w14:paraId="6DC0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0B3E1FE">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4AEB7C66">
            <w:pPr>
              <w:spacing w:after="0"/>
            </w:pPr>
            <w:r>
              <w:rPr>
                <w:rFonts w:ascii="Calibri" w:hAnsi="Calibri" w:eastAsia="Calibri" w:cs="Calibri"/>
                <w:b w:val="0"/>
                <w:bCs w:val="0"/>
                <w:color w:val="1C1917"/>
                <w:sz w:val="19"/>
                <w:szCs w:val="19"/>
              </w:rPr>
              <w:t>Extension du modèle de données Supabase existant, RLS par rôle coopérative.</w:t>
            </w:r>
          </w:p>
        </w:tc>
      </w:tr>
      <w:tr w14:paraId="220F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C9B044F">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1B76867B">
            <w:pPr>
              <w:spacing w:after="0"/>
            </w:pPr>
            <w:r>
              <w:rPr>
                <w:rFonts w:ascii="Calibri" w:hAnsi="Calibri" w:eastAsia="Calibri" w:cs="Calibri"/>
                <w:b w:val="0"/>
                <w:bCs w:val="0"/>
                <w:color w:val="1C1917"/>
                <w:sz w:val="19"/>
                <w:szCs w:val="19"/>
              </w:rPr>
              <w:t>M+4 à M+8 renforc</w:t>
            </w:r>
            <w:r>
              <w:rPr>
                <w:rFonts w:hint="default" w:ascii="Calibri" w:hAnsi="Calibri" w:eastAsia="Calibri" w:cs="Calibri"/>
                <w:b w:val="0"/>
                <w:bCs w:val="0"/>
                <w:color w:val="1C1917"/>
                <w:sz w:val="19"/>
                <w:szCs w:val="19"/>
                <w:lang/>
              </w:rPr>
              <w:t>e</w:t>
            </w:r>
            <w:r>
              <w:rPr>
                <w:rFonts w:ascii="Calibri" w:hAnsi="Calibri" w:eastAsia="Calibri" w:cs="Calibri"/>
                <w:b w:val="0"/>
                <w:bCs w:val="0"/>
                <w:color w:val="1C1917"/>
                <w:sz w:val="19"/>
                <w:szCs w:val="19"/>
              </w:rPr>
              <w:t xml:space="preserve"> la donnée SCG consolid</w:t>
            </w:r>
            <w:r>
              <w:rPr>
                <w:rFonts w:hint="default" w:ascii="Calibri" w:hAnsi="Calibri" w:eastAsia="Calibri" w:cs="Calibri"/>
                <w:b w:val="0"/>
                <w:bCs w:val="0"/>
                <w:color w:val="1C1917"/>
                <w:sz w:val="19"/>
                <w:szCs w:val="19"/>
                <w:lang/>
              </w:rPr>
              <w:t>e</w:t>
            </w:r>
            <w:r>
              <w:rPr>
                <w:rFonts w:ascii="Calibri" w:hAnsi="Calibri" w:eastAsia="Calibri" w:cs="Calibri"/>
                <w:b w:val="0"/>
                <w:bCs w:val="0"/>
                <w:color w:val="1C1917"/>
                <w:sz w:val="19"/>
                <w:szCs w:val="19"/>
              </w:rPr>
              <w:t xml:space="preserve"> et la capacité de financement de groupe.</w:t>
            </w:r>
          </w:p>
        </w:tc>
      </w:tr>
    </w:tbl>
    <w:p w14:paraId="44206717">
      <w:pPr>
        <w:pStyle w:val="4"/>
        <w:spacing w:before="240" w:after="120"/>
      </w:pPr>
      <w:r>
        <w:rPr>
          <w:rFonts w:ascii="Calibri" w:hAnsi="Calibri" w:eastAsia="Calibri" w:cs="Calibri"/>
          <w:b/>
          <w:bCs/>
          <w:color w:val="C27D10"/>
          <w:sz w:val="22"/>
          <w:szCs w:val="22"/>
        </w:rPr>
        <w:t>G — B2B — demandes de devis (RFQ) &amp; contrats-cadres</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25719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4EF0E1B6">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25A32E2A">
            <w:pPr>
              <w:spacing w:after="0"/>
            </w:pPr>
            <w:r>
              <w:rPr>
                <w:rFonts w:ascii="Calibri" w:hAnsi="Calibri" w:eastAsia="Calibri" w:cs="Calibri"/>
                <w:b/>
                <w:bCs/>
                <w:color w:val="FFFFFF"/>
                <w:sz w:val="18"/>
                <w:szCs w:val="18"/>
              </w:rPr>
              <w:t>Spécification</w:t>
            </w:r>
          </w:p>
        </w:tc>
      </w:tr>
      <w:tr w14:paraId="270D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3086597">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0F84E4AF">
            <w:pPr>
              <w:spacing w:after="0"/>
            </w:pPr>
            <w:r>
              <w:rPr>
                <w:rFonts w:ascii="Calibri" w:hAnsi="Calibri" w:eastAsia="Calibri" w:cs="Calibri"/>
                <w:b w:val="0"/>
                <w:bCs w:val="0"/>
                <w:color w:val="1C1917"/>
                <w:sz w:val="19"/>
                <w:szCs w:val="19"/>
              </w:rPr>
              <w:t>Nouveau module pour les acheteurs de gros volume (transformateurs, exportateurs) au-delà de la commande simple.</w:t>
            </w:r>
          </w:p>
        </w:tc>
      </w:tr>
      <w:tr w14:paraId="2B7B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3193B71">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08891629">
            <w:pPr>
              <w:spacing w:after="0"/>
            </w:pPr>
            <w:r>
              <w:rPr>
                <w:rFonts w:ascii="Calibri" w:hAnsi="Calibri" w:eastAsia="Calibri" w:cs="Calibri"/>
                <w:b w:val="0"/>
                <w:bCs w:val="0"/>
                <w:color w:val="1C1917"/>
                <w:sz w:val="19"/>
                <w:szCs w:val="19"/>
              </w:rPr>
              <w:t>Création de demande de devis, réponse multi-fournisseurs, négociation structurée, contrat-cadre avec conditions et volumes engagés sur plusieurs mois.</w:t>
            </w:r>
          </w:p>
        </w:tc>
      </w:tr>
      <w:tr w14:paraId="1AFF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08DDC5B">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0D086F96">
            <w:pPr>
              <w:spacing w:after="0"/>
            </w:pPr>
            <w:r>
              <w:rPr>
                <w:rFonts w:ascii="Calibri" w:hAnsi="Calibri" w:eastAsia="Calibri" w:cs="Calibri"/>
                <w:b w:val="0"/>
                <w:bCs w:val="0"/>
                <w:color w:val="1C1917"/>
                <w:sz w:val="19"/>
                <w:szCs w:val="19"/>
              </w:rPr>
              <w:t>Nouvelles routes API sur l'architecture existante, réutilisation du moteur de messagerie pour la négociation.</w:t>
            </w:r>
          </w:p>
        </w:tc>
      </w:tr>
      <w:tr w14:paraId="4BE4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0B39607">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4C25FDFE">
            <w:pPr>
              <w:spacing w:after="0"/>
            </w:pPr>
            <w:r>
              <w:rPr>
                <w:rFonts w:ascii="Calibri" w:hAnsi="Calibri" w:eastAsia="Calibri" w:cs="Calibri"/>
                <w:b w:val="0"/>
                <w:bCs w:val="0"/>
                <w:color w:val="1C1917"/>
                <w:sz w:val="19"/>
                <w:szCs w:val="19"/>
              </w:rPr>
              <w:t>M+6 à M+10 débloqu</w:t>
            </w:r>
            <w:r>
              <w:rPr>
                <w:rFonts w:hint="default" w:ascii="Calibri" w:hAnsi="Calibri" w:eastAsia="Calibri" w:cs="Calibri"/>
                <w:b w:val="0"/>
                <w:bCs w:val="0"/>
                <w:color w:val="1C1917"/>
                <w:sz w:val="19"/>
                <w:szCs w:val="19"/>
                <w:lang/>
              </w:rPr>
              <w:t>e</w:t>
            </w:r>
            <w:r>
              <w:rPr>
                <w:rFonts w:ascii="Calibri" w:hAnsi="Calibri" w:eastAsia="Calibri" w:cs="Calibri"/>
                <w:b w:val="0"/>
                <w:bCs w:val="0"/>
                <w:color w:val="1C1917"/>
                <w:sz w:val="19"/>
                <w:szCs w:val="19"/>
              </w:rPr>
              <w:t xml:space="preserve"> les gros comptes acheteurs, complémentaire du commerce au détail.</w:t>
            </w:r>
          </w:p>
        </w:tc>
      </w:tr>
    </w:tbl>
    <w:p w14:paraId="77DFE2D1">
      <w:pPr>
        <w:pStyle w:val="4"/>
        <w:spacing w:before="240" w:after="120"/>
        <w:rPr>
          <w:rFonts w:hint="default"/>
          <w:lang/>
        </w:rPr>
      </w:pPr>
      <w:r>
        <w:rPr>
          <w:rFonts w:ascii="Calibri" w:hAnsi="Calibri" w:eastAsia="Calibri" w:cs="Calibri"/>
          <w:b/>
          <w:bCs/>
          <w:color w:val="C27D10"/>
          <w:sz w:val="22"/>
          <w:szCs w:val="22"/>
        </w:rPr>
        <w:t>H — Formations — E</w:t>
      </w:r>
      <w:r>
        <w:rPr>
          <w:rFonts w:hint="default" w:ascii="Calibri" w:hAnsi="Calibri" w:eastAsia="Calibri" w:cs="Calibri"/>
          <w:b/>
          <w:bCs/>
          <w:color w:val="C27D10"/>
          <w:sz w:val="22"/>
          <w:szCs w:val="22"/>
          <w:lang/>
        </w:rPr>
        <w:t>COLSO</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39604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438985ED">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6345E48E">
            <w:pPr>
              <w:spacing w:after="0"/>
            </w:pPr>
            <w:r>
              <w:rPr>
                <w:rFonts w:ascii="Calibri" w:hAnsi="Calibri" w:eastAsia="Calibri" w:cs="Calibri"/>
                <w:b/>
                <w:bCs/>
                <w:color w:val="FFFFFF"/>
                <w:sz w:val="18"/>
                <w:szCs w:val="18"/>
              </w:rPr>
              <w:t>Spécification</w:t>
            </w:r>
          </w:p>
        </w:tc>
      </w:tr>
      <w:tr w14:paraId="0635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AC3D662">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4E5D0D5A">
            <w:pPr>
              <w:spacing w:after="0"/>
            </w:pPr>
            <w:r>
              <w:rPr>
                <w:rFonts w:ascii="Calibri" w:hAnsi="Calibri" w:eastAsia="Calibri" w:cs="Calibri"/>
                <w:b w:val="0"/>
                <w:bCs w:val="0"/>
                <w:color w:val="1C1917"/>
                <w:sz w:val="19"/>
                <w:szCs w:val="19"/>
              </w:rPr>
              <w:t>Module de renforcement de compétences intégré à GWA, contribuant aussi à la donnée « Character » du SCG.</w:t>
            </w:r>
          </w:p>
        </w:tc>
      </w:tr>
      <w:tr w14:paraId="1C721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5EB20CA">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57CAFFA3">
            <w:pPr>
              <w:spacing w:after="0"/>
            </w:pPr>
            <w:r>
              <w:rPr>
                <w:rFonts w:ascii="Calibri" w:hAnsi="Calibri" w:eastAsia="Calibri" w:cs="Calibri"/>
                <w:b w:val="0"/>
                <w:bCs w:val="0"/>
                <w:color w:val="1C1917"/>
                <w:sz w:val="19"/>
                <w:szCs w:val="19"/>
              </w:rPr>
              <w:t>Catalogue de contenus (vidéo, PDF, micro-cours), suivi de progression, certificats internes, accès hors-ligne pour les zones à faible connectivité.</w:t>
            </w:r>
          </w:p>
        </w:tc>
      </w:tr>
      <w:tr w14:paraId="5618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AA0EE0C">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3EE00ADF">
            <w:pPr>
              <w:spacing w:after="0"/>
            </w:pPr>
            <w:r>
              <w:rPr>
                <w:rFonts w:ascii="Calibri" w:hAnsi="Calibri" w:eastAsia="Calibri" w:cs="Calibri"/>
                <w:b w:val="0"/>
                <w:bCs w:val="0"/>
                <w:color w:val="1C1917"/>
                <w:sz w:val="19"/>
                <w:szCs w:val="19"/>
              </w:rPr>
              <w:t>Stockage Supabase, lecteur vidéo compressé, mode offline (cache local, cohérent avec l'approche offline-first déjà utilisée pour le catalogue).</w:t>
            </w:r>
          </w:p>
        </w:tc>
      </w:tr>
      <w:tr w14:paraId="30D8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5E5DA53">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7795DAD6">
            <w:pPr>
              <w:spacing w:after="0"/>
            </w:pPr>
            <w:r>
              <w:rPr>
                <w:rFonts w:ascii="Calibri" w:hAnsi="Calibri" w:eastAsia="Calibri" w:cs="Calibri"/>
                <w:b w:val="0"/>
                <w:bCs w:val="0"/>
                <w:color w:val="1C1917"/>
                <w:sz w:val="19"/>
                <w:szCs w:val="19"/>
              </w:rPr>
              <w:t>M+8 à M+12  renforce l'engagement et la fidélisation, source de donnée additionnelle pour le SCG.</w:t>
            </w:r>
          </w:p>
        </w:tc>
      </w:tr>
    </w:tbl>
    <w:p w14:paraId="7450F6C0">
      <w:pPr>
        <w:pStyle w:val="4"/>
        <w:spacing w:before="240" w:after="120"/>
      </w:pPr>
      <w:r>
        <w:rPr>
          <w:rFonts w:ascii="Calibri" w:hAnsi="Calibri" w:eastAsia="Calibri" w:cs="Calibri"/>
          <w:b/>
          <w:bCs/>
          <w:color w:val="C27D10"/>
          <w:sz w:val="22"/>
          <w:szCs w:val="22"/>
        </w:rPr>
        <w:t>I — Réseau social / Feed / Digest audio (évolution)</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4BC5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70408D0F">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17028576">
            <w:pPr>
              <w:spacing w:after="0"/>
            </w:pPr>
            <w:r>
              <w:rPr>
                <w:rFonts w:ascii="Calibri" w:hAnsi="Calibri" w:eastAsia="Calibri" w:cs="Calibri"/>
                <w:b/>
                <w:bCs/>
                <w:color w:val="FFFFFF"/>
                <w:sz w:val="18"/>
                <w:szCs w:val="18"/>
              </w:rPr>
              <w:t>Spécification</w:t>
            </w:r>
          </w:p>
        </w:tc>
      </w:tr>
      <w:tr w14:paraId="203D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D320D51">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67EC983">
            <w:pPr>
              <w:spacing w:after="0"/>
            </w:pPr>
            <w:r>
              <w:rPr>
                <w:rFonts w:ascii="Calibri" w:hAnsi="Calibri" w:eastAsia="Calibri" w:cs="Calibri"/>
                <w:b w:val="0"/>
                <w:bCs w:val="0"/>
                <w:color w:val="1C1917"/>
                <w:sz w:val="19"/>
                <w:szCs w:val="19"/>
              </w:rPr>
              <w:t>Renforcement du feed et du Digest déjà en production, avec les fonctionnalités engagement identifiées dans le backlog validé.</w:t>
            </w:r>
          </w:p>
        </w:tc>
      </w:tr>
      <w:tr w14:paraId="0DC5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FE759C3">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46249013">
            <w:pPr>
              <w:spacing w:after="0"/>
            </w:pPr>
            <w:r>
              <w:rPr>
                <w:rFonts w:ascii="Calibri" w:hAnsi="Calibri" w:eastAsia="Calibri" w:cs="Calibri"/>
                <w:b w:val="0"/>
                <w:bCs w:val="0"/>
                <w:color w:val="1C1917"/>
                <w:sz w:val="19"/>
                <w:szCs w:val="19"/>
              </w:rPr>
              <w:t>Fil Suivis / Pour vous, Stories 24h, signalement de commentaire, réaction rapide, contrôle de vitesse du Digest (lent/normal/rapide), badge « N nouveautés », contrôles pause/skip.</w:t>
            </w:r>
          </w:p>
        </w:tc>
      </w:tr>
      <w:tr w14:paraId="2B285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52DEE41">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0BCDB4BF">
            <w:pPr>
              <w:spacing w:after="0"/>
            </w:pPr>
            <w:r>
              <w:rPr>
                <w:rFonts w:ascii="Calibri" w:hAnsi="Calibri" w:eastAsia="Calibri" w:cs="Calibri"/>
                <w:b w:val="0"/>
                <w:bCs w:val="0"/>
                <w:color w:val="1C1917"/>
                <w:sz w:val="19"/>
                <w:szCs w:val="19"/>
              </w:rPr>
              <w:t>Extension du feed existant (React/Next.js), TTS déjà en place pour le Digest.</w:t>
            </w:r>
          </w:p>
        </w:tc>
      </w:tr>
      <w:tr w14:paraId="64C3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64AA0E4">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3024BEC4">
            <w:pPr>
              <w:spacing w:after="0"/>
            </w:pPr>
            <w:r>
              <w:rPr>
                <w:rFonts w:ascii="Calibri" w:hAnsi="Calibri" w:eastAsia="Calibri" w:cs="Calibri"/>
                <w:b w:val="0"/>
                <w:bCs w:val="0"/>
                <w:color w:val="1C1917"/>
                <w:sz w:val="19"/>
                <w:szCs w:val="19"/>
              </w:rPr>
              <w:t>M+1 à M+9  capitalise sur un module déjà complet et différenciant (Digest vocal).</w:t>
            </w:r>
          </w:p>
        </w:tc>
      </w:tr>
    </w:tbl>
    <w:p w14:paraId="0DFC67FB">
      <w:pPr>
        <w:pStyle w:val="4"/>
        <w:spacing w:before="240" w:after="120"/>
      </w:pPr>
      <w:r>
        <w:rPr>
          <w:rFonts w:ascii="Calibri" w:hAnsi="Calibri" w:eastAsia="Calibri" w:cs="Calibri"/>
          <w:b/>
          <w:bCs/>
          <w:color w:val="C27D10"/>
          <w:sz w:val="22"/>
          <w:szCs w:val="22"/>
        </w:rPr>
        <w:t>J — Messagerie &amp; appels audio/vidéo</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1F6F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7A258E06">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247FFF51">
            <w:pPr>
              <w:spacing w:after="0"/>
            </w:pPr>
            <w:r>
              <w:rPr>
                <w:rFonts w:ascii="Calibri" w:hAnsi="Calibri" w:eastAsia="Calibri" w:cs="Calibri"/>
                <w:b/>
                <w:bCs/>
                <w:color w:val="FFFFFF"/>
                <w:sz w:val="18"/>
                <w:szCs w:val="18"/>
              </w:rPr>
              <w:t>Spécification</w:t>
            </w:r>
          </w:p>
        </w:tc>
      </w:tr>
      <w:tr w14:paraId="3E31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40E4EDD">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BA43FE8">
            <w:pPr>
              <w:spacing w:after="0"/>
            </w:pPr>
            <w:r>
              <w:rPr>
                <w:rFonts w:ascii="Calibri" w:hAnsi="Calibri" w:eastAsia="Calibri" w:cs="Calibri"/>
                <w:b w:val="0"/>
                <w:bCs w:val="0"/>
                <w:color w:val="1C1917"/>
                <w:sz w:val="19"/>
                <w:szCs w:val="19"/>
              </w:rPr>
              <w:t>Renforcement du chat existant, puis extension aux appels pour la négociation à distance.</w:t>
            </w:r>
          </w:p>
        </w:tc>
      </w:tr>
      <w:tr w14:paraId="1232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0D0843D">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4BBD2D13">
            <w:pPr>
              <w:spacing w:after="0"/>
            </w:pPr>
            <w:r>
              <w:rPr>
                <w:rFonts w:ascii="Calibri" w:hAnsi="Calibri" w:eastAsia="Calibri" w:cs="Calibri"/>
                <w:b w:val="0"/>
                <w:bCs w:val="0"/>
                <w:color w:val="1C1917"/>
                <w:sz w:val="19"/>
                <w:szCs w:val="19"/>
              </w:rPr>
              <w:t>Réactions emoji, indicateur de saisie, appels audio/vidéo WebRTC avec repli audio-seul en cas de connexion faible, indicateur de qualité réseau.</w:t>
            </w:r>
          </w:p>
        </w:tc>
      </w:tr>
      <w:tr w14:paraId="71581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D89004B">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5D08AB60">
            <w:pPr>
              <w:spacing w:after="0"/>
            </w:pPr>
            <w:r>
              <w:rPr>
                <w:rFonts w:ascii="Calibri" w:hAnsi="Calibri" w:eastAsia="Calibri" w:cs="Calibri"/>
                <w:b w:val="0"/>
                <w:bCs w:val="0"/>
                <w:color w:val="1C1917"/>
                <w:sz w:val="19"/>
                <w:szCs w:val="19"/>
              </w:rPr>
              <w:t>Socket.io (existant), WebRTC ou SDK tiers (Agora/Twilio) pour les appels priorité basse, déclenchée par la demande observée.</w:t>
            </w:r>
          </w:p>
        </w:tc>
      </w:tr>
      <w:tr w14:paraId="3049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494E257">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0011EBC4">
            <w:pPr>
              <w:spacing w:after="0"/>
            </w:pPr>
            <w:r>
              <w:rPr>
                <w:rFonts w:ascii="Calibri" w:hAnsi="Calibri" w:eastAsia="Calibri" w:cs="Calibri"/>
                <w:b w:val="0"/>
                <w:bCs w:val="0"/>
                <w:color w:val="1C1917"/>
                <w:sz w:val="19"/>
                <w:szCs w:val="19"/>
              </w:rPr>
              <w:t>Chat enrichi M+1-M+6 ; appels audio/vidéo M+18+ (Phase 2, non prioritaire).</w:t>
            </w:r>
          </w:p>
        </w:tc>
      </w:tr>
    </w:tbl>
    <w:p w14:paraId="4A53B951">
      <w:pPr>
        <w:pStyle w:val="4"/>
        <w:spacing w:before="240" w:after="120"/>
      </w:pPr>
      <w:r>
        <w:rPr>
          <w:rFonts w:ascii="Calibri" w:hAnsi="Calibri" w:eastAsia="Calibri" w:cs="Calibri"/>
          <w:b/>
          <w:bCs/>
          <w:color w:val="C27D10"/>
          <w:sz w:val="22"/>
          <w:szCs w:val="22"/>
        </w:rPr>
        <w:t>K — Notifications &amp; engagement</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1EF7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6261B2F1">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6FEB61C6">
            <w:pPr>
              <w:spacing w:after="0"/>
            </w:pPr>
            <w:r>
              <w:rPr>
                <w:rFonts w:ascii="Calibri" w:hAnsi="Calibri" w:eastAsia="Calibri" w:cs="Calibri"/>
                <w:b/>
                <w:bCs/>
                <w:color w:val="FFFFFF"/>
                <w:sz w:val="18"/>
                <w:szCs w:val="18"/>
              </w:rPr>
              <w:t>Spécification</w:t>
            </w:r>
          </w:p>
        </w:tc>
      </w:tr>
      <w:tr w14:paraId="02C0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7676574">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019813FE">
            <w:pPr>
              <w:spacing w:after="0"/>
            </w:pPr>
            <w:r>
              <w:rPr>
                <w:rFonts w:ascii="Calibri" w:hAnsi="Calibri" w:eastAsia="Calibri" w:cs="Calibri"/>
                <w:b w:val="0"/>
                <w:bCs w:val="0"/>
                <w:color w:val="1C1917"/>
                <w:sz w:val="19"/>
                <w:szCs w:val="19"/>
              </w:rPr>
              <w:t>Élargissement du système de notifications déjà opérationnel (push + SMS fallback).</w:t>
            </w:r>
          </w:p>
        </w:tc>
      </w:tr>
      <w:tr w14:paraId="2534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706AC9A">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0D241E18">
            <w:pPr>
              <w:spacing w:after="0"/>
            </w:pPr>
            <w:r>
              <w:rPr>
                <w:rFonts w:ascii="Calibri" w:hAnsi="Calibri" w:eastAsia="Calibri" w:cs="Calibri"/>
                <w:b w:val="0"/>
                <w:bCs w:val="0"/>
                <w:color w:val="1C1917"/>
                <w:sz w:val="19"/>
                <w:szCs w:val="19"/>
              </w:rPr>
              <w:t>Heures silencieuses (quiet hours), préférences par canal (push/SMS/in-app), alertes de prix anormal sur le catalogue, notifications multi-pays (fuseaux horaires, langues).</w:t>
            </w:r>
          </w:p>
        </w:tc>
      </w:tr>
      <w:tr w14:paraId="1437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BE028BC">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35B86E89">
            <w:pPr>
              <w:spacing w:after="0"/>
            </w:pPr>
            <w:r>
              <w:rPr>
                <w:rFonts w:ascii="Calibri" w:hAnsi="Calibri" w:eastAsia="Calibri" w:cs="Calibri"/>
                <w:b w:val="0"/>
                <w:bCs w:val="0"/>
                <w:color w:val="1C1917"/>
                <w:sz w:val="19"/>
                <w:szCs w:val="19"/>
              </w:rPr>
              <w:t>OneSignal (existant, origines à finaliser en production), Africa's Talking / Twilio pour le SMS.</w:t>
            </w:r>
          </w:p>
        </w:tc>
      </w:tr>
      <w:tr w14:paraId="1BF2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07946704">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44851B0E">
            <w:pPr>
              <w:spacing w:after="0"/>
            </w:pPr>
            <w:r>
              <w:rPr>
                <w:rFonts w:ascii="Calibri" w:hAnsi="Calibri" w:eastAsia="Calibri" w:cs="Calibri"/>
                <w:b w:val="0"/>
                <w:bCs w:val="0"/>
                <w:color w:val="1C1917"/>
                <w:sz w:val="19"/>
                <w:szCs w:val="19"/>
              </w:rPr>
              <w:t>M+1 à M+9.</w:t>
            </w:r>
          </w:p>
        </w:tc>
      </w:tr>
    </w:tbl>
    <w:p w14:paraId="46C9B7BE">
      <w:pPr>
        <w:pStyle w:val="4"/>
        <w:spacing w:before="240" w:after="120"/>
      </w:pPr>
      <w:r>
        <w:rPr>
          <w:rFonts w:ascii="Calibri" w:hAnsi="Calibri" w:eastAsia="Calibri" w:cs="Calibri"/>
          <w:b/>
          <w:bCs/>
          <w:color w:val="C27D10"/>
          <w:sz w:val="22"/>
          <w:szCs w:val="22"/>
        </w:rPr>
        <w:t>L — Back-office &amp; administration (évolution)</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757B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689356C1">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5D5EC5FD">
            <w:pPr>
              <w:spacing w:after="0"/>
            </w:pPr>
            <w:r>
              <w:rPr>
                <w:rFonts w:ascii="Calibri" w:hAnsi="Calibri" w:eastAsia="Calibri" w:cs="Calibri"/>
                <w:b/>
                <w:bCs/>
                <w:color w:val="FFFFFF"/>
                <w:sz w:val="18"/>
                <w:szCs w:val="18"/>
              </w:rPr>
              <w:t>Spécification</w:t>
            </w:r>
          </w:p>
        </w:tc>
      </w:tr>
      <w:tr w14:paraId="02E0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D03DE27">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0EC9556">
            <w:pPr>
              <w:spacing w:after="0"/>
            </w:pPr>
            <w:r>
              <w:rPr>
                <w:rFonts w:ascii="Calibri" w:hAnsi="Calibri" w:eastAsia="Calibri" w:cs="Calibri"/>
                <w:b w:val="0"/>
                <w:bCs w:val="0"/>
                <w:color w:val="1C1917"/>
                <w:sz w:val="19"/>
                <w:szCs w:val="19"/>
              </w:rPr>
              <w:t>Renforcement du back-office bêta pour supporter l'automatisation de l'affacturage et la gestion multi-pays.</w:t>
            </w:r>
          </w:p>
        </w:tc>
      </w:tr>
      <w:tr w14:paraId="3ED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3DA0B89">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5057736B">
            <w:pPr>
              <w:spacing w:after="0"/>
            </w:pPr>
            <w:r>
              <w:rPr>
                <w:rFonts w:ascii="Calibri" w:hAnsi="Calibri" w:eastAsia="Calibri" w:cs="Calibri"/>
                <w:b w:val="0"/>
                <w:bCs w:val="0"/>
                <w:color w:val="1C1917"/>
                <w:sz w:val="19"/>
                <w:szCs w:val="19"/>
              </w:rPr>
              <w:t>Réponse Support en un clic par email, SLA KYC formalisé (24h), dashboard Digest, alertes automatiques, modération des signalements, gestion des paramètres par pays (devise, réglementation).</w:t>
            </w:r>
          </w:p>
        </w:tc>
      </w:tr>
      <w:tr w14:paraId="6366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4EEE80C">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70C24D3C">
            <w:pPr>
              <w:spacing w:after="0"/>
            </w:pPr>
            <w:r>
              <w:rPr>
                <w:rFonts w:ascii="Calibri" w:hAnsi="Calibri" w:eastAsia="Calibri" w:cs="Calibri"/>
                <w:b w:val="0"/>
                <w:bCs w:val="0"/>
                <w:color w:val="1C1917"/>
                <w:sz w:val="19"/>
                <w:szCs w:val="19"/>
              </w:rPr>
              <w:t>Next.js existant (app/admin), RLS role=admin étendue à un rôle « country manager ».</w:t>
            </w:r>
          </w:p>
        </w:tc>
      </w:tr>
      <w:tr w14:paraId="787D9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918AA36">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3826EBB5">
            <w:pPr>
              <w:spacing w:after="0"/>
            </w:pPr>
            <w:r>
              <w:rPr>
                <w:rFonts w:ascii="Calibri" w:hAnsi="Calibri" w:eastAsia="Calibri" w:cs="Calibri"/>
                <w:b w:val="0"/>
                <w:bCs w:val="0"/>
                <w:color w:val="1C1917"/>
                <w:sz w:val="19"/>
                <w:szCs w:val="19"/>
              </w:rPr>
              <w:t>M+1 à M+15.</w:t>
            </w:r>
          </w:p>
        </w:tc>
      </w:tr>
    </w:tbl>
    <w:p w14:paraId="24EBB48F">
      <w:pPr>
        <w:pStyle w:val="4"/>
        <w:spacing w:before="240" w:after="120"/>
      </w:pPr>
      <w:r>
        <w:rPr>
          <w:rFonts w:ascii="Calibri" w:hAnsi="Calibri" w:eastAsia="Calibri" w:cs="Calibri"/>
          <w:b/>
          <w:bCs/>
          <w:color w:val="C27D10"/>
          <w:sz w:val="22"/>
          <w:szCs w:val="22"/>
        </w:rPr>
        <w:t>M — Traçabilité, durabilité &amp; export (EUDR / Carbon Tracker)</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3AC6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29BBA1B9">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4AFED45B">
            <w:pPr>
              <w:spacing w:after="0"/>
            </w:pPr>
            <w:r>
              <w:rPr>
                <w:rFonts w:ascii="Calibri" w:hAnsi="Calibri" w:eastAsia="Calibri" w:cs="Calibri"/>
                <w:b/>
                <w:bCs/>
                <w:color w:val="FFFFFF"/>
                <w:sz w:val="18"/>
                <w:szCs w:val="18"/>
              </w:rPr>
              <w:t>Spécification</w:t>
            </w:r>
          </w:p>
        </w:tc>
      </w:tr>
      <w:tr w14:paraId="61C6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DFBA1EE">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01BC9AC6">
            <w:pPr>
              <w:spacing w:after="0"/>
            </w:pPr>
            <w:r>
              <w:rPr>
                <w:rFonts w:ascii="Calibri" w:hAnsi="Calibri" w:eastAsia="Calibri" w:cs="Calibri"/>
                <w:b w:val="0"/>
                <w:bCs w:val="0"/>
                <w:color w:val="1C1917"/>
                <w:sz w:val="19"/>
                <w:szCs w:val="19"/>
              </w:rPr>
              <w:t>Module de conformité pour les filières exportatrices vers l'Union européenne, condition d'accès à ce segment à forte valeur.</w:t>
            </w:r>
          </w:p>
        </w:tc>
      </w:tr>
      <w:tr w14:paraId="0B0F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F27471B">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28D41C2B">
            <w:pPr>
              <w:spacing w:after="0"/>
            </w:pPr>
            <w:r>
              <w:rPr>
                <w:rFonts w:ascii="Calibri" w:hAnsi="Calibri" w:eastAsia="Calibri" w:cs="Calibri"/>
                <w:b w:val="0"/>
                <w:bCs w:val="0"/>
                <w:color w:val="1C1917"/>
                <w:sz w:val="19"/>
                <w:szCs w:val="19"/>
              </w:rPr>
              <w:t>Calcul du CO2 par transaction, documentation de traçabilité (parcelle, coopérative, date de récolte), génération de rapport de conformité EUDR exportable.</w:t>
            </w:r>
          </w:p>
        </w:tc>
      </w:tr>
      <w:tr w14:paraId="3ABAF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8A84653">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307EF28A">
            <w:pPr>
              <w:spacing w:after="0"/>
            </w:pPr>
            <w:r>
              <w:rPr>
                <w:rFonts w:ascii="Calibri" w:hAnsi="Calibri" w:eastAsia="Calibri" w:cs="Calibri"/>
                <w:b w:val="0"/>
                <w:bCs w:val="0"/>
                <w:color w:val="1C1917"/>
                <w:sz w:val="19"/>
                <w:szCs w:val="19"/>
              </w:rPr>
              <w:t>Nouveau service de calcul (Python), base de données géospatiale des parcelles, export PDF/CSV.</w:t>
            </w:r>
          </w:p>
        </w:tc>
      </w:tr>
      <w:tr w14:paraId="3C88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9F86DFB">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09E01E56">
            <w:pPr>
              <w:spacing w:after="0"/>
            </w:pPr>
            <w:r>
              <w:rPr>
                <w:rFonts w:ascii="Calibri" w:hAnsi="Calibri" w:eastAsia="Calibri" w:cs="Calibri"/>
                <w:b w:val="0"/>
                <w:bCs w:val="0"/>
                <w:color w:val="1C1917"/>
                <w:sz w:val="19"/>
                <w:szCs w:val="19"/>
              </w:rPr>
              <w:t>M+13 à M+20  activé en priorité pour les filières export (cajou, cacao le cas échéant).</w:t>
            </w:r>
          </w:p>
        </w:tc>
      </w:tr>
    </w:tbl>
    <w:p w14:paraId="74666CB9">
      <w:pPr>
        <w:pStyle w:val="4"/>
        <w:spacing w:before="240" w:after="120"/>
      </w:pPr>
      <w:r>
        <w:rPr>
          <w:rFonts w:ascii="Calibri" w:hAnsi="Calibri" w:eastAsia="Calibri" w:cs="Calibri"/>
          <w:b/>
          <w:bCs/>
          <w:color w:val="C27D10"/>
          <w:sz w:val="22"/>
          <w:szCs w:val="22"/>
        </w:rPr>
        <w:t>N — Wallet interne GWA (conditionnel)</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3B57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5B9B59AD">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41104A4C">
            <w:pPr>
              <w:spacing w:after="0"/>
            </w:pPr>
            <w:r>
              <w:rPr>
                <w:rFonts w:ascii="Calibri" w:hAnsi="Calibri" w:eastAsia="Calibri" w:cs="Calibri"/>
                <w:b/>
                <w:bCs/>
                <w:color w:val="FFFFFF"/>
                <w:sz w:val="18"/>
                <w:szCs w:val="18"/>
              </w:rPr>
              <w:t>Spécification</w:t>
            </w:r>
          </w:p>
        </w:tc>
      </w:tr>
      <w:tr w14:paraId="11B8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261E06E9">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232A9A53">
            <w:pPr>
              <w:spacing w:after="0"/>
            </w:pPr>
            <w:r>
              <w:rPr>
                <w:rFonts w:ascii="Calibri" w:hAnsi="Calibri" w:eastAsia="Calibri" w:cs="Calibri"/>
                <w:b w:val="0"/>
                <w:bCs w:val="0"/>
                <w:color w:val="1C1917"/>
                <w:sz w:val="19"/>
                <w:szCs w:val="19"/>
              </w:rPr>
              <w:t>Fonctionnalité actuellement simulée en bêta ; son avenir dépend d'un agrément réglementaire.</w:t>
            </w:r>
          </w:p>
        </w:tc>
      </w:tr>
      <w:tr w14:paraId="5ACC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AD0E7C4">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4A6BEE51">
            <w:pPr>
              <w:spacing w:after="0"/>
            </w:pPr>
            <w:r>
              <w:rPr>
                <w:rFonts w:ascii="Calibri" w:hAnsi="Calibri" w:eastAsia="Calibri" w:cs="Calibri"/>
                <w:b w:val="0"/>
                <w:bCs w:val="0"/>
                <w:color w:val="1C1917"/>
                <w:sz w:val="19"/>
                <w:szCs w:val="19"/>
              </w:rPr>
              <w:t>Solde et mouvements, retrait vers Mobile Money/banque, historique des transactions  uniquement si un agrément BCEAO est obtenu ou si un partenariat avec un établissement agréé est structuré.</w:t>
            </w:r>
          </w:p>
        </w:tc>
      </w:tr>
      <w:tr w14:paraId="6E97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B0ADC3F">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2131EA45">
            <w:pPr>
              <w:spacing w:after="0"/>
            </w:pPr>
            <w:r>
              <w:rPr>
                <w:rFonts w:ascii="Calibri" w:hAnsi="Calibri" w:eastAsia="Calibri" w:cs="Calibri"/>
                <w:b w:val="0"/>
                <w:bCs w:val="0"/>
                <w:color w:val="1C1917"/>
                <w:sz w:val="19"/>
                <w:szCs w:val="19"/>
              </w:rPr>
              <w:t>Évaluation réglementaire préalable obligatoire ; sinon la fonctionnalité reste masquée plutôt que déployée à moitié.</w:t>
            </w:r>
          </w:p>
        </w:tc>
      </w:tr>
      <w:tr w14:paraId="24DB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A25394A">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02D9691E">
            <w:pPr>
              <w:spacing w:after="0"/>
            </w:pPr>
            <w:r>
              <w:rPr>
                <w:rFonts w:ascii="Calibri" w:hAnsi="Calibri" w:eastAsia="Calibri" w:cs="Calibri"/>
                <w:b w:val="0"/>
                <w:bCs w:val="0"/>
                <w:color w:val="1C1917"/>
                <w:sz w:val="19"/>
                <w:szCs w:val="19"/>
              </w:rPr>
              <w:t>Décision à M+12, déploiement conditionnel à partir de M+15.</w:t>
            </w:r>
          </w:p>
        </w:tc>
      </w:tr>
    </w:tbl>
    <w:p w14:paraId="2CAB50EC">
      <w:pPr>
        <w:pStyle w:val="4"/>
        <w:spacing w:before="240" w:after="120"/>
      </w:pPr>
      <w:r>
        <w:rPr>
          <w:rFonts w:ascii="Calibri" w:hAnsi="Calibri" w:eastAsia="Calibri" w:cs="Calibri"/>
          <w:b/>
          <w:bCs/>
          <w:color w:val="C27D10"/>
          <w:sz w:val="22"/>
          <w:szCs w:val="22"/>
        </w:rPr>
        <w:t>O — Logistique — module WMS/TMS léger</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2B65F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0C14C0F0">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591D36AC">
            <w:pPr>
              <w:spacing w:after="0"/>
            </w:pPr>
            <w:r>
              <w:rPr>
                <w:rFonts w:ascii="Calibri" w:hAnsi="Calibri" w:eastAsia="Calibri" w:cs="Calibri"/>
                <w:b/>
                <w:bCs/>
                <w:color w:val="FFFFFF"/>
                <w:sz w:val="18"/>
                <w:szCs w:val="18"/>
              </w:rPr>
              <w:t>Spécification</w:t>
            </w:r>
          </w:p>
        </w:tc>
      </w:tr>
      <w:tr w14:paraId="04E8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14BFDAFA">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EB97F3C">
            <w:pPr>
              <w:spacing w:after="0"/>
            </w:pPr>
            <w:r>
              <w:rPr>
                <w:rFonts w:ascii="Calibri" w:hAnsi="Calibri" w:eastAsia="Calibri" w:cs="Calibri"/>
                <w:b w:val="0"/>
                <w:bCs w:val="0"/>
                <w:color w:val="1C1917"/>
                <w:sz w:val="19"/>
                <w:szCs w:val="19"/>
              </w:rPr>
              <w:t>Suivi de collecte et de livraison pour les coopératives à volume élevé, en partenariat avec des transporteurs locaux.</w:t>
            </w:r>
          </w:p>
        </w:tc>
      </w:tr>
      <w:tr w14:paraId="29AE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FAC66EF">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28658104">
            <w:pPr>
              <w:spacing w:after="0"/>
            </w:pPr>
            <w:r>
              <w:rPr>
                <w:rFonts w:ascii="Calibri" w:hAnsi="Calibri" w:eastAsia="Calibri" w:cs="Calibri"/>
                <w:b w:val="0"/>
                <w:bCs w:val="0"/>
                <w:color w:val="1C1917"/>
                <w:sz w:val="19"/>
                <w:szCs w:val="19"/>
              </w:rPr>
              <w:t>Planification de collecte, suivi de livraison, preuve de livraison photo, intégration avec des transporteurs partenaires (pas de flotte propre).</w:t>
            </w:r>
          </w:p>
        </w:tc>
      </w:tr>
      <w:tr w14:paraId="3323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427C7A6">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4EEEDE96">
            <w:pPr>
              <w:spacing w:after="0"/>
              <w:rPr>
                <w:rFonts w:hint="default"/>
                <w:lang/>
              </w:rPr>
            </w:pPr>
            <w:r>
              <w:rPr>
                <w:rFonts w:ascii="Calibri" w:hAnsi="Calibri" w:eastAsia="Calibri" w:cs="Calibri"/>
                <w:b w:val="0"/>
                <w:bCs w:val="0"/>
                <w:color w:val="1C1917"/>
                <w:sz w:val="19"/>
                <w:szCs w:val="19"/>
              </w:rPr>
              <w:t>Nouvelles routes API, intégration API transporteur tierce si disponible, sinon suivi déclaratif</w:t>
            </w:r>
            <w:r>
              <w:rPr>
                <w:rFonts w:hint="default" w:ascii="Calibri" w:hAnsi="Calibri" w:eastAsia="Calibri" w:cs="Calibri"/>
                <w:b w:val="0"/>
                <w:bCs w:val="0"/>
                <w:color w:val="1C1917"/>
                <w:sz w:val="19"/>
                <w:szCs w:val="19"/>
                <w:lang/>
              </w:rPr>
              <w:t xml:space="preserve"> et planification du développement d’un outils en interne.</w:t>
            </w:r>
          </w:p>
        </w:tc>
      </w:tr>
      <w:tr w14:paraId="68562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03A5999">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76A43201">
            <w:pPr>
              <w:spacing w:after="0"/>
            </w:pPr>
            <w:r>
              <w:rPr>
                <w:rFonts w:ascii="Calibri" w:hAnsi="Calibri" w:eastAsia="Calibri" w:cs="Calibri"/>
                <w:b w:val="0"/>
                <w:bCs w:val="0"/>
                <w:color w:val="1C1917"/>
                <w:sz w:val="19"/>
                <w:szCs w:val="19"/>
              </w:rPr>
              <w:t>M+14 à M+20  priorité modérée, activée si le volume des coopératives le justifie.</w:t>
            </w:r>
          </w:p>
        </w:tc>
      </w:tr>
    </w:tbl>
    <w:p w14:paraId="273A5168">
      <w:pPr>
        <w:pStyle w:val="4"/>
        <w:spacing w:before="240" w:after="120"/>
      </w:pPr>
      <w:r>
        <w:rPr>
          <w:rFonts w:ascii="Calibri" w:hAnsi="Calibri" w:eastAsia="Calibri" w:cs="Calibri"/>
          <w:b/>
          <w:bCs/>
          <w:color w:val="C27D10"/>
          <w:sz w:val="22"/>
          <w:szCs w:val="22"/>
        </w:rPr>
        <w:t>P — IA — Yelly v2 multilingue &amp; assistance prédictive</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198C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2DDCDEF5">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444B8AEA">
            <w:pPr>
              <w:spacing w:after="0"/>
            </w:pPr>
            <w:r>
              <w:rPr>
                <w:rFonts w:ascii="Calibri" w:hAnsi="Calibri" w:eastAsia="Calibri" w:cs="Calibri"/>
                <w:b/>
                <w:bCs/>
                <w:color w:val="FFFFFF"/>
                <w:sz w:val="18"/>
                <w:szCs w:val="18"/>
              </w:rPr>
              <w:t>Spécification</w:t>
            </w:r>
          </w:p>
        </w:tc>
      </w:tr>
      <w:tr w14:paraId="1758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900B843">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6B2109FC">
            <w:pPr>
              <w:spacing w:after="0"/>
            </w:pPr>
            <w:r>
              <w:rPr>
                <w:rFonts w:ascii="Calibri" w:hAnsi="Calibri" w:eastAsia="Calibri" w:cs="Calibri"/>
                <w:b w:val="0"/>
                <w:bCs w:val="0"/>
                <w:color w:val="1C1917"/>
                <w:sz w:val="19"/>
                <w:szCs w:val="19"/>
              </w:rPr>
              <w:t>Extension de l'assistante conversationnelle Yelly aux langues locales et à des recommandations prédictives simples.</w:t>
            </w:r>
          </w:p>
        </w:tc>
      </w:tr>
      <w:tr w14:paraId="2080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348D9660">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6CF3DFC2">
            <w:pPr>
              <w:spacing w:after="0"/>
            </w:pPr>
            <w:r>
              <w:rPr>
                <w:rFonts w:ascii="Calibri" w:hAnsi="Calibri" w:eastAsia="Calibri" w:cs="Calibri"/>
                <w:b w:val="0"/>
                <w:bCs w:val="0"/>
                <w:color w:val="1C1917"/>
                <w:sz w:val="19"/>
                <w:szCs w:val="19"/>
              </w:rPr>
              <w:t>Support des langues locales prioritaires en plus du français, recommandations de prix et de moment de vente basées sur l'historique GWA (pas de modèle prédictif complexe en Phase 1).</w:t>
            </w:r>
          </w:p>
        </w:tc>
      </w:tr>
      <w:tr w14:paraId="5C69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D792A25">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56407073">
            <w:pPr>
              <w:spacing w:after="0"/>
            </w:pPr>
            <w:r>
              <w:rPr>
                <w:rFonts w:ascii="Calibri" w:hAnsi="Calibri" w:eastAsia="Calibri" w:cs="Calibri"/>
                <w:b w:val="0"/>
                <w:bCs w:val="0"/>
                <w:color w:val="1C1917"/>
                <w:sz w:val="19"/>
                <w:szCs w:val="19"/>
              </w:rPr>
              <w:t>Gemini (existant), prompts étendus par langue, historique de transactions comme contexte.</w:t>
            </w:r>
          </w:p>
        </w:tc>
      </w:tr>
      <w:tr w14:paraId="2426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45E12A3F">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6F38C94E">
            <w:pPr>
              <w:spacing w:after="0"/>
            </w:pPr>
            <w:r>
              <w:rPr>
                <w:rFonts w:ascii="Calibri" w:hAnsi="Calibri" w:eastAsia="Calibri" w:cs="Calibri"/>
                <w:b w:val="0"/>
                <w:bCs w:val="0"/>
                <w:color w:val="1C1917"/>
                <w:sz w:val="19"/>
                <w:szCs w:val="19"/>
              </w:rPr>
              <w:t>M+9 à M+15.</w:t>
            </w:r>
          </w:p>
        </w:tc>
      </w:tr>
    </w:tbl>
    <w:p w14:paraId="44D1DE3E">
      <w:pPr>
        <w:pStyle w:val="4"/>
        <w:spacing w:before="240" w:after="120"/>
      </w:pPr>
      <w:r>
        <w:rPr>
          <w:rFonts w:ascii="Calibri" w:hAnsi="Calibri" w:eastAsia="Calibri" w:cs="Calibri"/>
          <w:b/>
          <w:bCs/>
          <w:color w:val="C27D10"/>
          <w:sz w:val="22"/>
          <w:szCs w:val="22"/>
        </w:rPr>
        <w:t>Q — Expansion multi-pays &amp; multi-devise</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6900"/>
      </w:tblGrid>
      <w:tr w14:paraId="72E5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5C2E"/>
            <w:tcMar>
              <w:top w:w="80" w:type="dxa"/>
              <w:left w:w="100" w:type="dxa"/>
              <w:bottom w:w="80" w:type="dxa"/>
              <w:right w:w="100" w:type="dxa"/>
            </w:tcMar>
            <w:vAlign w:val="center"/>
          </w:tcPr>
          <w:p w14:paraId="0E79AA7F">
            <w:pPr>
              <w:spacing w:after="0"/>
            </w:pPr>
            <w:r>
              <w:rPr>
                <w:rFonts w:ascii="Calibri" w:hAnsi="Calibri" w:eastAsia="Calibri" w:cs="Calibri"/>
                <w:b/>
                <w:bCs/>
                <w:color w:val="FFFFFF"/>
                <w:sz w:val="18"/>
                <w:szCs w:val="18"/>
              </w:rPr>
              <w:t>Élément</w:t>
            </w:r>
          </w:p>
        </w:tc>
        <w:tc>
          <w:tcPr>
            <w:tcW w:w="6900" w:type="dxa"/>
            <w:shd w:val="clear" w:color="auto" w:fill="1F5C2E"/>
            <w:tcMar>
              <w:top w:w="80" w:type="dxa"/>
              <w:left w:w="100" w:type="dxa"/>
              <w:bottom w:w="80" w:type="dxa"/>
              <w:right w:w="100" w:type="dxa"/>
            </w:tcMar>
            <w:vAlign w:val="center"/>
          </w:tcPr>
          <w:p w14:paraId="3A8348A8">
            <w:pPr>
              <w:spacing w:after="0"/>
            </w:pPr>
            <w:r>
              <w:rPr>
                <w:rFonts w:ascii="Calibri" w:hAnsi="Calibri" w:eastAsia="Calibri" w:cs="Calibri"/>
                <w:b/>
                <w:bCs/>
                <w:color w:val="FFFFFF"/>
                <w:sz w:val="18"/>
                <w:szCs w:val="18"/>
              </w:rPr>
              <w:t>Spécification</w:t>
            </w:r>
          </w:p>
        </w:tc>
      </w:tr>
      <w:tr w14:paraId="2D3F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777AD380">
            <w:pPr>
              <w:spacing w:after="0"/>
            </w:pPr>
            <w:r>
              <w:rPr>
                <w:rFonts w:ascii="Calibri" w:hAnsi="Calibri" w:eastAsia="Calibri" w:cs="Calibri"/>
                <w:b w:val="0"/>
                <w:bCs w:val="0"/>
                <w:color w:val="1C1917"/>
                <w:sz w:val="19"/>
                <w:szCs w:val="19"/>
              </w:rPr>
              <w:t>Description</w:t>
            </w:r>
          </w:p>
        </w:tc>
        <w:tc>
          <w:tcPr>
            <w:tcW w:w="6900" w:type="dxa"/>
            <w:tcMar>
              <w:top w:w="80" w:type="dxa"/>
              <w:left w:w="100" w:type="dxa"/>
              <w:bottom w:w="80" w:type="dxa"/>
              <w:right w:w="100" w:type="dxa"/>
            </w:tcMar>
            <w:vAlign w:val="center"/>
          </w:tcPr>
          <w:p w14:paraId="7B1A0833">
            <w:pPr>
              <w:spacing w:after="0"/>
            </w:pPr>
            <w:r>
              <w:rPr>
                <w:rFonts w:ascii="Calibri" w:hAnsi="Calibri" w:eastAsia="Calibri" w:cs="Calibri"/>
                <w:b w:val="0"/>
                <w:bCs w:val="0"/>
                <w:color w:val="1C1917"/>
                <w:sz w:val="19"/>
                <w:szCs w:val="19"/>
              </w:rPr>
              <w:t>Socle transverse nécessaire à toute réplication géographique : gestion des devises, de la réglementation et du paiement local.</w:t>
            </w:r>
          </w:p>
        </w:tc>
      </w:tr>
      <w:tr w14:paraId="65A9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079E6CF">
            <w:pPr>
              <w:spacing w:after="0"/>
            </w:pPr>
            <w:r>
              <w:rPr>
                <w:rFonts w:ascii="Calibri" w:hAnsi="Calibri" w:eastAsia="Calibri" w:cs="Calibri"/>
                <w:b w:val="0"/>
                <w:bCs w:val="0"/>
                <w:color w:val="1C1917"/>
                <w:sz w:val="19"/>
                <w:szCs w:val="19"/>
              </w:rPr>
              <w:t>Fonctionnalités clés</w:t>
            </w:r>
          </w:p>
        </w:tc>
        <w:tc>
          <w:tcPr>
            <w:tcW w:w="6900" w:type="dxa"/>
            <w:tcMar>
              <w:top w:w="80" w:type="dxa"/>
              <w:left w:w="100" w:type="dxa"/>
              <w:bottom w:w="80" w:type="dxa"/>
              <w:right w:w="100" w:type="dxa"/>
            </w:tcMar>
            <w:vAlign w:val="center"/>
          </w:tcPr>
          <w:p w14:paraId="75F54DEA">
            <w:pPr>
              <w:spacing w:after="0"/>
            </w:pPr>
            <w:r>
              <w:rPr>
                <w:rFonts w:ascii="Calibri" w:hAnsi="Calibri" w:eastAsia="Calibri" w:cs="Calibri"/>
                <w:b w:val="0"/>
                <w:bCs w:val="0"/>
                <w:color w:val="1C1917"/>
                <w:sz w:val="19"/>
                <w:szCs w:val="19"/>
              </w:rPr>
              <w:t>Abstraction multi-devise dans le modèle de données (XOF, GHS, EUR), sélection de pays à l'inscription, moteur de règles réglementaires paramétrable par pays, agrégateur de paiement local pour le Ghana.</w:t>
            </w:r>
          </w:p>
        </w:tc>
      </w:tr>
      <w:tr w14:paraId="66E5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5108D478">
            <w:pPr>
              <w:spacing w:after="0"/>
            </w:pPr>
            <w:r>
              <w:rPr>
                <w:rFonts w:ascii="Calibri" w:hAnsi="Calibri" w:eastAsia="Calibri" w:cs="Calibri"/>
                <w:b w:val="0"/>
                <w:bCs w:val="0"/>
                <w:color w:val="1C1917"/>
                <w:sz w:val="19"/>
                <w:szCs w:val="19"/>
              </w:rPr>
              <w:t>Stack technique</w:t>
            </w:r>
          </w:p>
        </w:tc>
        <w:tc>
          <w:tcPr>
            <w:tcW w:w="6900" w:type="dxa"/>
            <w:tcMar>
              <w:top w:w="80" w:type="dxa"/>
              <w:left w:w="100" w:type="dxa"/>
              <w:bottom w:w="80" w:type="dxa"/>
              <w:right w:w="100" w:type="dxa"/>
            </w:tcMar>
            <w:vAlign w:val="center"/>
          </w:tcPr>
          <w:p w14:paraId="010201DD">
            <w:pPr>
              <w:spacing w:after="0"/>
            </w:pPr>
            <w:r>
              <w:rPr>
                <w:rFonts w:ascii="Calibri" w:hAnsi="Calibri" w:eastAsia="Calibri" w:cs="Calibri"/>
                <w:b w:val="0"/>
                <w:bCs w:val="0"/>
                <w:color w:val="1C1917"/>
                <w:sz w:val="19"/>
                <w:szCs w:val="19"/>
              </w:rPr>
              <w:t>Extension du schéma Supabase, nouvel agrégateur de paiement à intégrer (ex. Paystack/Flutterwave pour le Ghana), veille réglementaire dédiée.</w:t>
            </w:r>
          </w:p>
        </w:tc>
      </w:tr>
      <w:tr w14:paraId="70FDA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vAlign w:val="center"/>
          </w:tcPr>
          <w:p w14:paraId="6551AC3E">
            <w:pPr>
              <w:spacing w:after="0"/>
            </w:pPr>
            <w:r>
              <w:rPr>
                <w:rFonts w:ascii="Calibri" w:hAnsi="Calibri" w:eastAsia="Calibri" w:cs="Calibri"/>
                <w:b w:val="0"/>
                <w:bCs w:val="0"/>
                <w:color w:val="1C1917"/>
                <w:sz w:val="19"/>
                <w:szCs w:val="19"/>
              </w:rPr>
              <w:t>Horizon &amp; valeur</w:t>
            </w:r>
          </w:p>
        </w:tc>
        <w:tc>
          <w:tcPr>
            <w:tcW w:w="6900" w:type="dxa"/>
            <w:tcMar>
              <w:top w:w="80" w:type="dxa"/>
              <w:left w:w="100" w:type="dxa"/>
              <w:bottom w:w="80" w:type="dxa"/>
              <w:right w:w="100" w:type="dxa"/>
            </w:tcMar>
            <w:vAlign w:val="center"/>
          </w:tcPr>
          <w:p w14:paraId="29258256">
            <w:pPr>
              <w:spacing w:after="0"/>
            </w:pPr>
            <w:r>
              <w:rPr>
                <w:rFonts w:ascii="Calibri" w:hAnsi="Calibri" w:eastAsia="Calibri" w:cs="Calibri"/>
                <w:b w:val="0"/>
                <w:bCs w:val="0"/>
                <w:color w:val="1C1917"/>
                <w:sz w:val="19"/>
                <w:szCs w:val="19"/>
              </w:rPr>
              <w:t>M+9 (préparation) à M+18 (Ghana opérationnel), M+24 (Sénégal).</w:t>
            </w:r>
          </w:p>
        </w:tc>
      </w:tr>
    </w:tbl>
    <w:p w14:paraId="71A7F055">
      <w:r>
        <w:br w:type="page"/>
      </w:r>
    </w:p>
    <w:p w14:paraId="1705243C">
      <w:pPr>
        <w:pStyle w:val="2"/>
        <w:pBdr>
          <w:bottom w:val="single" w:color="1F5C2E" w:sz="8" w:space="4"/>
        </w:pBdr>
        <w:spacing w:before="400" w:after="200"/>
      </w:pPr>
      <w:r>
        <w:rPr>
          <w:rFonts w:ascii="Calibri" w:hAnsi="Calibri" w:eastAsia="Calibri" w:cs="Calibri"/>
          <w:b/>
          <w:bCs/>
          <w:color w:val="1F5C2E"/>
          <w:sz w:val="30"/>
          <w:szCs w:val="30"/>
        </w:rPr>
        <w:t>8. Spécifications techniques et contraintes non fonctionnelles</w:t>
      </w:r>
    </w:p>
    <w:p w14:paraId="5EBF4D73">
      <w:pPr>
        <w:pStyle w:val="3"/>
        <w:spacing w:before="320" w:after="160"/>
      </w:pPr>
      <w:r>
        <w:rPr>
          <w:rFonts w:ascii="Calibri" w:hAnsi="Calibri" w:eastAsia="Calibri" w:cs="Calibri"/>
          <w:b/>
          <w:bCs/>
          <w:color w:val="1F5C2E"/>
          <w:sz w:val="25"/>
          <w:szCs w:val="25"/>
        </w:rPr>
        <w:t>8.1 Technologies pour la donnée, le scoring et l'IA</w:t>
      </w:r>
    </w:p>
    <w:p w14:paraId="04D5DCE1">
      <w:pPr>
        <w:pStyle w:val="16"/>
        <w:numPr>
          <w:ilvl w:val="0"/>
          <w:numId w:val="1"/>
        </w:numPr>
        <w:spacing w:after="80"/>
      </w:pPr>
      <w:r>
        <w:rPr>
          <w:rFonts w:ascii="Calibri" w:hAnsi="Calibri" w:eastAsia="Calibri" w:cs="Calibri"/>
          <w:b w:val="0"/>
          <w:bCs w:val="0"/>
          <w:color w:val="1C1917"/>
          <w:sz w:val="21"/>
          <w:szCs w:val="21"/>
        </w:rPr>
        <w:t>Langage principal de service : Python (FastAPI) pour le moteur SCG et le calcul d'éligibilité à l'affacturage.</w:t>
      </w:r>
    </w:p>
    <w:p w14:paraId="4FF11B6C">
      <w:pPr>
        <w:pStyle w:val="16"/>
        <w:numPr>
          <w:ilvl w:val="0"/>
          <w:numId w:val="1"/>
        </w:numPr>
        <w:spacing w:after="80"/>
      </w:pPr>
      <w:r>
        <w:rPr>
          <w:rFonts w:ascii="Calibri" w:hAnsi="Calibri" w:eastAsia="Calibri" w:cs="Calibri"/>
          <w:b w:val="0"/>
          <w:bCs w:val="0"/>
          <w:color w:val="1C1917"/>
          <w:sz w:val="21"/>
          <w:szCs w:val="21"/>
        </w:rPr>
        <w:t>Bibliothèques de traitement de données : Pandas, NumPy pour l'agrégation des indicateurs SCG.</w:t>
      </w:r>
    </w:p>
    <w:p w14:paraId="3E23D114">
      <w:pPr>
        <w:pStyle w:val="16"/>
        <w:numPr>
          <w:ilvl w:val="0"/>
          <w:numId w:val="1"/>
        </w:numPr>
        <w:spacing w:after="80"/>
      </w:pPr>
      <w:r>
        <w:rPr>
          <w:rFonts w:ascii="Calibri" w:hAnsi="Calibri" w:eastAsia="Calibri" w:cs="Calibri"/>
          <w:b w:val="0"/>
          <w:bCs w:val="0"/>
          <w:color w:val="1C1917"/>
          <w:sz w:val="21"/>
          <w:szCs w:val="21"/>
        </w:rPr>
        <w:t>Modèles de score : règles explicites pondérées (grille 5C) aucun modèle de machine learning en boîte noire, exigence de traçabilité pour les partenaires bancaires.</w:t>
      </w:r>
    </w:p>
    <w:p w14:paraId="41BB3F56">
      <w:pPr>
        <w:pStyle w:val="16"/>
        <w:numPr>
          <w:ilvl w:val="0"/>
          <w:numId w:val="1"/>
        </w:numPr>
        <w:spacing w:after="80"/>
      </w:pPr>
      <w:r>
        <w:rPr>
          <w:rFonts w:ascii="Calibri" w:hAnsi="Calibri" w:eastAsia="Calibri" w:cs="Calibri"/>
          <w:b w:val="0"/>
          <w:bCs w:val="0"/>
          <w:color w:val="1C1917"/>
          <w:sz w:val="21"/>
          <w:szCs w:val="21"/>
        </w:rPr>
        <w:t>IA conversationnelle : Gemini (Google) pour Yelly, avec prompts dédiés par langue et par cas d'usage (prix, météo, calendrier cultural, affacturage).</w:t>
      </w:r>
    </w:p>
    <w:p w14:paraId="13AE2C85">
      <w:pPr>
        <w:pStyle w:val="16"/>
        <w:numPr>
          <w:ilvl w:val="0"/>
          <w:numId w:val="1"/>
        </w:numPr>
        <w:spacing w:after="80"/>
      </w:pPr>
      <w:r>
        <w:rPr>
          <w:rFonts w:ascii="Calibri" w:hAnsi="Calibri" w:eastAsia="Calibri" w:cs="Calibri"/>
          <w:b w:val="0"/>
          <w:bCs w:val="0"/>
          <w:color w:val="1C1917"/>
          <w:sz w:val="21"/>
          <w:szCs w:val="21"/>
        </w:rPr>
        <w:t>Outils d'analyse interne : export CSV, tableaux de bord back-office (dashboards internes construits sur les routes API existantes).</w:t>
      </w:r>
    </w:p>
    <w:p w14:paraId="533882EE">
      <w:pPr>
        <w:pStyle w:val="3"/>
        <w:spacing w:before="320" w:after="160"/>
      </w:pPr>
      <w:r>
        <w:rPr>
          <w:rFonts w:ascii="Calibri" w:hAnsi="Calibri" w:eastAsia="Calibri" w:cs="Calibri"/>
          <w:b/>
          <w:bCs/>
          <w:color w:val="1F5C2E"/>
          <w:sz w:val="25"/>
          <w:szCs w:val="25"/>
        </w:rPr>
        <w:t>8.2 Application mobile et web</w:t>
      </w:r>
    </w:p>
    <w:p w14:paraId="078990C3">
      <w:pPr>
        <w:pStyle w:val="4"/>
        <w:spacing w:before="240" w:after="120"/>
      </w:pPr>
      <w:r>
        <w:rPr>
          <w:rFonts w:ascii="Calibri" w:hAnsi="Calibri" w:eastAsia="Calibri" w:cs="Calibri"/>
          <w:b/>
          <w:bCs/>
          <w:color w:val="C27D10"/>
          <w:sz w:val="22"/>
          <w:szCs w:val="22"/>
        </w:rPr>
        <w:t>Front-end</w:t>
      </w:r>
    </w:p>
    <w:p w14:paraId="6D74D27C">
      <w:pPr>
        <w:pStyle w:val="16"/>
        <w:numPr>
          <w:ilvl w:val="0"/>
          <w:numId w:val="1"/>
        </w:numPr>
        <w:spacing w:after="80"/>
      </w:pPr>
      <w:r>
        <w:rPr>
          <w:rFonts w:ascii="Calibri" w:hAnsi="Calibri" w:eastAsia="Calibri" w:cs="Calibri"/>
          <w:b w:val="0"/>
          <w:bCs w:val="0"/>
          <w:color w:val="1C1917"/>
          <w:sz w:val="21"/>
          <w:szCs w:val="21"/>
        </w:rPr>
        <w:t>Mobile : React Native + Expo EAS  Android en priorité, iOS en Phase 2.</w:t>
      </w:r>
    </w:p>
    <w:p w14:paraId="10D30A4B">
      <w:pPr>
        <w:pStyle w:val="16"/>
        <w:numPr>
          <w:ilvl w:val="0"/>
          <w:numId w:val="1"/>
        </w:numPr>
        <w:spacing w:after="80"/>
      </w:pPr>
      <w:r>
        <w:rPr>
          <w:rFonts w:ascii="Calibri" w:hAnsi="Calibri" w:eastAsia="Calibri" w:cs="Calibri"/>
          <w:b w:val="0"/>
          <w:bCs w:val="0"/>
          <w:color w:val="1C1917"/>
          <w:sz w:val="21"/>
          <w:szCs w:val="21"/>
        </w:rPr>
        <w:t>Web / PWA : Next.js 16 + React 19, Tailwind CSS pour le design system Harmattan Signal.</w:t>
      </w:r>
    </w:p>
    <w:p w14:paraId="7553327E">
      <w:pPr>
        <w:pStyle w:val="16"/>
        <w:numPr>
          <w:ilvl w:val="0"/>
          <w:numId w:val="1"/>
        </w:numPr>
        <w:spacing w:after="80"/>
      </w:pPr>
      <w:r>
        <w:rPr>
          <w:rFonts w:ascii="Calibri" w:hAnsi="Calibri" w:eastAsia="Calibri" w:cs="Calibri"/>
          <w:b w:val="0"/>
          <w:bCs w:val="0"/>
          <w:color w:val="1C1917"/>
          <w:sz w:val="21"/>
          <w:szCs w:val="21"/>
        </w:rPr>
        <w:t>Visualisation de données (back-office et dashboards prix) : Recharts / Chart.js.</w:t>
      </w:r>
    </w:p>
    <w:p w14:paraId="456A3C67">
      <w:pPr>
        <w:pStyle w:val="4"/>
        <w:spacing w:before="240" w:after="120"/>
      </w:pPr>
      <w:r>
        <w:rPr>
          <w:rFonts w:ascii="Calibri" w:hAnsi="Calibri" w:eastAsia="Calibri" w:cs="Calibri"/>
          <w:b/>
          <w:bCs/>
          <w:color w:val="C27D10"/>
          <w:sz w:val="22"/>
          <w:szCs w:val="22"/>
        </w:rPr>
        <w:t>Back-end</w:t>
      </w:r>
    </w:p>
    <w:p w14:paraId="52017CA8">
      <w:pPr>
        <w:pStyle w:val="16"/>
        <w:numPr>
          <w:ilvl w:val="0"/>
          <w:numId w:val="1"/>
        </w:numPr>
        <w:spacing w:after="80"/>
      </w:pPr>
      <w:r>
        <w:rPr>
          <w:rFonts w:ascii="Calibri" w:hAnsi="Calibri" w:eastAsia="Calibri" w:cs="Calibri"/>
          <w:b w:val="0"/>
          <w:bCs w:val="0"/>
          <w:color w:val="1C1917"/>
          <w:sz w:val="21"/>
          <w:szCs w:val="21"/>
        </w:rPr>
        <w:t>Framework principal : routes API Next.js (monolithe modulaire, ≈56 routes existantes, étendues par les modules G à Q).</w:t>
      </w:r>
    </w:p>
    <w:p w14:paraId="2FDEE1A0">
      <w:pPr>
        <w:pStyle w:val="16"/>
        <w:numPr>
          <w:ilvl w:val="0"/>
          <w:numId w:val="1"/>
        </w:numPr>
        <w:spacing w:after="80"/>
      </w:pPr>
      <w:r>
        <w:rPr>
          <w:rFonts w:ascii="Calibri" w:hAnsi="Calibri" w:eastAsia="Calibri" w:cs="Calibri"/>
          <w:b w:val="0"/>
          <w:bCs w:val="0"/>
          <w:color w:val="1C1917"/>
          <w:sz w:val="21"/>
          <w:szCs w:val="21"/>
        </w:rPr>
        <w:t>Service séparé : Python FastAPI pour le SCG et l'affacturage architecture en microservice ciblé, pas de refonte en microservices généralisée.</w:t>
      </w:r>
    </w:p>
    <w:p w14:paraId="134A6C09">
      <w:pPr>
        <w:pStyle w:val="16"/>
        <w:numPr>
          <w:ilvl w:val="0"/>
          <w:numId w:val="1"/>
        </w:numPr>
        <w:spacing w:after="80"/>
      </w:pPr>
      <w:r>
        <w:rPr>
          <w:rFonts w:ascii="Calibri" w:hAnsi="Calibri" w:eastAsia="Calibri" w:cs="Calibri"/>
          <w:b w:val="0"/>
          <w:bCs w:val="0"/>
          <w:color w:val="1C1917"/>
          <w:sz w:val="21"/>
          <w:szCs w:val="21"/>
        </w:rPr>
        <w:t>Temps réel : Socket.io (chat, notifications in-app) avec reconnexion automatique.</w:t>
      </w:r>
    </w:p>
    <w:p w14:paraId="50C752E1">
      <w:pPr>
        <w:pStyle w:val="4"/>
        <w:spacing w:before="240" w:after="120"/>
      </w:pPr>
      <w:r>
        <w:rPr>
          <w:rFonts w:ascii="Calibri" w:hAnsi="Calibri" w:eastAsia="Calibri" w:cs="Calibri"/>
          <w:b/>
          <w:bCs/>
          <w:color w:val="C27D10"/>
          <w:sz w:val="22"/>
          <w:szCs w:val="22"/>
        </w:rPr>
        <w:t>Bases de données</w:t>
      </w:r>
    </w:p>
    <w:p w14:paraId="53EE579D">
      <w:pPr>
        <w:pStyle w:val="16"/>
        <w:numPr>
          <w:ilvl w:val="0"/>
          <w:numId w:val="1"/>
        </w:numPr>
        <w:spacing w:after="80"/>
      </w:pPr>
      <w:r>
        <w:rPr>
          <w:rFonts w:ascii="Calibri" w:hAnsi="Calibri" w:eastAsia="Calibri" w:cs="Calibri"/>
          <w:b w:val="0"/>
          <w:bCs w:val="0"/>
          <w:color w:val="1C1917"/>
          <w:sz w:val="21"/>
          <w:szCs w:val="21"/>
        </w:rPr>
        <w:t>Base principale : PostgreSQL via Supabase, avec Row Level Security sur toutes les tables sensibles.</w:t>
      </w:r>
    </w:p>
    <w:p w14:paraId="0E167138">
      <w:pPr>
        <w:pStyle w:val="16"/>
        <w:numPr>
          <w:ilvl w:val="0"/>
          <w:numId w:val="1"/>
        </w:numPr>
        <w:spacing w:after="80"/>
      </w:pPr>
      <w:r>
        <w:rPr>
          <w:rFonts w:ascii="Calibri" w:hAnsi="Calibri" w:eastAsia="Calibri" w:cs="Calibri"/>
          <w:b w:val="0"/>
          <w:bCs w:val="0"/>
          <w:color w:val="1C1917"/>
          <w:sz w:val="21"/>
          <w:szCs w:val="21"/>
        </w:rPr>
        <w:t>Cache / sessions : cache Supabase Realtime ; évaluation de Redis si la montée en charge multi-pays l'exige.</w:t>
      </w:r>
    </w:p>
    <w:p w14:paraId="41A0CD98">
      <w:pPr>
        <w:pStyle w:val="16"/>
        <w:numPr>
          <w:ilvl w:val="0"/>
          <w:numId w:val="1"/>
        </w:numPr>
        <w:spacing w:after="80"/>
      </w:pPr>
      <w:r>
        <w:rPr>
          <w:rFonts w:ascii="Calibri" w:hAnsi="Calibri" w:eastAsia="Calibri" w:cs="Calibri"/>
          <w:b w:val="0"/>
          <w:bCs w:val="0"/>
          <w:color w:val="1C1917"/>
          <w:sz w:val="21"/>
          <w:szCs w:val="21"/>
        </w:rPr>
        <w:t>Migrations versionnées, numérotées (001 à 046 en bêta, poursuite de la numérotation pour chaque évolution de schéma).</w:t>
      </w:r>
    </w:p>
    <w:p w14:paraId="5D1D6785">
      <w:pPr>
        <w:pStyle w:val="3"/>
        <w:spacing w:before="320" w:after="160"/>
      </w:pPr>
      <w:r>
        <w:rPr>
          <w:rFonts w:ascii="Calibri" w:hAnsi="Calibri" w:eastAsia="Calibri" w:cs="Calibri"/>
          <w:b/>
          <w:bCs/>
          <w:color w:val="1F5C2E"/>
          <w:sz w:val="25"/>
          <w:szCs w:val="25"/>
        </w:rPr>
        <w:t>8.3 Infrastructure</w:t>
      </w:r>
    </w:p>
    <w:p w14:paraId="789B4A98">
      <w:pPr>
        <w:pStyle w:val="16"/>
        <w:numPr>
          <w:ilvl w:val="0"/>
          <w:numId w:val="1"/>
        </w:numPr>
        <w:spacing w:after="80"/>
      </w:pPr>
      <w:r>
        <w:rPr>
          <w:rFonts w:ascii="Calibri" w:hAnsi="Calibri" w:eastAsia="Calibri" w:cs="Calibri"/>
          <w:b w:val="0"/>
          <w:bCs w:val="0"/>
          <w:color w:val="1C1917"/>
          <w:sz w:val="21"/>
          <w:szCs w:val="21"/>
        </w:rPr>
        <w:t>Hébergement cloud : Vercel en environnement actuel ; évaluation d'AWS/GCP/Azure si la montée en charge multi-pays dépasse les capacités de l'offre actuelle.</w:t>
      </w:r>
    </w:p>
    <w:p w14:paraId="733766B1">
      <w:pPr>
        <w:pStyle w:val="16"/>
        <w:numPr>
          <w:ilvl w:val="0"/>
          <w:numId w:val="1"/>
        </w:numPr>
        <w:spacing w:after="80"/>
      </w:pPr>
      <w:r>
        <w:rPr>
          <w:rFonts w:ascii="Calibri" w:hAnsi="Calibri" w:eastAsia="Calibri" w:cs="Calibri"/>
          <w:b w:val="0"/>
          <w:bCs w:val="0"/>
          <w:color w:val="1C1917"/>
          <w:sz w:val="21"/>
          <w:szCs w:val="21"/>
        </w:rPr>
        <w:t>API RESTful versionnée (/api/v1/), gestion structurée des erreurs (codes + messages), rate limiting par route et par rôle.</w:t>
      </w:r>
    </w:p>
    <w:p w14:paraId="5FA25FF7">
      <w:pPr>
        <w:pStyle w:val="16"/>
        <w:numPr>
          <w:ilvl w:val="0"/>
          <w:numId w:val="1"/>
        </w:numPr>
        <w:spacing w:after="80"/>
      </w:pPr>
      <w:r>
        <w:rPr>
          <w:rFonts w:ascii="Calibri" w:hAnsi="Calibri" w:eastAsia="Calibri" w:cs="Calibri"/>
          <w:b w:val="0"/>
          <w:bCs w:val="0"/>
          <w:color w:val="1C1917"/>
          <w:sz w:val="21"/>
          <w:szCs w:val="21"/>
        </w:rPr>
        <w:t>Protocoles de communication : HTTPS/TLS 1.2+ pour toutes les communications, WebSocket pour le temps réel, webhooks pour les confirmations de paiement Feexpay et, à terme, pour l'API bancaire partenaire.</w:t>
      </w:r>
    </w:p>
    <w:p w14:paraId="377B253A">
      <w:pPr>
        <w:pStyle w:val="16"/>
        <w:numPr>
          <w:ilvl w:val="0"/>
          <w:numId w:val="1"/>
        </w:numPr>
        <w:spacing w:after="80"/>
      </w:pPr>
      <w:r>
        <w:rPr>
          <w:rFonts w:ascii="Calibri" w:hAnsi="Calibri" w:eastAsia="Calibri" w:cs="Calibri"/>
          <w:b w:val="0"/>
          <w:bCs w:val="0"/>
          <w:color w:val="1C1917"/>
          <w:sz w:val="21"/>
          <w:szCs w:val="21"/>
        </w:rPr>
        <w:t>Monitoring : endpoint /api/health avec vérification de connexion base de données, journalisation centralisée des erreurs critiques.</w:t>
      </w:r>
    </w:p>
    <w:p w14:paraId="726549BE">
      <w:pPr>
        <w:pStyle w:val="3"/>
        <w:spacing w:before="320" w:after="160"/>
      </w:pPr>
      <w:r>
        <w:rPr>
          <w:rFonts w:ascii="Calibri" w:hAnsi="Calibri" w:eastAsia="Calibri" w:cs="Calibri"/>
          <w:b/>
          <w:bCs/>
          <w:color w:val="1F5C2E"/>
          <w:sz w:val="25"/>
          <w:szCs w:val="25"/>
        </w:rPr>
        <w:t>8.4 Sécurité</w:t>
      </w:r>
    </w:p>
    <w:p w14:paraId="4DB29108">
      <w:pPr>
        <w:pStyle w:val="16"/>
        <w:numPr>
          <w:ilvl w:val="0"/>
          <w:numId w:val="1"/>
        </w:numPr>
        <w:spacing w:after="80"/>
      </w:pPr>
      <w:r>
        <w:rPr>
          <w:rFonts w:ascii="Calibri" w:hAnsi="Calibri" w:eastAsia="Calibri" w:cs="Calibri"/>
          <w:b w:val="0"/>
          <w:bCs w:val="0"/>
          <w:color w:val="1C1917"/>
          <w:sz w:val="21"/>
          <w:szCs w:val="21"/>
        </w:rPr>
        <w:t>Authentification et autorisation : OTP + Supabase Auth/NextAuth côté utilisateur, 2FA recommandée côté admin, RBAC (rôles utilisateur/coopérative/admin/country manager).</w:t>
      </w:r>
    </w:p>
    <w:p w14:paraId="1615A004">
      <w:pPr>
        <w:pStyle w:val="16"/>
        <w:numPr>
          <w:ilvl w:val="0"/>
          <w:numId w:val="1"/>
        </w:numPr>
        <w:spacing w:after="80"/>
      </w:pPr>
      <w:r>
        <w:rPr>
          <w:rFonts w:ascii="Calibri" w:hAnsi="Calibri" w:eastAsia="Calibri" w:cs="Calibri"/>
          <w:b w:val="0"/>
          <w:bCs w:val="0"/>
          <w:color w:val="1C1917"/>
          <w:sz w:val="21"/>
          <w:szCs w:val="21"/>
        </w:rPr>
        <w:t>Chiffrement : TLS en transit pour toutes les communications, chiffrement au repos assuré par Supabase, tokens JWT à durée de vie limitée.</w:t>
      </w:r>
    </w:p>
    <w:p w14:paraId="4A40EA71">
      <w:pPr>
        <w:pStyle w:val="16"/>
        <w:numPr>
          <w:ilvl w:val="0"/>
          <w:numId w:val="1"/>
        </w:numPr>
        <w:spacing w:after="80"/>
      </w:pPr>
      <w:r>
        <w:rPr>
          <w:rFonts w:ascii="Calibri" w:hAnsi="Calibri" w:eastAsia="Calibri" w:cs="Calibri"/>
          <w:b w:val="0"/>
          <w:bCs w:val="0"/>
          <w:color w:val="1C1917"/>
          <w:sz w:val="21"/>
          <w:szCs w:val="21"/>
        </w:rPr>
        <w:t>Conformité OWASP Top 10 : headers durcis (HSTS, CSP), détection de motifs malveillants, protection contre l'injection SQL/XSS/CSRF, upload sécurisé par vérification de signature de fichier.</w:t>
      </w:r>
    </w:p>
    <w:p w14:paraId="3CE1175A">
      <w:pPr>
        <w:pStyle w:val="16"/>
        <w:numPr>
          <w:ilvl w:val="0"/>
          <w:numId w:val="1"/>
        </w:numPr>
        <w:spacing w:after="80"/>
      </w:pPr>
      <w:r>
        <w:rPr>
          <w:rFonts w:ascii="Calibri" w:hAnsi="Calibri" w:eastAsia="Calibri" w:cs="Calibri"/>
          <w:b w:val="0"/>
          <w:bCs w:val="0"/>
          <w:color w:val="1C1917"/>
          <w:sz w:val="21"/>
          <w:szCs w:val="21"/>
        </w:rPr>
        <w:t>Conformité réglementaire financière : respect du cadre BCEAO/UEMOA pour les flux en zone CI/Sénégal ; veille sur le cadre ghanéen pour toute intégration de paiement locale.</w:t>
      </w:r>
    </w:p>
    <w:p w14:paraId="25288D2F">
      <w:pPr>
        <w:pStyle w:val="16"/>
        <w:numPr>
          <w:ilvl w:val="0"/>
          <w:numId w:val="1"/>
        </w:numPr>
        <w:spacing w:after="80"/>
      </w:pPr>
      <w:r>
        <w:rPr>
          <w:rFonts w:ascii="Calibri" w:hAnsi="Calibri" w:eastAsia="Calibri" w:cs="Calibri"/>
          <w:b w:val="0"/>
          <w:bCs w:val="0"/>
          <w:color w:val="1C1917"/>
          <w:sz w:val="21"/>
          <w:szCs w:val="21"/>
        </w:rPr>
        <w:t>Protection des données personnelles : minimisation des données collectées, consentement explicite pour toute donnée financière tierce utilisée dans le SCG (ex. relevés Mobile Money).</w:t>
      </w:r>
    </w:p>
    <w:p w14:paraId="7C59FCFE">
      <w:pPr>
        <w:pStyle w:val="3"/>
        <w:spacing w:before="320" w:after="160"/>
      </w:pPr>
      <w:r>
        <w:rPr>
          <w:rFonts w:ascii="Calibri" w:hAnsi="Calibri" w:eastAsia="Calibri" w:cs="Calibri"/>
          <w:b/>
          <w:bCs/>
          <w:color w:val="1F5C2E"/>
          <w:sz w:val="25"/>
          <w:szCs w:val="25"/>
        </w:rPr>
        <w:t>8.5 Paiement et gestion multi-devise</w:t>
      </w:r>
    </w:p>
    <w:p w14:paraId="1DEDC924">
      <w:pPr>
        <w:pStyle w:val="16"/>
        <w:numPr>
          <w:ilvl w:val="0"/>
          <w:numId w:val="1"/>
        </w:numPr>
        <w:spacing w:after="80"/>
      </w:pPr>
      <w:r>
        <w:rPr>
          <w:rFonts w:ascii="Calibri" w:hAnsi="Calibri" w:eastAsia="Calibri" w:cs="Calibri"/>
          <w:b w:val="0"/>
          <w:bCs w:val="0"/>
          <w:color w:val="1C1917"/>
          <w:sz w:val="21"/>
          <w:szCs w:val="21"/>
        </w:rPr>
        <w:t>Côte d'Ivoire et Sénégal : FCFA (XOF), zone UEMOA, Feexpay comme agrégateur principal.</w:t>
      </w:r>
    </w:p>
    <w:p w14:paraId="098C52ED">
      <w:pPr>
        <w:pStyle w:val="16"/>
        <w:numPr>
          <w:ilvl w:val="0"/>
          <w:numId w:val="1"/>
        </w:numPr>
        <w:spacing w:after="80"/>
      </w:pPr>
      <w:r>
        <w:rPr>
          <w:rFonts w:ascii="Calibri" w:hAnsi="Calibri" w:eastAsia="Calibri" w:cs="Calibri"/>
          <w:b w:val="0"/>
          <w:bCs w:val="0"/>
          <w:color w:val="1C1917"/>
          <w:sz w:val="21"/>
          <w:szCs w:val="21"/>
        </w:rPr>
        <w:t>Ghana : Cedi (GHS), nécessite l'intégration d'un agrégateur local (ex. Paystack, Flutterwave) — à évaluer selon disponibilité et coût.</w:t>
      </w:r>
    </w:p>
    <w:p w14:paraId="3E70E0EC">
      <w:pPr>
        <w:pStyle w:val="16"/>
        <w:numPr>
          <w:ilvl w:val="0"/>
          <w:numId w:val="1"/>
        </w:numPr>
        <w:spacing w:after="80"/>
      </w:pPr>
      <w:r>
        <w:rPr>
          <w:rFonts w:ascii="Calibri" w:hAnsi="Calibri" w:eastAsia="Calibri" w:cs="Calibri"/>
          <w:b w:val="0"/>
          <w:bCs w:val="0"/>
          <w:color w:val="1C1917"/>
          <w:sz w:val="21"/>
          <w:szCs w:val="21"/>
        </w:rPr>
        <w:t>Canal diaspora Europe : Euro (EUR), passerelle de paiement internationale à spécifier séparément, hors Feexpay.</w:t>
      </w:r>
    </w:p>
    <w:p w14:paraId="2717BBD1">
      <w:pPr>
        <w:pStyle w:val="16"/>
        <w:numPr>
          <w:ilvl w:val="0"/>
          <w:numId w:val="1"/>
        </w:numPr>
        <w:spacing w:after="80"/>
      </w:pPr>
      <w:r>
        <w:rPr>
          <w:rFonts w:ascii="Calibri" w:hAnsi="Calibri" w:eastAsia="Calibri" w:cs="Calibri"/>
          <w:b w:val="0"/>
          <w:bCs w:val="0"/>
          <w:color w:val="1C1917"/>
          <w:sz w:val="21"/>
          <w:szCs w:val="21"/>
        </w:rPr>
        <w:t>Le modèle de données de commande et d'escrow doit porter une devise explicite dès la Phase 1, même si une seule devise est active en bêta, pour éviter une migration lourde en Phase 2.</w:t>
      </w:r>
    </w:p>
    <w:p w14:paraId="0C92B627">
      <w:r>
        <w:br w:type="page"/>
      </w:r>
    </w:p>
    <w:p w14:paraId="477DF68D">
      <w:pPr>
        <w:pStyle w:val="2"/>
        <w:pBdr>
          <w:bottom w:val="single" w:color="1F5C2E" w:sz="8" w:space="4"/>
        </w:pBdr>
        <w:spacing w:before="400" w:after="200"/>
      </w:pPr>
      <w:r>
        <w:rPr>
          <w:rFonts w:ascii="Calibri" w:hAnsi="Calibri" w:eastAsia="Calibri" w:cs="Calibri"/>
          <w:b/>
          <w:bCs/>
          <w:color w:val="1F5C2E"/>
          <w:sz w:val="30"/>
          <w:szCs w:val="30"/>
        </w:rPr>
        <w:t>9. Architecture technique</w:t>
      </w:r>
    </w:p>
    <w:p w14:paraId="179FD3AE">
      <w:pPr>
        <w:spacing w:before="0" w:after="120"/>
        <w:jc w:val="left"/>
      </w:pPr>
      <w:r>
        <w:rPr>
          <w:rFonts w:ascii="Calibri" w:hAnsi="Calibri" w:eastAsia="Calibri" w:cs="Calibri"/>
          <w:b w:val="0"/>
          <w:bCs w:val="0"/>
          <w:i w:val="0"/>
          <w:iCs w:val="0"/>
          <w:color w:val="1C1917"/>
          <w:sz w:val="21"/>
          <w:szCs w:val="21"/>
        </w:rPr>
        <w:t>Le schéma ci-dessous présente l'architecture cible à 12/24 mois : les couches 1 à 5 sont déjà largement opérationnelles depuis la bêta ; les couches 6 (extension multi-pays) et certaines briques transverses (Carbon Tracker/EUDR, API bancaire partenaire) s'activent selon les critères de déclenchement définis dans ce document, et non par défaut.</w:t>
      </w:r>
    </w:p>
    <w:p w14:paraId="4D9DF059">
      <w:pPr>
        <w:spacing w:before="200" w:after="200"/>
        <w:jc w:val="center"/>
      </w:pPr>
      <w:r>
        <w:drawing>
          <wp:inline distT="0" distB="0" distL="0" distR="0">
            <wp:extent cx="4953000" cy="6096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6"/>
                    <a:srcRect/>
                    <a:stretch>
                      <a:fillRect/>
                    </a:stretch>
                  </pic:blipFill>
                  <pic:spPr>
                    <a:xfrm>
                      <a:off x="0" y="0"/>
                      <a:ext cx="4953000" cy="6096000"/>
                    </a:xfrm>
                    <a:prstGeom prst="rect">
                      <a:avLst/>
                    </a:prstGeom>
                  </pic:spPr>
                </pic:pic>
              </a:graphicData>
            </a:graphic>
          </wp:inline>
        </w:drawing>
      </w:r>
    </w:p>
    <w:p w14:paraId="56F1ECEC">
      <w:pPr>
        <w:pStyle w:val="4"/>
        <w:spacing w:before="240" w:after="120"/>
      </w:pPr>
      <w:r>
        <w:rPr>
          <w:rFonts w:ascii="Calibri" w:hAnsi="Calibri" w:eastAsia="Calibri" w:cs="Calibri"/>
          <w:b/>
          <w:bCs/>
          <w:color w:val="C27D10"/>
          <w:sz w:val="22"/>
          <w:szCs w:val="22"/>
        </w:rPr>
        <w:t>Description des couches</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600"/>
      </w:tblGrid>
      <w:tr w14:paraId="5BFC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5C2E"/>
            <w:tcMar>
              <w:top w:w="80" w:type="dxa"/>
              <w:left w:w="100" w:type="dxa"/>
              <w:bottom w:w="80" w:type="dxa"/>
              <w:right w:w="100" w:type="dxa"/>
            </w:tcMar>
            <w:vAlign w:val="center"/>
          </w:tcPr>
          <w:p w14:paraId="0CE74EA2">
            <w:pPr>
              <w:spacing w:after="0"/>
            </w:pPr>
            <w:r>
              <w:rPr>
                <w:rFonts w:ascii="Calibri" w:hAnsi="Calibri" w:eastAsia="Calibri" w:cs="Calibri"/>
                <w:b/>
                <w:bCs/>
                <w:color w:val="FFFFFF"/>
                <w:sz w:val="18"/>
                <w:szCs w:val="18"/>
              </w:rPr>
              <w:t>Couche</w:t>
            </w:r>
          </w:p>
        </w:tc>
        <w:tc>
          <w:tcPr>
            <w:tcW w:w="6600" w:type="dxa"/>
            <w:shd w:val="clear" w:color="auto" w:fill="1F5C2E"/>
            <w:tcMar>
              <w:top w:w="80" w:type="dxa"/>
              <w:left w:w="100" w:type="dxa"/>
              <w:bottom w:w="80" w:type="dxa"/>
              <w:right w:w="100" w:type="dxa"/>
            </w:tcMar>
            <w:vAlign w:val="center"/>
          </w:tcPr>
          <w:p w14:paraId="0F00BB88">
            <w:pPr>
              <w:spacing w:after="0"/>
            </w:pPr>
            <w:r>
              <w:rPr>
                <w:rFonts w:ascii="Calibri" w:hAnsi="Calibri" w:eastAsia="Calibri" w:cs="Calibri"/>
                <w:b/>
                <w:bCs/>
                <w:color w:val="FFFFFF"/>
                <w:sz w:val="18"/>
                <w:szCs w:val="18"/>
              </w:rPr>
              <w:t>Contenu</w:t>
            </w:r>
          </w:p>
        </w:tc>
      </w:tr>
      <w:tr w14:paraId="2429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9182074">
            <w:pPr>
              <w:spacing w:after="0"/>
            </w:pPr>
            <w:r>
              <w:rPr>
                <w:rFonts w:ascii="Calibri" w:hAnsi="Calibri" w:eastAsia="Calibri" w:cs="Calibri"/>
                <w:b w:val="0"/>
                <w:bCs w:val="0"/>
                <w:color w:val="1C1917"/>
                <w:sz w:val="19"/>
                <w:szCs w:val="19"/>
              </w:rPr>
              <w:t>1 · Utilisateurs</w:t>
            </w:r>
          </w:p>
        </w:tc>
        <w:tc>
          <w:tcPr>
            <w:tcW w:w="6600" w:type="dxa"/>
            <w:tcMar>
              <w:top w:w="80" w:type="dxa"/>
              <w:left w:w="100" w:type="dxa"/>
              <w:bottom w:w="80" w:type="dxa"/>
              <w:right w:w="100" w:type="dxa"/>
            </w:tcMar>
            <w:vAlign w:val="center"/>
          </w:tcPr>
          <w:p w14:paraId="2361221F">
            <w:pPr>
              <w:spacing w:after="0"/>
            </w:pPr>
            <w:r>
              <w:rPr>
                <w:rFonts w:ascii="Calibri" w:hAnsi="Calibri" w:eastAsia="Calibri" w:cs="Calibri"/>
                <w:b w:val="0"/>
                <w:bCs w:val="0"/>
                <w:color w:val="1C1917"/>
                <w:sz w:val="19"/>
                <w:szCs w:val="19"/>
              </w:rPr>
              <w:t>Producteur, coopérative, acheteur/exportateur, banque/IMF partenaire, admin KOUAME  profils détaillés en §3.</w:t>
            </w:r>
          </w:p>
        </w:tc>
      </w:tr>
      <w:tr w14:paraId="21F82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EECFBBB">
            <w:pPr>
              <w:spacing w:after="0"/>
            </w:pPr>
            <w:r>
              <w:rPr>
                <w:rFonts w:ascii="Calibri" w:hAnsi="Calibri" w:eastAsia="Calibri" w:cs="Calibri"/>
                <w:b w:val="0"/>
                <w:bCs w:val="0"/>
                <w:color w:val="1C1917"/>
                <w:sz w:val="19"/>
                <w:szCs w:val="19"/>
              </w:rPr>
              <w:t>2 · Clients applicatifs</w:t>
            </w:r>
          </w:p>
        </w:tc>
        <w:tc>
          <w:tcPr>
            <w:tcW w:w="6600" w:type="dxa"/>
            <w:tcMar>
              <w:top w:w="80" w:type="dxa"/>
              <w:left w:w="100" w:type="dxa"/>
              <w:bottom w:w="80" w:type="dxa"/>
              <w:right w:w="100" w:type="dxa"/>
            </w:tcMar>
            <w:vAlign w:val="center"/>
          </w:tcPr>
          <w:p w14:paraId="7C33AFF1">
            <w:pPr>
              <w:spacing w:after="0"/>
            </w:pPr>
            <w:r>
              <w:rPr>
                <w:rFonts w:ascii="Calibri" w:hAnsi="Calibri" w:eastAsia="Calibri" w:cs="Calibri"/>
                <w:b w:val="0"/>
                <w:bCs w:val="0"/>
                <w:color w:val="1C1917"/>
                <w:sz w:val="19"/>
                <w:szCs w:val="19"/>
              </w:rPr>
              <w:t>App mobile (React Native/Expo), Web/PWA (Next.js), Back-office admin (Next.js, RBAC/RLS).</w:t>
            </w:r>
          </w:p>
        </w:tc>
      </w:tr>
      <w:tr w14:paraId="0A06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2CA7FEF">
            <w:pPr>
              <w:spacing w:after="0"/>
            </w:pPr>
            <w:r>
              <w:rPr>
                <w:rFonts w:ascii="Calibri" w:hAnsi="Calibri" w:eastAsia="Calibri" w:cs="Calibri"/>
                <w:b w:val="0"/>
                <w:bCs w:val="0"/>
                <w:color w:val="1C1917"/>
                <w:sz w:val="19"/>
                <w:szCs w:val="19"/>
              </w:rPr>
              <w:t>3 · API &amp; services backend</w:t>
            </w:r>
          </w:p>
        </w:tc>
        <w:tc>
          <w:tcPr>
            <w:tcW w:w="6600" w:type="dxa"/>
            <w:tcMar>
              <w:top w:w="80" w:type="dxa"/>
              <w:left w:w="100" w:type="dxa"/>
              <w:bottom w:w="80" w:type="dxa"/>
              <w:right w:w="100" w:type="dxa"/>
            </w:tcMar>
            <w:vAlign w:val="center"/>
          </w:tcPr>
          <w:p w14:paraId="0AB46C34">
            <w:pPr>
              <w:spacing w:after="0"/>
            </w:pPr>
            <w:r>
              <w:rPr>
                <w:rFonts w:ascii="Calibri" w:hAnsi="Calibri" w:eastAsia="Calibri" w:cs="Calibri"/>
                <w:b w:val="0"/>
                <w:bCs w:val="0"/>
                <w:color w:val="1C1917"/>
                <w:sz w:val="19"/>
                <w:szCs w:val="19"/>
              </w:rPr>
              <w:t>API Next.js (~56 routes REST versionnées) + service SCG dédié en Python FastAPI (grille 5C, éligibilité affacturage).</w:t>
            </w:r>
          </w:p>
        </w:tc>
      </w:tr>
      <w:tr w14:paraId="62D4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95FB544">
            <w:pPr>
              <w:spacing w:after="0"/>
            </w:pPr>
            <w:r>
              <w:rPr>
                <w:rFonts w:ascii="Calibri" w:hAnsi="Calibri" w:eastAsia="Calibri" w:cs="Calibri"/>
                <w:b w:val="0"/>
                <w:bCs w:val="0"/>
                <w:color w:val="1C1917"/>
                <w:sz w:val="19"/>
                <w:szCs w:val="19"/>
              </w:rPr>
              <w:t>4 · Données</w:t>
            </w:r>
          </w:p>
        </w:tc>
        <w:tc>
          <w:tcPr>
            <w:tcW w:w="6600" w:type="dxa"/>
            <w:tcMar>
              <w:top w:w="80" w:type="dxa"/>
              <w:left w:w="100" w:type="dxa"/>
              <w:bottom w:w="80" w:type="dxa"/>
              <w:right w:w="100" w:type="dxa"/>
            </w:tcMar>
            <w:vAlign w:val="center"/>
          </w:tcPr>
          <w:p w14:paraId="2A723BC1">
            <w:pPr>
              <w:spacing w:after="0"/>
            </w:pPr>
            <w:r>
              <w:rPr>
                <w:rFonts w:ascii="Calibri" w:hAnsi="Calibri" w:eastAsia="Calibri" w:cs="Calibri"/>
                <w:b w:val="0"/>
                <w:bCs w:val="0"/>
                <w:color w:val="1C1917"/>
                <w:sz w:val="19"/>
                <w:szCs w:val="19"/>
              </w:rPr>
              <w:t>Supabase PostgreSQL avec Row Level Security, Realtime &amp; Storage, audit log et migrations versionnées.</w:t>
            </w:r>
          </w:p>
        </w:tc>
      </w:tr>
      <w:tr w14:paraId="4A69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9A95797">
            <w:pPr>
              <w:spacing w:after="0"/>
            </w:pPr>
            <w:r>
              <w:rPr>
                <w:rFonts w:ascii="Calibri" w:hAnsi="Calibri" w:eastAsia="Calibri" w:cs="Calibri"/>
                <w:b w:val="0"/>
                <w:bCs w:val="0"/>
                <w:color w:val="1C1917"/>
                <w:sz w:val="19"/>
                <w:szCs w:val="19"/>
              </w:rPr>
              <w:t>5 · Intégrations externes</w:t>
            </w:r>
          </w:p>
        </w:tc>
        <w:tc>
          <w:tcPr>
            <w:tcW w:w="6600" w:type="dxa"/>
            <w:tcMar>
              <w:top w:w="80" w:type="dxa"/>
              <w:left w:w="100" w:type="dxa"/>
              <w:bottom w:w="80" w:type="dxa"/>
              <w:right w:w="100" w:type="dxa"/>
            </w:tcMar>
            <w:vAlign w:val="center"/>
          </w:tcPr>
          <w:p w14:paraId="74B2D17A">
            <w:pPr>
              <w:spacing w:after="0"/>
            </w:pPr>
            <w:r>
              <w:rPr>
                <w:rFonts w:ascii="Calibri" w:hAnsi="Calibri" w:eastAsia="Calibri" w:cs="Calibri"/>
                <w:b w:val="0"/>
                <w:bCs w:val="0"/>
                <w:color w:val="1C1917"/>
                <w:sz w:val="19"/>
                <w:szCs w:val="19"/>
              </w:rPr>
              <w:t>Feexpay (paiement/escrow), OneSignal + SMS (notifications), API météo et registre RCCM (SCG automatisé), API du partenaire financier (affacturage automatisé, M+12), Gemini (Yelly IA).</w:t>
            </w:r>
          </w:p>
        </w:tc>
      </w:tr>
      <w:tr w14:paraId="62C9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4B9ADC6">
            <w:pPr>
              <w:spacing w:after="0"/>
            </w:pPr>
            <w:r>
              <w:rPr>
                <w:rFonts w:ascii="Calibri" w:hAnsi="Calibri" w:eastAsia="Calibri" w:cs="Calibri"/>
                <w:b w:val="0"/>
                <w:bCs w:val="0"/>
                <w:color w:val="1C1917"/>
                <w:sz w:val="19"/>
                <w:szCs w:val="19"/>
              </w:rPr>
              <w:t>6 · Extension multi-pays (Phase 2)</w:t>
            </w:r>
          </w:p>
        </w:tc>
        <w:tc>
          <w:tcPr>
            <w:tcW w:w="6600" w:type="dxa"/>
            <w:tcMar>
              <w:top w:w="80" w:type="dxa"/>
              <w:left w:w="100" w:type="dxa"/>
              <w:bottom w:w="80" w:type="dxa"/>
              <w:right w:w="100" w:type="dxa"/>
            </w:tcMar>
            <w:vAlign w:val="center"/>
          </w:tcPr>
          <w:p w14:paraId="71FEADEC">
            <w:pPr>
              <w:spacing w:after="0"/>
            </w:pPr>
            <w:r>
              <w:rPr>
                <w:rFonts w:ascii="Calibri" w:hAnsi="Calibri" w:eastAsia="Calibri" w:cs="Calibri"/>
                <w:b w:val="0"/>
                <w:bCs w:val="0"/>
                <w:color w:val="1C1917"/>
                <w:sz w:val="19"/>
                <w:szCs w:val="19"/>
              </w:rPr>
              <w:t>Ghana (GHS, agrégateur local), Sénégal (XOF, zone UEMOA), canal diaspora Europe (EUR, traçabilité EUDR) — activés selon les critères de déclenchement du §12.</w:t>
            </w:r>
          </w:p>
        </w:tc>
      </w:tr>
      <w:tr w14:paraId="276E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93AD466">
            <w:pPr>
              <w:spacing w:after="0"/>
            </w:pPr>
            <w:r>
              <w:rPr>
                <w:rFonts w:ascii="Calibri" w:hAnsi="Calibri" w:eastAsia="Calibri" w:cs="Calibri"/>
                <w:b w:val="0"/>
                <w:bCs w:val="0"/>
                <w:color w:val="1C1917"/>
                <w:sz w:val="19"/>
                <w:szCs w:val="19"/>
              </w:rPr>
              <w:t>7 · Transverse</w:t>
            </w:r>
          </w:p>
        </w:tc>
        <w:tc>
          <w:tcPr>
            <w:tcW w:w="6600" w:type="dxa"/>
            <w:tcMar>
              <w:top w:w="80" w:type="dxa"/>
              <w:left w:w="100" w:type="dxa"/>
              <w:bottom w:w="80" w:type="dxa"/>
              <w:right w:w="100" w:type="dxa"/>
            </w:tcMar>
            <w:vAlign w:val="center"/>
          </w:tcPr>
          <w:p w14:paraId="75D51C0E">
            <w:pPr>
              <w:spacing w:after="0"/>
            </w:pPr>
            <w:r>
              <w:rPr>
                <w:rFonts w:ascii="Calibri" w:hAnsi="Calibri" w:eastAsia="Calibri" w:cs="Calibri"/>
                <w:b w:val="0"/>
                <w:bCs w:val="0"/>
                <w:color w:val="1C1917"/>
                <w:sz w:val="19"/>
                <w:szCs w:val="19"/>
              </w:rPr>
              <w:t>Sécurité (OWASP/RLS/rate-limit), chiffrement TLS+JWT, conformité BCEAO/UEMOA, Carbon Tracker &amp; EUDR pour l'export vers l'UE.</w:t>
            </w:r>
          </w:p>
        </w:tc>
      </w:tr>
    </w:tbl>
    <w:p w14:paraId="2FFC322B">
      <w:pPr>
        <w:pStyle w:val="2"/>
        <w:pBdr>
          <w:bottom w:val="single" w:color="1F5C2E" w:sz="8" w:space="4"/>
        </w:pBdr>
        <w:spacing w:before="400" w:after="200"/>
      </w:pPr>
      <w:r>
        <w:rPr>
          <w:rFonts w:ascii="Calibri" w:hAnsi="Calibri" w:eastAsia="Calibri" w:cs="Calibri"/>
          <w:b/>
          <w:bCs/>
          <w:color w:val="1F5C2E"/>
          <w:sz w:val="30"/>
          <w:szCs w:val="30"/>
        </w:rPr>
        <w:t>10. Contraintes</w:t>
      </w:r>
    </w:p>
    <w:p w14:paraId="79087844">
      <w:pPr>
        <w:pStyle w:val="16"/>
        <w:numPr>
          <w:ilvl w:val="0"/>
          <w:numId w:val="1"/>
        </w:numPr>
        <w:spacing w:after="80"/>
      </w:pPr>
      <w:r>
        <w:rPr>
          <w:rFonts w:ascii="Calibri" w:hAnsi="Calibri" w:eastAsia="Calibri" w:cs="Calibri"/>
          <w:b w:val="0"/>
          <w:bCs w:val="0"/>
          <w:color w:val="1C1917"/>
          <w:sz w:val="21"/>
          <w:szCs w:val="21"/>
        </w:rPr>
        <w:t>Le système doit rester utilisable en connectivité 2G/3G, avec dégradation progressive plutôt que rupture de service (mode offline-first pour le catalogue, les formations et le Digest).</w:t>
      </w:r>
    </w:p>
    <w:p w14:paraId="1869DD41">
      <w:pPr>
        <w:pStyle w:val="16"/>
        <w:numPr>
          <w:ilvl w:val="0"/>
          <w:numId w:val="1"/>
        </w:numPr>
        <w:spacing w:after="80"/>
      </w:pPr>
      <w:r>
        <w:rPr>
          <w:rFonts w:ascii="Calibri" w:hAnsi="Calibri" w:eastAsia="Calibri" w:cs="Calibri"/>
          <w:b w:val="0"/>
          <w:bCs w:val="0"/>
          <w:color w:val="1C1917"/>
          <w:sz w:val="21"/>
          <w:szCs w:val="21"/>
        </w:rPr>
        <w:t>Aucune régression : chaque évolution est additive sur la base de code existante (repo v0-gwa) ; aucune interface de composant existant n'est modifiée sans revue explicite.</w:t>
      </w:r>
    </w:p>
    <w:p w14:paraId="4F316AD8">
      <w:pPr>
        <w:pStyle w:val="16"/>
        <w:numPr>
          <w:ilvl w:val="0"/>
          <w:numId w:val="1"/>
        </w:numPr>
        <w:spacing w:after="80"/>
      </w:pPr>
      <w:r>
        <w:rPr>
          <w:rFonts w:ascii="Calibri" w:hAnsi="Calibri" w:eastAsia="Calibri" w:cs="Calibri"/>
          <w:b w:val="0"/>
          <w:bCs w:val="0"/>
          <w:color w:val="1C1917"/>
          <w:sz w:val="21"/>
          <w:szCs w:val="21"/>
        </w:rPr>
        <w:t>Conformité réglementaire multi-pays : cadre BCEAO/UEMOA pour la Côte d'Ivoire et le Sénégal, veille dédiée pour le cadre ghanéen avant toute intégration de paiement locale.</w:t>
      </w:r>
    </w:p>
    <w:p w14:paraId="34CABA0E">
      <w:pPr>
        <w:pStyle w:val="16"/>
        <w:numPr>
          <w:ilvl w:val="0"/>
          <w:numId w:val="1"/>
        </w:numPr>
        <w:spacing w:after="80"/>
      </w:pPr>
      <w:r>
        <w:rPr>
          <w:rFonts w:ascii="Calibri" w:hAnsi="Calibri" w:eastAsia="Calibri" w:cs="Calibri"/>
          <w:b w:val="0"/>
          <w:bCs w:val="0"/>
          <w:color w:val="1C1917"/>
          <w:sz w:val="21"/>
          <w:szCs w:val="21"/>
        </w:rPr>
        <w:t>Protection des données personnelles et financières : conformité à la réglementation ivoirienne sur la protection des données, consentement explicite pour toute donnée financière tierce utilisée par le SCG.</w:t>
      </w:r>
    </w:p>
    <w:p w14:paraId="77174EEE">
      <w:pPr>
        <w:pStyle w:val="16"/>
        <w:numPr>
          <w:ilvl w:val="0"/>
          <w:numId w:val="1"/>
        </w:numPr>
        <w:spacing w:after="80"/>
      </w:pPr>
      <w:r>
        <w:rPr>
          <w:rFonts w:ascii="Calibri" w:hAnsi="Calibri" w:eastAsia="Calibri" w:cs="Calibri"/>
          <w:b w:val="0"/>
          <w:bCs w:val="0"/>
          <w:color w:val="1C1917"/>
          <w:sz w:val="21"/>
          <w:szCs w:val="21"/>
        </w:rPr>
        <w:t>Maintenabilité par une équipe réduite : documentation systématique du code et des décisions d'architecture, couverture de tests maintenue au niveau au moins équivalent à la bêta (117 tests) à mesure que le périmètre grandit.</w:t>
      </w:r>
    </w:p>
    <w:p w14:paraId="2E22DC8E">
      <w:pPr>
        <w:pStyle w:val="16"/>
        <w:numPr>
          <w:ilvl w:val="0"/>
          <w:numId w:val="1"/>
        </w:numPr>
        <w:spacing w:after="80"/>
      </w:pPr>
      <w:r>
        <w:rPr>
          <w:rFonts w:ascii="Calibri" w:hAnsi="Calibri" w:eastAsia="Calibri" w:cs="Calibri"/>
          <w:b w:val="0"/>
          <w:bCs w:val="0"/>
          <w:color w:val="1C1917"/>
          <w:sz w:val="21"/>
          <w:szCs w:val="21"/>
        </w:rPr>
        <w:t>Le wallet interne ne peut être déployé qu'après validation réglementaire (agrément BCEAO) ou structuration d'un partenariat avec un établissement déjà agréé — aucun contournement.</w:t>
      </w:r>
    </w:p>
    <w:p>
      <w:r>
        <w:t>Positionnement finance : GWA ne concurrence pas les banques ni les IMF. Aucun module ne doit être formulé ou commercialisé comme un substitut bancaire ; le crédit et le décaissement relèvent exclusivement d'un établissement agréé partenaire (ou d'un agrément BCEAO propre, hors scope par défaut).</w:t>
      </w:r>
    </w:p>
    <w:p w14:paraId="6CD543D2">
      <w:pPr>
        <w:pStyle w:val="16"/>
        <w:numPr>
          <w:ilvl w:val="0"/>
          <w:numId w:val="1"/>
        </w:numPr>
        <w:spacing w:after="80"/>
      </w:pPr>
      <w:r>
        <w:rPr>
          <w:rFonts w:ascii="Calibri" w:hAnsi="Calibri" w:eastAsia="Calibri" w:cs="Calibri"/>
          <w:b w:val="0"/>
          <w:bCs w:val="0"/>
          <w:color w:val="1C1917"/>
          <w:sz w:val="21"/>
          <w:szCs w:val="21"/>
        </w:rPr>
        <w:t>Toute automatisation du SCG (météo, RCCM, données bancaires consenties) doit conserver un mode déclaratif de secours pour ne jamais bloquer le calcul du score en cas d'indisponibilité d'une source externe.</w:t>
      </w:r>
    </w:p>
    <w:p w14:paraId="52B08050">
      <w:pPr>
        <w:pStyle w:val="16"/>
        <w:numPr>
          <w:ilvl w:val="0"/>
          <w:numId w:val="1"/>
        </w:numPr>
        <w:spacing w:after="80"/>
      </w:pPr>
      <w:r>
        <w:rPr>
          <w:rFonts w:ascii="Calibri" w:hAnsi="Calibri" w:eastAsia="Calibri" w:cs="Calibri"/>
          <w:b w:val="0"/>
          <w:bCs w:val="0"/>
          <w:color w:val="1C1917"/>
          <w:sz w:val="21"/>
          <w:szCs w:val="21"/>
        </w:rPr>
        <w:t>L'expansion vers un nouveau pays ne se déclenche que si les critères de succès du marché domestique (Côte d'Ivoire) définis au §12 sont atteints.</w:t>
      </w:r>
    </w:p>
    <w:p w14:paraId="7775F0FF">
      <w:pPr>
        <w:pStyle w:val="2"/>
        <w:pBdr>
          <w:bottom w:val="single" w:color="1F5C2E" w:sz="8" w:space="4"/>
        </w:pBdr>
        <w:spacing w:before="400" w:after="200"/>
      </w:pPr>
      <w:r>
        <w:rPr>
          <w:rFonts w:ascii="Calibri" w:hAnsi="Calibri" w:eastAsia="Calibri" w:cs="Calibri"/>
          <w:b/>
          <w:bCs/>
          <w:color w:val="1F5C2E"/>
          <w:sz w:val="30"/>
          <w:szCs w:val="30"/>
        </w:rPr>
        <w:t>11. Livrables attendus</w:t>
      </w:r>
    </w:p>
    <w:p w14:paraId="5E5D7D22">
      <w:pPr>
        <w:pStyle w:val="4"/>
        <w:spacing w:before="240" w:after="120"/>
      </w:pPr>
      <w:r>
        <w:rPr>
          <w:rFonts w:ascii="Calibri" w:hAnsi="Calibri" w:eastAsia="Calibri" w:cs="Calibri"/>
          <w:b/>
          <w:bCs/>
          <w:color w:val="C27D10"/>
          <w:sz w:val="22"/>
          <w:szCs w:val="22"/>
        </w:rPr>
        <w:t>Plateforme technique</w:t>
      </w:r>
    </w:p>
    <w:p w14:paraId="0C4F4AC9">
      <w:pPr>
        <w:pStyle w:val="16"/>
        <w:numPr>
          <w:ilvl w:val="0"/>
          <w:numId w:val="1"/>
        </w:numPr>
        <w:spacing w:after="80"/>
      </w:pPr>
      <w:r>
        <w:rPr>
          <w:rFonts w:ascii="Calibri" w:hAnsi="Calibri" w:eastAsia="Calibri" w:cs="Calibri"/>
          <w:b w:val="0"/>
          <w:bCs w:val="0"/>
          <w:color w:val="1C1917"/>
          <w:sz w:val="21"/>
          <w:szCs w:val="21"/>
        </w:rPr>
        <w:t>Application mobile-first GWA (PWA) en production, multi-pays à partir de M+18.</w:t>
      </w:r>
    </w:p>
    <w:p w14:paraId="26BE9D9B">
      <w:pPr>
        <w:pStyle w:val="16"/>
        <w:numPr>
          <w:ilvl w:val="0"/>
          <w:numId w:val="1"/>
        </w:numPr>
        <w:spacing w:after="80"/>
      </w:pPr>
      <w:r>
        <w:rPr>
          <w:rFonts w:ascii="Calibri" w:hAnsi="Calibri" w:eastAsia="Calibri" w:cs="Calibri"/>
          <w:b w:val="0"/>
          <w:bCs w:val="0"/>
          <w:color w:val="1C1917"/>
          <w:sz w:val="21"/>
          <w:szCs w:val="21"/>
        </w:rPr>
        <w:t>API GWA documentée et versionnée, étendue aux modules G à Q.</w:t>
      </w:r>
    </w:p>
    <w:p w14:paraId="2DF01BCC">
      <w:pPr>
        <w:pStyle w:val="16"/>
        <w:numPr>
          <w:ilvl w:val="0"/>
          <w:numId w:val="1"/>
        </w:numPr>
        <w:spacing w:after="80"/>
      </w:pPr>
      <w:r>
        <w:rPr>
          <w:rFonts w:ascii="Calibri" w:hAnsi="Calibri" w:eastAsia="Calibri" w:cs="Calibri"/>
          <w:b w:val="0"/>
          <w:bCs w:val="0"/>
          <w:color w:val="1C1917"/>
          <w:sz w:val="21"/>
          <w:szCs w:val="21"/>
        </w:rPr>
        <w:t>Service SCG v3 avec grille de scoring bancaire automatisée par sources multiples.</w:t>
      </w:r>
    </w:p>
    <w:p w14:paraId="770C0BB7">
      <w:pPr>
        <w:pStyle w:val="16"/>
        <w:numPr>
          <w:ilvl w:val="0"/>
          <w:numId w:val="1"/>
        </w:numPr>
        <w:spacing w:after="80"/>
      </w:pPr>
      <w:r>
        <w:rPr>
          <w:rFonts w:ascii="Calibri" w:hAnsi="Calibri" w:eastAsia="Calibri" w:cs="Calibri"/>
          <w:b w:val="0"/>
          <w:bCs w:val="0"/>
          <w:color w:val="1C1917"/>
          <w:sz w:val="21"/>
          <w:szCs w:val="21"/>
        </w:rPr>
        <w:t>Module d'affacturage digital avec décaissement automatisé via API bancaire partenaire.</w:t>
      </w:r>
    </w:p>
    <w:p w14:paraId="0DACAEF5">
      <w:pPr>
        <w:pStyle w:val="16"/>
        <w:numPr>
          <w:ilvl w:val="0"/>
          <w:numId w:val="1"/>
        </w:numPr>
        <w:spacing w:after="80"/>
      </w:pPr>
      <w:r>
        <w:rPr>
          <w:rFonts w:ascii="Calibri" w:hAnsi="Calibri" w:eastAsia="Calibri" w:cs="Calibri"/>
          <w:b w:val="0"/>
          <w:bCs w:val="0"/>
          <w:color w:val="1C1917"/>
          <w:sz w:val="21"/>
          <w:szCs w:val="21"/>
        </w:rPr>
        <w:t>Back-office GWA complet : KPIs, modération, SCG détaillé, affacturage, gestion multi-pays.</w:t>
      </w:r>
    </w:p>
    <w:p w14:paraId="216E0AC9">
      <w:pPr>
        <w:pStyle w:val="16"/>
        <w:numPr>
          <w:ilvl w:val="0"/>
          <w:numId w:val="1"/>
        </w:numPr>
        <w:spacing w:after="80"/>
      </w:pPr>
      <w:r>
        <w:rPr>
          <w:rFonts w:ascii="Calibri" w:hAnsi="Calibri" w:eastAsia="Calibri" w:cs="Calibri"/>
          <w:b w:val="0"/>
          <w:bCs w:val="0"/>
          <w:color w:val="1C1917"/>
          <w:sz w:val="21"/>
          <w:szCs w:val="21"/>
        </w:rPr>
        <w:t>Module de traçabilité EUDR / Carbon Tracker pour les filières export.</w:t>
      </w:r>
    </w:p>
    <w:p w14:paraId="7E77FBDD">
      <w:pPr>
        <w:pStyle w:val="4"/>
        <w:spacing w:before="240" w:after="120"/>
      </w:pPr>
      <w:r>
        <w:rPr>
          <w:rFonts w:ascii="Calibri" w:hAnsi="Calibri" w:eastAsia="Calibri" w:cs="Calibri"/>
          <w:b/>
          <w:bCs/>
          <w:color w:val="C27D10"/>
          <w:sz w:val="22"/>
          <w:szCs w:val="22"/>
        </w:rPr>
        <w:t>Documentation</w:t>
      </w:r>
    </w:p>
    <w:p w14:paraId="4525CF1E">
      <w:pPr>
        <w:pStyle w:val="16"/>
        <w:numPr>
          <w:ilvl w:val="0"/>
          <w:numId w:val="1"/>
        </w:numPr>
        <w:spacing w:after="80"/>
      </w:pPr>
      <w:r>
        <w:rPr>
          <w:rFonts w:ascii="Calibri" w:hAnsi="Calibri" w:eastAsia="Calibri" w:cs="Calibri"/>
          <w:b w:val="0"/>
          <w:bCs w:val="0"/>
          <w:color w:val="1C1917"/>
          <w:sz w:val="21"/>
          <w:szCs w:val="21"/>
        </w:rPr>
        <w:t>Documentation technique et API à jour pour chaque module livré.</w:t>
      </w:r>
    </w:p>
    <w:p w14:paraId="7AA780E1">
      <w:pPr>
        <w:pStyle w:val="16"/>
        <w:numPr>
          <w:ilvl w:val="0"/>
          <w:numId w:val="1"/>
        </w:numPr>
        <w:spacing w:after="80"/>
      </w:pPr>
      <w:r>
        <w:rPr>
          <w:rFonts w:ascii="Calibri" w:hAnsi="Calibri" w:eastAsia="Calibri" w:cs="Calibri"/>
          <w:b w:val="0"/>
          <w:bCs w:val="0"/>
          <w:color w:val="1C1917"/>
          <w:sz w:val="21"/>
          <w:szCs w:val="21"/>
        </w:rPr>
        <w:t>Guide d'intégration à destination d'un partenaire financier (spécification de l'API d'affacturage).</w:t>
      </w:r>
    </w:p>
    <w:p w14:paraId="2E978957">
      <w:pPr>
        <w:pStyle w:val="16"/>
        <w:numPr>
          <w:ilvl w:val="0"/>
          <w:numId w:val="1"/>
        </w:numPr>
        <w:spacing w:after="80"/>
      </w:pPr>
      <w:r>
        <w:rPr>
          <w:rFonts w:ascii="Calibri" w:hAnsi="Calibri" w:eastAsia="Calibri" w:cs="Calibri"/>
          <w:b w:val="0"/>
          <w:bCs w:val="0"/>
          <w:color w:val="1C1917"/>
          <w:sz w:val="21"/>
          <w:szCs w:val="21"/>
        </w:rPr>
        <w:t>Guide d'expansion pays (checklist réglementaire, paiement, langue, devise).</w:t>
      </w:r>
    </w:p>
    <w:p w14:paraId="638E47ED">
      <w:pPr>
        <w:pStyle w:val="16"/>
        <w:numPr>
          <w:ilvl w:val="0"/>
          <w:numId w:val="1"/>
        </w:numPr>
        <w:spacing w:after="80"/>
      </w:pPr>
      <w:r>
        <w:rPr>
          <w:rFonts w:ascii="Calibri" w:hAnsi="Calibri" w:eastAsia="Calibri" w:cs="Calibri"/>
          <w:b w:val="0"/>
          <w:bCs w:val="0"/>
          <w:color w:val="1C1917"/>
          <w:sz w:val="21"/>
          <w:szCs w:val="21"/>
        </w:rPr>
        <w:t>Rapports de bêta et de bilan à M+12 et M+24 : indicateurs réels, écarts avec les objectifs, décisions d'ajustement.</w:t>
      </w:r>
    </w:p>
    <w:p w14:paraId="5E386860">
      <w:r>
        <w:br w:type="page"/>
      </w:r>
    </w:p>
    <w:p w14:paraId="20C22995">
      <w:pPr>
        <w:pStyle w:val="2"/>
        <w:pBdr>
          <w:bottom w:val="single" w:color="1F5C2E" w:sz="8" w:space="4"/>
        </w:pBdr>
        <w:spacing w:before="400" w:after="200"/>
      </w:pPr>
      <w:r>
        <w:rPr>
          <w:rFonts w:ascii="Calibri" w:hAnsi="Calibri" w:eastAsia="Calibri" w:cs="Calibri"/>
          <w:b/>
          <w:bCs/>
          <w:color w:val="1F5C2E"/>
          <w:sz w:val="30"/>
          <w:szCs w:val="30"/>
        </w:rPr>
        <w:t>12. Planning et jalons jusqu'à M+24</w:t>
      </w:r>
    </w:p>
    <w:tbl>
      <w:tblPr>
        <w:tblStyle w:val="15"/>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100"/>
        <w:gridCol w:w="5100"/>
      </w:tblGrid>
      <w:tr w14:paraId="5DB1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5C2E"/>
            <w:tcMar>
              <w:top w:w="80" w:type="dxa"/>
              <w:left w:w="100" w:type="dxa"/>
              <w:bottom w:w="80" w:type="dxa"/>
              <w:right w:w="100" w:type="dxa"/>
            </w:tcMar>
            <w:vAlign w:val="center"/>
          </w:tcPr>
          <w:p w14:paraId="5DCF7A98">
            <w:pPr>
              <w:spacing w:after="0"/>
            </w:pPr>
            <w:r>
              <w:rPr>
                <w:rFonts w:ascii="Calibri" w:hAnsi="Calibri" w:eastAsia="Calibri" w:cs="Calibri"/>
                <w:b/>
                <w:bCs/>
                <w:color w:val="FFFFFF"/>
                <w:sz w:val="18"/>
                <w:szCs w:val="18"/>
              </w:rPr>
              <w:t>Horizon</w:t>
            </w:r>
          </w:p>
        </w:tc>
        <w:tc>
          <w:tcPr>
            <w:tcW w:w="2100" w:type="dxa"/>
            <w:shd w:val="clear" w:color="auto" w:fill="1F5C2E"/>
            <w:tcMar>
              <w:top w:w="80" w:type="dxa"/>
              <w:left w:w="100" w:type="dxa"/>
              <w:bottom w:w="80" w:type="dxa"/>
              <w:right w:w="100" w:type="dxa"/>
            </w:tcMar>
            <w:vAlign w:val="center"/>
          </w:tcPr>
          <w:p w14:paraId="78E395E9">
            <w:pPr>
              <w:spacing w:after="0"/>
            </w:pPr>
            <w:r>
              <w:rPr>
                <w:rFonts w:ascii="Calibri" w:hAnsi="Calibri" w:eastAsia="Calibri" w:cs="Calibri"/>
                <w:b/>
                <w:bCs/>
                <w:color w:val="FFFFFF"/>
                <w:sz w:val="18"/>
                <w:szCs w:val="18"/>
              </w:rPr>
              <w:t>Période</w:t>
            </w:r>
          </w:p>
        </w:tc>
        <w:tc>
          <w:tcPr>
            <w:tcW w:w="5100" w:type="dxa"/>
            <w:shd w:val="clear" w:color="auto" w:fill="1F5C2E"/>
            <w:tcMar>
              <w:top w:w="80" w:type="dxa"/>
              <w:left w:w="100" w:type="dxa"/>
              <w:bottom w:w="80" w:type="dxa"/>
              <w:right w:w="100" w:type="dxa"/>
            </w:tcMar>
            <w:vAlign w:val="center"/>
          </w:tcPr>
          <w:p w14:paraId="3E5CC0FB">
            <w:pPr>
              <w:spacing w:after="0"/>
            </w:pPr>
            <w:r>
              <w:rPr>
                <w:rFonts w:ascii="Calibri" w:hAnsi="Calibri" w:eastAsia="Calibri" w:cs="Calibri"/>
                <w:b/>
                <w:bCs/>
                <w:color w:val="FFFFFF"/>
                <w:sz w:val="18"/>
                <w:szCs w:val="18"/>
              </w:rPr>
              <w:t>Jalons</w:t>
            </w:r>
          </w:p>
        </w:tc>
      </w:tr>
      <w:tr w14:paraId="6320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C4CA45E">
            <w:pPr>
              <w:spacing w:after="0"/>
            </w:pPr>
            <w:r>
              <w:rPr>
                <w:rFonts w:ascii="Calibri" w:hAnsi="Calibri" w:eastAsia="Calibri" w:cs="Calibri"/>
                <w:b w:val="0"/>
                <w:bCs w:val="0"/>
                <w:color w:val="1C1917"/>
                <w:sz w:val="19"/>
                <w:szCs w:val="19"/>
              </w:rPr>
              <w:t>M+1 à M+3</w:t>
            </w:r>
          </w:p>
        </w:tc>
        <w:tc>
          <w:tcPr>
            <w:tcW w:w="2100" w:type="dxa"/>
            <w:tcMar>
              <w:top w:w="80" w:type="dxa"/>
              <w:left w:w="100" w:type="dxa"/>
              <w:bottom w:w="80" w:type="dxa"/>
              <w:right w:w="100" w:type="dxa"/>
            </w:tcMar>
            <w:vAlign w:val="center"/>
          </w:tcPr>
          <w:p w14:paraId="132EC2D6">
            <w:pPr>
              <w:spacing w:after="0"/>
            </w:pPr>
            <w:r>
              <w:rPr>
                <w:rFonts w:ascii="Calibri" w:hAnsi="Calibri" w:eastAsia="Calibri" w:cs="Calibri"/>
                <w:b w:val="0"/>
                <w:bCs w:val="0"/>
                <w:color w:val="1C1917"/>
                <w:sz w:val="19"/>
                <w:szCs w:val="19"/>
              </w:rPr>
              <w:t>Oct. – Déc. 2026</w:t>
            </w:r>
          </w:p>
        </w:tc>
        <w:tc>
          <w:tcPr>
            <w:tcW w:w="5100" w:type="dxa"/>
            <w:tcMar>
              <w:top w:w="80" w:type="dxa"/>
              <w:left w:w="100" w:type="dxa"/>
              <w:bottom w:w="80" w:type="dxa"/>
              <w:right w:w="100" w:type="dxa"/>
            </w:tcMar>
            <w:vAlign w:val="center"/>
          </w:tcPr>
          <w:p w14:paraId="0DDE28B6">
            <w:pPr>
              <w:spacing w:after="0"/>
            </w:pPr>
            <w:r>
              <w:rPr>
                <w:rFonts w:ascii="Calibri" w:hAnsi="Calibri" w:eastAsia="Calibri" w:cs="Calibri"/>
                <w:b w:val="0"/>
                <w:bCs w:val="0"/>
                <w:color w:val="1C1917"/>
                <w:sz w:val="19"/>
                <w:szCs w:val="19"/>
              </w:rPr>
              <w:t>Exécution des Lots 1-3 du backlog bêta, stabilisation post-lancement, ouverture des discussions avec les premiers prospects bancaires.</w:t>
            </w:r>
          </w:p>
        </w:tc>
      </w:tr>
      <w:tr w14:paraId="73E4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4274791">
            <w:pPr>
              <w:spacing w:after="0"/>
            </w:pPr>
            <w:r>
              <w:rPr>
                <w:rFonts w:ascii="Calibri" w:hAnsi="Calibri" w:eastAsia="Calibri" w:cs="Calibri"/>
                <w:b w:val="0"/>
                <w:bCs w:val="0"/>
                <w:color w:val="1C1917"/>
                <w:sz w:val="19"/>
                <w:szCs w:val="19"/>
              </w:rPr>
              <w:t>M+4 à M+6</w:t>
            </w:r>
          </w:p>
        </w:tc>
        <w:tc>
          <w:tcPr>
            <w:tcW w:w="2100" w:type="dxa"/>
            <w:tcMar>
              <w:top w:w="80" w:type="dxa"/>
              <w:left w:w="100" w:type="dxa"/>
              <w:bottom w:w="80" w:type="dxa"/>
              <w:right w:w="100" w:type="dxa"/>
            </w:tcMar>
            <w:vAlign w:val="center"/>
          </w:tcPr>
          <w:p w14:paraId="46AA8357">
            <w:pPr>
              <w:spacing w:after="0"/>
            </w:pPr>
            <w:r>
              <w:rPr>
                <w:rFonts w:ascii="Calibri" w:hAnsi="Calibri" w:eastAsia="Calibri" w:cs="Calibri"/>
                <w:b w:val="0"/>
                <w:bCs w:val="0"/>
                <w:color w:val="1C1917"/>
                <w:sz w:val="19"/>
                <w:szCs w:val="19"/>
              </w:rPr>
              <w:t>Jan. – Mars 2027</w:t>
            </w:r>
          </w:p>
        </w:tc>
        <w:tc>
          <w:tcPr>
            <w:tcW w:w="5100" w:type="dxa"/>
            <w:tcMar>
              <w:top w:w="80" w:type="dxa"/>
              <w:left w:w="100" w:type="dxa"/>
              <w:bottom w:w="80" w:type="dxa"/>
              <w:right w:w="100" w:type="dxa"/>
            </w:tcMar>
            <w:vAlign w:val="center"/>
          </w:tcPr>
          <w:p w14:paraId="5087A019">
            <w:pPr>
              <w:spacing w:after="0"/>
            </w:pPr>
            <w:r>
              <w:rPr>
                <w:rFonts w:ascii="Calibri" w:hAnsi="Calibri" w:eastAsia="Calibri" w:cs="Calibri"/>
                <w:b w:val="0"/>
                <w:bCs w:val="0"/>
                <w:color w:val="1C1917"/>
                <w:sz w:val="19"/>
                <w:szCs w:val="19"/>
              </w:rPr>
              <w:t>Modules F (coopératives complètes) et A (KYC avancé) livrés, préparation du module D (affacturage automatisé).</w:t>
            </w:r>
          </w:p>
        </w:tc>
      </w:tr>
      <w:tr w14:paraId="14D7A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66F2D1B9">
            <w:pPr>
              <w:spacing w:after="0"/>
            </w:pPr>
            <w:r>
              <w:rPr>
                <w:rFonts w:ascii="Calibri" w:hAnsi="Calibri" w:eastAsia="Calibri" w:cs="Calibri"/>
                <w:b w:val="0"/>
                <w:bCs w:val="0"/>
                <w:color w:val="1C1917"/>
                <w:sz w:val="19"/>
                <w:szCs w:val="19"/>
              </w:rPr>
              <w:t>M+7 à M+9</w:t>
            </w:r>
          </w:p>
        </w:tc>
        <w:tc>
          <w:tcPr>
            <w:tcW w:w="2100" w:type="dxa"/>
            <w:tcMar>
              <w:top w:w="80" w:type="dxa"/>
              <w:left w:w="100" w:type="dxa"/>
              <w:bottom w:w="80" w:type="dxa"/>
              <w:right w:w="100" w:type="dxa"/>
            </w:tcMar>
            <w:vAlign w:val="center"/>
          </w:tcPr>
          <w:p w14:paraId="4D0CFDEB">
            <w:pPr>
              <w:spacing w:after="0"/>
            </w:pPr>
            <w:r>
              <w:rPr>
                <w:rFonts w:ascii="Calibri" w:hAnsi="Calibri" w:eastAsia="Calibri" w:cs="Calibri"/>
                <w:b w:val="0"/>
                <w:bCs w:val="0"/>
                <w:color w:val="1C1917"/>
                <w:sz w:val="19"/>
                <w:szCs w:val="19"/>
              </w:rPr>
              <w:t>Avr. – Juin 2027</w:t>
            </w:r>
          </w:p>
        </w:tc>
        <w:tc>
          <w:tcPr>
            <w:tcW w:w="5100" w:type="dxa"/>
            <w:tcMar>
              <w:top w:w="80" w:type="dxa"/>
              <w:left w:w="100" w:type="dxa"/>
              <w:bottom w:w="80" w:type="dxa"/>
              <w:right w:w="100" w:type="dxa"/>
            </w:tcMar>
            <w:vAlign w:val="center"/>
          </w:tcPr>
          <w:p w14:paraId="4A2BD749">
            <w:pPr>
              <w:spacing w:after="0"/>
            </w:pPr>
            <w:r>
              <w:rPr>
                <w:rFonts w:ascii="Calibri" w:hAnsi="Calibri" w:eastAsia="Calibri" w:cs="Calibri"/>
                <w:b w:val="0"/>
                <w:bCs w:val="0"/>
                <w:color w:val="1C1917"/>
                <w:sz w:val="19"/>
                <w:szCs w:val="19"/>
              </w:rPr>
              <w:t>Module G (B2B RFQ) livré, début du module E (SCG v3), préparation du dossier Seed, début de l'étude de marché Ghana (module Q).</w:t>
            </w:r>
          </w:p>
        </w:tc>
      </w:tr>
      <w:tr w14:paraId="32D6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C2BD05C">
            <w:pPr>
              <w:spacing w:after="0"/>
            </w:pPr>
            <w:r>
              <w:rPr>
                <w:rFonts w:ascii="Calibri" w:hAnsi="Calibri" w:eastAsia="Calibri" w:cs="Calibri"/>
                <w:b w:val="0"/>
                <w:bCs w:val="0"/>
                <w:color w:val="1C1917"/>
                <w:sz w:val="19"/>
                <w:szCs w:val="19"/>
              </w:rPr>
              <w:t>M+10 à M+12</w:t>
            </w:r>
          </w:p>
        </w:tc>
        <w:tc>
          <w:tcPr>
            <w:tcW w:w="2100" w:type="dxa"/>
            <w:tcMar>
              <w:top w:w="80" w:type="dxa"/>
              <w:left w:w="100" w:type="dxa"/>
              <w:bottom w:w="80" w:type="dxa"/>
              <w:right w:w="100" w:type="dxa"/>
            </w:tcMar>
            <w:vAlign w:val="center"/>
          </w:tcPr>
          <w:p w14:paraId="1DD9AE05">
            <w:pPr>
              <w:spacing w:after="0"/>
            </w:pPr>
            <w:r>
              <w:rPr>
                <w:rFonts w:ascii="Calibri" w:hAnsi="Calibri" w:eastAsia="Calibri" w:cs="Calibri"/>
                <w:b w:val="0"/>
                <w:bCs w:val="0"/>
                <w:color w:val="1C1917"/>
                <w:sz w:val="19"/>
                <w:szCs w:val="19"/>
              </w:rPr>
              <w:t>Juil. – Sept. 2027</w:t>
            </w:r>
          </w:p>
        </w:tc>
        <w:tc>
          <w:tcPr>
            <w:tcW w:w="5100" w:type="dxa"/>
            <w:tcMar>
              <w:top w:w="80" w:type="dxa"/>
              <w:left w:w="100" w:type="dxa"/>
              <w:bottom w:w="80" w:type="dxa"/>
              <w:right w:w="100" w:type="dxa"/>
            </w:tcMar>
            <w:vAlign w:val="center"/>
          </w:tcPr>
          <w:p w14:paraId="68DF796D">
            <w:pPr>
              <w:spacing w:after="0"/>
            </w:pPr>
            <w:r>
              <w:rPr>
                <w:rFonts w:ascii="Calibri" w:hAnsi="Calibri" w:eastAsia="Calibri" w:cs="Calibri"/>
                <w:b w:val="0"/>
                <w:bCs w:val="0"/>
                <w:color w:val="1C1917"/>
                <w:sz w:val="19"/>
                <w:szCs w:val="19"/>
              </w:rPr>
              <w:t>Signature du partenaire financier, module D en production (décaissement automatisé), module H (Formations) livré, bilan 12 mois.</w:t>
            </w:r>
          </w:p>
        </w:tc>
      </w:tr>
      <w:tr w14:paraId="4809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03B17F2">
            <w:pPr>
              <w:spacing w:after="0"/>
            </w:pPr>
            <w:r>
              <w:rPr>
                <w:rFonts w:ascii="Calibri" w:hAnsi="Calibri" w:eastAsia="Calibri" w:cs="Calibri"/>
                <w:b w:val="0"/>
                <w:bCs w:val="0"/>
                <w:color w:val="1C1917"/>
                <w:sz w:val="19"/>
                <w:szCs w:val="19"/>
              </w:rPr>
              <w:t>M+13 à M+15</w:t>
            </w:r>
          </w:p>
        </w:tc>
        <w:tc>
          <w:tcPr>
            <w:tcW w:w="2100" w:type="dxa"/>
            <w:tcMar>
              <w:top w:w="80" w:type="dxa"/>
              <w:left w:w="100" w:type="dxa"/>
              <w:bottom w:w="80" w:type="dxa"/>
              <w:right w:w="100" w:type="dxa"/>
            </w:tcMar>
            <w:vAlign w:val="center"/>
          </w:tcPr>
          <w:p w14:paraId="46400AE7">
            <w:pPr>
              <w:spacing w:after="0"/>
            </w:pPr>
            <w:r>
              <w:rPr>
                <w:rFonts w:ascii="Calibri" w:hAnsi="Calibri" w:eastAsia="Calibri" w:cs="Calibri"/>
                <w:b w:val="0"/>
                <w:bCs w:val="0"/>
                <w:color w:val="1C1917"/>
                <w:sz w:val="19"/>
                <w:szCs w:val="19"/>
              </w:rPr>
              <w:t>Oct. – Déc. 2027</w:t>
            </w:r>
          </w:p>
        </w:tc>
        <w:tc>
          <w:tcPr>
            <w:tcW w:w="5100" w:type="dxa"/>
            <w:tcMar>
              <w:top w:w="80" w:type="dxa"/>
              <w:left w:w="100" w:type="dxa"/>
              <w:bottom w:w="80" w:type="dxa"/>
              <w:right w:w="100" w:type="dxa"/>
            </w:tcMar>
            <w:vAlign w:val="center"/>
          </w:tcPr>
          <w:p w14:paraId="79F26671">
            <w:pPr>
              <w:spacing w:after="0"/>
            </w:pPr>
            <w:r>
              <w:rPr>
                <w:rFonts w:ascii="Calibri" w:hAnsi="Calibri" w:eastAsia="Calibri" w:cs="Calibri"/>
                <w:b w:val="0"/>
                <w:bCs w:val="0"/>
                <w:color w:val="1C1917"/>
                <w:sz w:val="19"/>
                <w:szCs w:val="19"/>
              </w:rPr>
              <w:t>Lancement pilote Ghana (module Q), décision Wallet (module N).</w:t>
            </w:r>
          </w:p>
        </w:tc>
      </w:tr>
      <w:tr w14:paraId="11EC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6BEF080">
            <w:pPr>
              <w:spacing w:after="0"/>
            </w:pPr>
            <w:r>
              <w:rPr>
                <w:rFonts w:ascii="Calibri" w:hAnsi="Calibri" w:eastAsia="Calibri" w:cs="Calibri"/>
                <w:b w:val="0"/>
                <w:bCs w:val="0"/>
                <w:color w:val="1C1917"/>
                <w:sz w:val="19"/>
                <w:szCs w:val="19"/>
              </w:rPr>
              <w:t>M+16 à M+18</w:t>
            </w:r>
          </w:p>
        </w:tc>
        <w:tc>
          <w:tcPr>
            <w:tcW w:w="2100" w:type="dxa"/>
            <w:tcMar>
              <w:top w:w="80" w:type="dxa"/>
              <w:left w:w="100" w:type="dxa"/>
              <w:bottom w:w="80" w:type="dxa"/>
              <w:right w:w="100" w:type="dxa"/>
            </w:tcMar>
            <w:vAlign w:val="center"/>
          </w:tcPr>
          <w:p w14:paraId="6EF42DB1">
            <w:pPr>
              <w:spacing w:after="0"/>
            </w:pPr>
            <w:r>
              <w:rPr>
                <w:rFonts w:ascii="Calibri" w:hAnsi="Calibri" w:eastAsia="Calibri" w:cs="Calibri"/>
                <w:b w:val="0"/>
                <w:bCs w:val="0"/>
                <w:color w:val="1C1917"/>
                <w:sz w:val="19"/>
                <w:szCs w:val="19"/>
              </w:rPr>
              <w:t>Jan. – Mars 2028</w:t>
            </w:r>
          </w:p>
        </w:tc>
        <w:tc>
          <w:tcPr>
            <w:tcW w:w="5100" w:type="dxa"/>
            <w:tcMar>
              <w:top w:w="80" w:type="dxa"/>
              <w:left w:w="100" w:type="dxa"/>
              <w:bottom w:w="80" w:type="dxa"/>
              <w:right w:w="100" w:type="dxa"/>
            </w:tcMar>
            <w:vAlign w:val="center"/>
          </w:tcPr>
          <w:p w14:paraId="768C09EB">
            <w:pPr>
              <w:spacing w:after="0"/>
            </w:pPr>
            <w:r>
              <w:rPr>
                <w:rFonts w:ascii="Calibri" w:hAnsi="Calibri" w:eastAsia="Calibri" w:cs="Calibri"/>
                <w:b w:val="0"/>
                <w:bCs w:val="0"/>
                <w:color w:val="1C1917"/>
                <w:sz w:val="19"/>
                <w:szCs w:val="19"/>
              </w:rPr>
              <w:t>Module M (EUDR/Carbon Tracker) en pilote, consolidation Ghana, préparation Sénégal.</w:t>
            </w:r>
          </w:p>
        </w:tc>
      </w:tr>
      <w:tr w14:paraId="2F95C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8D1CE90">
            <w:pPr>
              <w:spacing w:after="0"/>
            </w:pPr>
            <w:r>
              <w:rPr>
                <w:rFonts w:ascii="Calibri" w:hAnsi="Calibri" w:eastAsia="Calibri" w:cs="Calibri"/>
                <w:b w:val="0"/>
                <w:bCs w:val="0"/>
                <w:color w:val="1C1917"/>
                <w:sz w:val="19"/>
                <w:szCs w:val="19"/>
              </w:rPr>
              <w:t>M+19 à M+21</w:t>
            </w:r>
          </w:p>
        </w:tc>
        <w:tc>
          <w:tcPr>
            <w:tcW w:w="2100" w:type="dxa"/>
            <w:tcMar>
              <w:top w:w="80" w:type="dxa"/>
              <w:left w:w="100" w:type="dxa"/>
              <w:bottom w:w="80" w:type="dxa"/>
              <w:right w:w="100" w:type="dxa"/>
            </w:tcMar>
            <w:vAlign w:val="center"/>
          </w:tcPr>
          <w:p w14:paraId="308F30BE">
            <w:pPr>
              <w:spacing w:after="0"/>
            </w:pPr>
            <w:r>
              <w:rPr>
                <w:rFonts w:ascii="Calibri" w:hAnsi="Calibri" w:eastAsia="Calibri" w:cs="Calibri"/>
                <w:b w:val="0"/>
                <w:bCs w:val="0"/>
                <w:color w:val="1C1917"/>
                <w:sz w:val="19"/>
                <w:szCs w:val="19"/>
              </w:rPr>
              <w:t>Avr. – Juin 2028</w:t>
            </w:r>
          </w:p>
        </w:tc>
        <w:tc>
          <w:tcPr>
            <w:tcW w:w="5100" w:type="dxa"/>
            <w:tcMar>
              <w:top w:w="80" w:type="dxa"/>
              <w:left w:w="100" w:type="dxa"/>
              <w:bottom w:w="80" w:type="dxa"/>
              <w:right w:w="100" w:type="dxa"/>
            </w:tcMar>
            <w:vAlign w:val="center"/>
          </w:tcPr>
          <w:p w14:paraId="3C97F414">
            <w:pPr>
              <w:spacing w:after="0"/>
            </w:pPr>
            <w:r>
              <w:rPr>
                <w:rFonts w:ascii="Calibri" w:hAnsi="Calibri" w:eastAsia="Calibri" w:cs="Calibri"/>
                <w:b w:val="0"/>
                <w:bCs w:val="0"/>
                <w:color w:val="1C1917"/>
                <w:sz w:val="19"/>
                <w:szCs w:val="19"/>
              </w:rPr>
              <w:t>Lancement Sénégal, canal diaspora Europe en test, module O (logistique) si volume le justifie.</w:t>
            </w:r>
          </w:p>
        </w:tc>
      </w:tr>
      <w:tr w14:paraId="2852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0AB595AF">
            <w:pPr>
              <w:spacing w:after="0"/>
            </w:pPr>
            <w:r>
              <w:rPr>
                <w:rFonts w:ascii="Calibri" w:hAnsi="Calibri" w:eastAsia="Calibri" w:cs="Calibri"/>
                <w:b w:val="0"/>
                <w:bCs w:val="0"/>
                <w:color w:val="1C1917"/>
                <w:sz w:val="19"/>
                <w:szCs w:val="19"/>
              </w:rPr>
              <w:t>M+22 à M+24</w:t>
            </w:r>
          </w:p>
        </w:tc>
        <w:tc>
          <w:tcPr>
            <w:tcW w:w="2100" w:type="dxa"/>
            <w:tcMar>
              <w:top w:w="80" w:type="dxa"/>
              <w:left w:w="100" w:type="dxa"/>
              <w:bottom w:w="80" w:type="dxa"/>
              <w:right w:w="100" w:type="dxa"/>
            </w:tcMar>
            <w:vAlign w:val="center"/>
          </w:tcPr>
          <w:p w14:paraId="31F5B1BC">
            <w:pPr>
              <w:spacing w:after="0"/>
            </w:pPr>
            <w:r>
              <w:rPr>
                <w:rFonts w:ascii="Calibri" w:hAnsi="Calibri" w:eastAsia="Calibri" w:cs="Calibri"/>
                <w:b w:val="0"/>
                <w:bCs w:val="0"/>
                <w:color w:val="1C1917"/>
                <w:sz w:val="19"/>
                <w:szCs w:val="19"/>
              </w:rPr>
              <w:t>Juil. – Sept. 2028</w:t>
            </w:r>
          </w:p>
        </w:tc>
        <w:tc>
          <w:tcPr>
            <w:tcW w:w="5100" w:type="dxa"/>
            <w:tcMar>
              <w:top w:w="80" w:type="dxa"/>
              <w:left w:w="100" w:type="dxa"/>
              <w:bottom w:w="80" w:type="dxa"/>
              <w:right w:w="100" w:type="dxa"/>
            </w:tcMar>
            <w:vAlign w:val="center"/>
          </w:tcPr>
          <w:p w14:paraId="04341BB2">
            <w:pPr>
              <w:spacing w:after="0"/>
            </w:pPr>
            <w:r>
              <w:rPr>
                <w:rFonts w:ascii="Calibri" w:hAnsi="Calibri" w:eastAsia="Calibri" w:cs="Calibri"/>
                <w:b w:val="0"/>
                <w:bCs w:val="0"/>
                <w:color w:val="1C1917"/>
                <w:sz w:val="19"/>
                <w:szCs w:val="19"/>
              </w:rPr>
              <w:t>Bilan 24 mois, définition de la trajectoire 24-36 mois suivante.</w:t>
            </w:r>
          </w:p>
        </w:tc>
      </w:tr>
    </w:tbl>
    <w:p w14:paraId="21DBA560">
      <w:pPr>
        <w:pStyle w:val="2"/>
        <w:pBdr>
          <w:bottom w:val="single" w:color="1F5C2E" w:sz="8" w:space="4"/>
        </w:pBdr>
        <w:spacing w:before="400" w:after="200"/>
      </w:pPr>
      <w:r>
        <w:rPr>
          <w:rFonts w:ascii="Calibri" w:hAnsi="Calibri" w:eastAsia="Calibri" w:cs="Calibri"/>
          <w:b/>
          <w:bCs/>
          <w:color w:val="1F5C2E"/>
          <w:sz w:val="30"/>
          <w:szCs w:val="30"/>
        </w:rPr>
        <w:t>13. Gouvernance et suivi</w:t>
      </w:r>
    </w:p>
    <w:p w14:paraId="6D404A1A">
      <w:pPr>
        <w:pStyle w:val="16"/>
        <w:numPr>
          <w:ilvl w:val="0"/>
          <w:numId w:val="1"/>
        </w:numPr>
        <w:spacing w:after="80"/>
      </w:pPr>
      <w:r>
        <w:rPr>
          <w:rFonts w:ascii="Calibri" w:hAnsi="Calibri" w:eastAsia="Calibri" w:cs="Calibri"/>
          <w:b w:val="0"/>
          <w:bCs w:val="0"/>
          <w:color w:val="1C1917"/>
          <w:sz w:val="21"/>
          <w:szCs w:val="21"/>
        </w:rPr>
        <w:t>Revue trimestrielle obligatoire des indicateurs et jalons, avec réajustement documenté des échéances en cas d'écart aucun glissement silencieux.</w:t>
      </w:r>
    </w:p>
    <w:p w14:paraId="2DE19693">
      <w:pPr>
        <w:pStyle w:val="16"/>
        <w:numPr>
          <w:ilvl w:val="0"/>
          <w:numId w:val="1"/>
        </w:numPr>
        <w:spacing w:after="80"/>
      </w:pPr>
      <w:r>
        <w:rPr>
          <w:rFonts w:ascii="Calibri" w:hAnsi="Calibri" w:eastAsia="Calibri" w:cs="Calibri"/>
          <w:b w:val="0"/>
          <w:bCs w:val="0"/>
          <w:color w:val="1C1917"/>
          <w:sz w:val="21"/>
          <w:szCs w:val="21"/>
        </w:rPr>
        <w:t>Chaque module de Phase 2 (couche 6 et transverse du schéma §9) ne se déclenche que si son critère de dépendance explicite est vérifié, quelle que soit la pression calendaire.</w:t>
      </w:r>
    </w:p>
    <w:p w14:paraId="2FAFB190">
      <w:pPr>
        <w:pStyle w:val="16"/>
        <w:numPr>
          <w:ilvl w:val="0"/>
          <w:numId w:val="1"/>
        </w:numPr>
        <w:spacing w:after="80"/>
      </w:pPr>
      <w:r>
        <w:rPr>
          <w:rFonts w:ascii="Calibri" w:hAnsi="Calibri" w:eastAsia="Calibri" w:cs="Calibri"/>
          <w:b w:val="0"/>
          <w:bCs w:val="0"/>
          <w:color w:val="1C1917"/>
          <w:sz w:val="21"/>
          <w:szCs w:val="21"/>
        </w:rPr>
        <w:t>Ce document est révisé à M+12 pour produire la spécification 24-36 mois, sur la base des résultats réels.</w:t>
      </w:r>
    </w:p>
    <w:p w14:paraId="2996C240">
      <w:pPr>
        <w:pStyle w:val="16"/>
        <w:numPr>
          <w:ilvl w:val="0"/>
          <w:numId w:val="1"/>
        </w:numPr>
        <w:spacing w:after="80"/>
      </w:pPr>
      <w:r>
        <w:rPr>
          <w:rFonts w:ascii="Calibri" w:hAnsi="Calibri" w:eastAsia="Calibri" w:cs="Calibri"/>
          <w:b w:val="0"/>
          <w:bCs w:val="0"/>
          <w:color w:val="1C1917"/>
          <w:sz w:val="21"/>
          <w:szCs w:val="21"/>
        </w:rPr>
        <w:t>Toute évolution de périmètre (nouvelle filière, nouveau pays hors ceux listés, nouveau produit financier) doit être documentée et validée avant intégration cohérence avec la discipline de sco</w:t>
      </w:r>
      <w:bookmarkStart w:id="0" w:name="_GoBack"/>
      <w:bookmarkEnd w:id="0"/>
      <w:r>
        <w:rPr>
          <w:rFonts w:ascii="Calibri" w:hAnsi="Calibri" w:eastAsia="Calibri" w:cs="Calibri"/>
          <w:b w:val="0"/>
          <w:bCs w:val="0"/>
          <w:color w:val="1C1917"/>
          <w:sz w:val="21"/>
          <w:szCs w:val="21"/>
        </w:rPr>
        <w:t>pe déjà appliquée sur la bêta.</w:t>
      </w:r>
    </w:p>
    <w:p w14:paraId="3A530812">
      <w:pPr>
        <w:pBdr>
          <w:top w:val="single" w:color="D9D9D9" w:sz="4" w:space="8"/>
        </w:pBdr>
        <w:spacing w:before="500"/>
      </w:pPr>
      <w:r>
        <w:rPr>
          <w:rFonts w:ascii="Calibri" w:hAnsi="Calibri" w:eastAsia="Calibri" w:cs="Calibri"/>
          <w:i/>
          <w:iCs/>
          <w:color w:val="666666"/>
          <w:sz w:val="16"/>
          <w:szCs w:val="16"/>
        </w:rPr>
        <w:t>KOUAME Corporation — Abidjan-Cocody Angré, lot 1232 · kouamecorporation@gmail.com · +225 05 85 82 79 37</w:t>
      </w:r>
    </w:p>
    <w:sectPr>
      <w:headerReference r:id="rId3" w:type="default"/>
      <w:footerReference r:id="rId4" w:type="default"/>
      <w:pgSz w:w="11906" w:h="16838"/>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5AB2B">
    <w:pPr>
      <w:jc w:val="center"/>
    </w:pPr>
    <w:r>
      <w:rPr>
        <w:rFonts w:ascii="Calibri" w:hAnsi="Calibri" w:eastAsia="Calibri" w:cs="Calibri"/>
        <w:color w:val="666666"/>
        <w:sz w:val="16"/>
        <w:szCs w:val="16"/>
      </w:rPr>
      <w:t xml:space="preserve">KOUAME Corporation — GWA · 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BDD57">
    <w:pPr>
      <w:pBdr>
        <w:bottom w:val="single" w:color="D9D9D9" w:sz="4" w:space="4"/>
      </w:pBdr>
    </w:pPr>
    <w:r>
      <w:rPr>
        <w:rFonts w:ascii="Calibri" w:hAnsi="Calibri" w:eastAsia="Calibri" w:cs="Calibri"/>
        <w:color w:val="666666"/>
        <w:sz w:val="16"/>
        <w:szCs w:val="16"/>
      </w:rPr>
      <w:t>GWA · KOUAME CORPORATIONCahier des charges complet — Objectifs 12/24 mois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40" w:hanging="220"/>
      </w:pPr>
      <w:rPr>
        <w:color w:val="1F5C2E"/>
      </w:rPr>
    </w:lvl>
    <w:lvl w:ilvl="1" w:tentative="0">
      <w:start w:val="1"/>
      <w:numFmt w:val="bullet"/>
      <w:lvlText w:val="○"/>
      <w:lvlJc w:val="left"/>
      <w:pPr>
        <w:ind w:left="680" w:hanging="220"/>
      </w:pPr>
      <w:rPr>
        <w:color w:val="C27D1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ompat>
    <w:compatSetting w:name="compatibilityMode" w:uri="http://schemas.microsoft.com/office/word" w:val="15"/>
  </w:compat>
  <w:rsids>
    <w:rsidRoot w:val="00000000"/>
    <w:rsid w:val="0F5203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sz w:val="20"/>
      <w:szCs w:val="20"/>
    </w:rPr>
  </w:style>
  <w:style w:type="paragraph" w:styleId="13">
    <w:name w:val="footnote text"/>
    <w:link w:val="17"/>
    <w:semiHidden/>
    <w:unhideWhenUsed/>
    <w:qFormat/>
    <w:uiPriority w:val="99"/>
    <w:pPr>
      <w:spacing w:after="0" w:line="240" w:lineRule="auto"/>
    </w:pPr>
    <w:rPr>
      <w:sz w:val="20"/>
      <w:szCs w:val="20"/>
    </w:rPr>
  </w:style>
  <w:style w:type="paragraph" w:styleId="14">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200</Words>
  <Characters>1178</Characters>
  <TotalTime>110</TotalTime>
  <ScaleCrop>false</ScaleCrop>
  <LinksUpToDate>false</LinksUpToDate>
  <CharactersWithSpaces>1348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2026-07-23T22:42:00Z</dcterms:created>
  <dc:creator>Un-named</dc:creator>
  <cp:lastModifiedBy>YAO KOUAME</cp:lastModifiedBy>
  <dcterms:modified xsi:type="dcterms:W3CDTF">2026-07-24T04:32:47Z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eyJoZGlkIjoiOGEyYTYwMTJjMTdiMWE3YTAwMmQ5Y2VkZjExMWQ3ZTYiLCJ1c2VySWQiOiIxNjY0Nzc5NTgyOTUyNCJ9</vt:lpwstr>
  </property>
  <property fmtid="{D5CDD505-2E9C-101B-9397-08002B2CF9AE}" pid="3" name="KSOProductBuildVer">
    <vt:lpwstr>1036-12.1.0.26880</vt:lpwstr>
  </property>
  <property fmtid="{D5CDD505-2E9C-101B-9397-08002B2CF9AE}" pid="4" name="ICV">
    <vt:lpwstr>DEE4D6CA3F2845F5980666AF853558E2_12</vt:lpwstr>
  </property>
</Properties>
</file>