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Calibri" w:cs="Calibri" w:eastAsia="Calibri" w:hAnsi="Calibri"/>
          <w:b/>
          <w:bCs/>
          <w:color w:val="1F5C2E"/>
          <w:sz w:val="76"/>
          <w:szCs w:val="76"/>
        </w:rPr>
        <w:t xml:space="preserve">GWA</w:t>
      </w:r>
    </w:p>
    <w:p>
      <w:pPr>
        <w:spacing w:after="200" w:before="0"/>
        <w:jc w:val="center"/>
      </w:pPr>
      <w:r>
        <w:rPr>
          <w:rFonts w:ascii="Calibri" w:cs="Calibri" w:eastAsia="Calibri" w:hAnsi="Calibri"/>
          <w:i/>
          <w:iCs/>
          <w:color w:val="C27D10"/>
          <w:sz w:val="20"/>
          <w:szCs w:val="20"/>
        </w:rPr>
        <w:t xml:space="preserve">ɡwa · « Marché » en langue Anoh</w:t>
      </w:r>
    </w:p>
    <w:p>
      <w:pPr>
        <w:spacing w:after="500" w:before="0"/>
        <w:jc w:val="center"/>
      </w:pPr>
      <w:r>
        <w:rPr>
          <w:rFonts w:ascii="Calibri" w:cs="Calibri" w:eastAsia="Calibri" w:hAnsi="Calibri"/>
          <w:b/>
          <w:bCs/>
          <w:color w:val="1C1917"/>
          <w:sz w:val="44"/>
          <w:szCs w:val="44"/>
        </w:rPr>
        <w:t xml:space="preserve">BUSINESS PLAN</w:t>
      </w:r>
    </w:p>
    <w:p>
      <w:pPr>
        <w:spacing w:after="100" w:before="0"/>
        <w:jc w:val="center"/>
      </w:pPr>
      <w:r>
        <w:rPr>
          <w:rFonts w:ascii="Calibri" w:cs="Calibri" w:eastAsia="Calibri" w:hAnsi="Calibri"/>
          <w:b/>
          <w:bCs/>
          <w:color w:val="B3261E"/>
          <w:sz w:val="24"/>
          <w:szCs w:val="24"/>
        </w:rPr>
        <w:t xml:space="preserve">STRICTEMENT CONFIDENTIEL</w:t>
      </w:r>
    </w:p>
    <w:p>
      <w:pPr>
        <w:spacing w:after="500" w:before="0"/>
        <w:jc w:val="center"/>
      </w:pPr>
      <w:r>
        <w:rPr>
          <w:rFonts w:ascii="Calibri" w:cs="Calibri" w:eastAsia="Calibri" w:hAnsi="Calibri"/>
          <w:color w:val="666666"/>
          <w:sz w:val="20"/>
          <w:szCs w:val="20"/>
        </w:rPr>
        <w:t xml:space="preserve">Version du 23 juillet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shd w:fill="F5F5F0"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Entreprise</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KOUAME Corporation SASU — RCCM CI-ABJ-03-B17-00098</w:t>
            </w:r>
          </w:p>
        </w:tc>
      </w:tr>
      <w:tr>
        <w:tc>
          <w:tcPr>
            <w:tcW w:type="dxa" w:w="2400"/>
            <w:shd w:fill="F5F5F0"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Fondateur</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KOUAME YAO WILFRIED — Président Fondateur, CEO/CTO</w:t>
            </w:r>
          </w:p>
        </w:tc>
      </w:tr>
      <w:tr>
        <w:tc>
          <w:tcPr>
            <w:tcW w:type="dxa" w:w="2400"/>
            <w:shd w:fill="F5F5F0"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Contact</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kouamecorporation@gmail.com · +225 05 85 82 79 37</w:t>
            </w:r>
          </w:p>
        </w:tc>
      </w:tr>
      <w:tr>
        <w:tc>
          <w:tcPr>
            <w:tcW w:type="dxa" w:w="2400"/>
            <w:shd w:fill="F5F5F0"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Siège social</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Abidjan-Cocody, Angré, Carrefour les Oscars, Cité les Papayers, Lot 1232</w:t>
            </w:r>
          </w:p>
        </w:tc>
      </w:tr>
      <w:tr>
        <w:tc>
          <w:tcPr>
            <w:tcW w:type="dxa" w:w="2400"/>
            <w:shd w:fill="F5F5F0"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Priorité 12 mois</w:t>
            </w:r>
          </w:p>
        </w:tc>
        <w:tc>
          <w:tcPr>
            <w:tcW w:type="dxa" w:w="4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Commissions marketplace et abonnements SaaS comme sources de revenu prioritaires</w:t>
            </w:r>
          </w:p>
        </w:tc>
      </w:tr>
    </w:tbl>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Sommaire</w:t>
      </w:r>
    </w:p>
    <w:p>
      <w:pPr>
        <w:pStyle w:val="ListParagraph"/>
        <w:numPr>
          <w:ilvl w:val="0"/>
          <w:numId w:val="2"/>
        </w:numPr>
        <w:spacing w:after="80"/>
      </w:pPr>
      <w:r>
        <w:rPr>
          <w:rFonts w:ascii="Calibri" w:cs="Calibri" w:eastAsia="Calibri" w:hAnsi="Calibri"/>
          <w:b w:val="false"/>
          <w:bCs w:val="false"/>
          <w:color w:val="1C1917"/>
          <w:sz w:val="21"/>
          <w:szCs w:val="21"/>
        </w:rPr>
        <w:t xml:space="preserve">Executive Summary</w:t>
      </w:r>
    </w:p>
    <w:p>
      <w:pPr>
        <w:pStyle w:val="ListParagraph"/>
        <w:numPr>
          <w:ilvl w:val="1"/>
          <w:numId w:val="2"/>
        </w:numPr>
        <w:spacing w:after="60"/>
      </w:pPr>
      <w:r>
        <w:rPr>
          <w:rFonts w:ascii="Calibri" w:cs="Calibri" w:eastAsia="Calibri" w:hAnsi="Calibri"/>
          <w:color w:val="1C1917"/>
          <w:sz w:val="20"/>
          <w:szCs w:val="20"/>
        </w:rPr>
        <w:t xml:space="preserve">Activité</w:t>
      </w:r>
    </w:p>
    <w:p>
      <w:pPr>
        <w:pStyle w:val="ListParagraph"/>
        <w:numPr>
          <w:ilvl w:val="1"/>
          <w:numId w:val="2"/>
        </w:numPr>
        <w:spacing w:after="60"/>
      </w:pPr>
      <w:r>
        <w:rPr>
          <w:rFonts w:ascii="Calibri" w:cs="Calibri" w:eastAsia="Calibri" w:hAnsi="Calibri"/>
          <w:color w:val="1C1917"/>
          <w:sz w:val="20"/>
          <w:szCs w:val="20"/>
        </w:rPr>
        <w:t xml:space="preserve">L'équipe</w:t>
      </w:r>
    </w:p>
    <w:p>
      <w:pPr>
        <w:pStyle w:val="ListParagraph"/>
        <w:numPr>
          <w:ilvl w:val="1"/>
          <w:numId w:val="2"/>
        </w:numPr>
        <w:spacing w:after="60"/>
      </w:pPr>
      <w:r>
        <w:rPr>
          <w:rFonts w:ascii="Calibri" w:cs="Calibri" w:eastAsia="Calibri" w:hAnsi="Calibri"/>
          <w:color w:val="1C1917"/>
          <w:sz w:val="20"/>
          <w:szCs w:val="20"/>
        </w:rPr>
        <w:t xml:space="preserve">Marché</w:t>
      </w:r>
    </w:p>
    <w:p>
      <w:pPr>
        <w:pStyle w:val="ListParagraph"/>
        <w:numPr>
          <w:ilvl w:val="1"/>
          <w:numId w:val="2"/>
        </w:numPr>
        <w:spacing w:after="60"/>
      </w:pPr>
      <w:r>
        <w:rPr>
          <w:rFonts w:ascii="Calibri" w:cs="Calibri" w:eastAsia="Calibri" w:hAnsi="Calibri"/>
          <w:color w:val="1C1917"/>
          <w:sz w:val="20"/>
          <w:szCs w:val="20"/>
        </w:rPr>
        <w:t xml:space="preserve">Résultats prévisionnels</w:t>
      </w:r>
    </w:p>
    <w:p>
      <w:pPr>
        <w:pStyle w:val="ListParagraph"/>
        <w:numPr>
          <w:ilvl w:val="1"/>
          <w:numId w:val="2"/>
        </w:numPr>
        <w:spacing w:after="60"/>
      </w:pPr>
      <w:r>
        <w:rPr>
          <w:rFonts w:ascii="Calibri" w:cs="Calibri" w:eastAsia="Calibri" w:hAnsi="Calibri"/>
          <w:color w:val="1C1917"/>
          <w:sz w:val="20"/>
          <w:szCs w:val="20"/>
        </w:rPr>
        <w:t xml:space="preserve">Besoins/ financements</w:t>
      </w:r>
    </w:p>
    <w:p>
      <w:pPr>
        <w:pStyle w:val="ListParagraph"/>
        <w:numPr>
          <w:ilvl w:val="0"/>
          <w:numId w:val="2"/>
        </w:numPr>
        <w:spacing w:after="80"/>
      </w:pPr>
      <w:r>
        <w:rPr>
          <w:rFonts w:ascii="Calibri" w:cs="Calibri" w:eastAsia="Calibri" w:hAnsi="Calibri"/>
          <w:b w:val="false"/>
          <w:bCs w:val="false"/>
          <w:color w:val="1C1917"/>
          <w:sz w:val="21"/>
          <w:szCs w:val="21"/>
        </w:rPr>
        <w:t xml:space="preserve">I. La société</w:t>
      </w:r>
    </w:p>
    <w:p>
      <w:pPr>
        <w:pStyle w:val="ListParagraph"/>
        <w:numPr>
          <w:ilvl w:val="1"/>
          <w:numId w:val="2"/>
        </w:numPr>
        <w:spacing w:after="60"/>
      </w:pPr>
      <w:r>
        <w:rPr>
          <w:rFonts w:ascii="Calibri" w:cs="Calibri" w:eastAsia="Calibri" w:hAnsi="Calibri"/>
          <w:color w:val="1C1917"/>
          <w:sz w:val="20"/>
          <w:szCs w:val="20"/>
        </w:rPr>
        <w:t xml:space="preserve">1) Structure et actionnariat, siège social</w:t>
      </w:r>
    </w:p>
    <w:p>
      <w:pPr>
        <w:pStyle w:val="ListParagraph"/>
        <w:numPr>
          <w:ilvl w:val="1"/>
          <w:numId w:val="2"/>
        </w:numPr>
        <w:spacing w:after="60"/>
      </w:pPr>
      <w:r>
        <w:rPr>
          <w:rFonts w:ascii="Calibri" w:cs="Calibri" w:eastAsia="Calibri" w:hAnsi="Calibri"/>
          <w:color w:val="1C1917"/>
          <w:sz w:val="20"/>
          <w:szCs w:val="20"/>
        </w:rPr>
        <w:t xml:space="preserve">2) Présentation de la marque</w:t>
      </w:r>
    </w:p>
    <w:p>
      <w:pPr>
        <w:pStyle w:val="ListParagraph"/>
        <w:numPr>
          <w:ilvl w:val="1"/>
          <w:numId w:val="2"/>
        </w:numPr>
        <w:spacing w:after="60"/>
      </w:pPr>
      <w:r>
        <w:rPr>
          <w:rFonts w:ascii="Calibri" w:cs="Calibri" w:eastAsia="Calibri" w:hAnsi="Calibri"/>
          <w:color w:val="1C1917"/>
          <w:sz w:val="20"/>
          <w:szCs w:val="20"/>
        </w:rPr>
        <w:t xml:space="preserve">3) Histoire/ origines</w:t>
      </w:r>
    </w:p>
    <w:p>
      <w:pPr>
        <w:pStyle w:val="ListParagraph"/>
        <w:numPr>
          <w:ilvl w:val="1"/>
          <w:numId w:val="2"/>
        </w:numPr>
        <w:spacing w:after="60"/>
      </w:pPr>
      <w:r>
        <w:rPr>
          <w:rFonts w:ascii="Calibri" w:cs="Calibri" w:eastAsia="Calibri" w:hAnsi="Calibri"/>
          <w:color w:val="1C1917"/>
          <w:sz w:val="20"/>
          <w:szCs w:val="20"/>
        </w:rPr>
        <w:t xml:space="preserve">4) Equipe</w:t>
      </w:r>
    </w:p>
    <w:p>
      <w:pPr>
        <w:pStyle w:val="ListParagraph"/>
        <w:numPr>
          <w:ilvl w:val="1"/>
          <w:numId w:val="2"/>
        </w:numPr>
        <w:spacing w:after="60"/>
      </w:pPr>
      <w:r>
        <w:rPr>
          <w:rFonts w:ascii="Calibri" w:cs="Calibri" w:eastAsia="Calibri" w:hAnsi="Calibri"/>
          <w:color w:val="1C1917"/>
          <w:sz w:val="20"/>
          <w:szCs w:val="20"/>
        </w:rPr>
        <w:t xml:space="preserve">5) Pourquoi le présent business plan ?</w:t>
      </w:r>
    </w:p>
    <w:p>
      <w:pPr>
        <w:pStyle w:val="ListParagraph"/>
        <w:numPr>
          <w:ilvl w:val="0"/>
          <w:numId w:val="2"/>
        </w:numPr>
        <w:spacing w:after="80"/>
      </w:pPr>
      <w:r>
        <w:rPr>
          <w:rFonts w:ascii="Calibri" w:cs="Calibri" w:eastAsia="Calibri" w:hAnsi="Calibri"/>
          <w:b w:val="false"/>
          <w:bCs w:val="false"/>
          <w:color w:val="1C1917"/>
          <w:sz w:val="21"/>
          <w:szCs w:val="21"/>
        </w:rPr>
        <w:t xml:space="preserve">II. Vos produits et/ou services</w:t>
      </w:r>
    </w:p>
    <w:p>
      <w:pPr>
        <w:pStyle w:val="ListParagraph"/>
        <w:numPr>
          <w:ilvl w:val="0"/>
          <w:numId w:val="2"/>
        </w:numPr>
        <w:spacing w:after="80"/>
      </w:pPr>
      <w:r>
        <w:rPr>
          <w:rFonts w:ascii="Calibri" w:cs="Calibri" w:eastAsia="Calibri" w:hAnsi="Calibri"/>
          <w:b w:val="false"/>
          <w:bCs w:val="false"/>
          <w:color w:val="1C1917"/>
          <w:sz w:val="21"/>
          <w:szCs w:val="21"/>
        </w:rPr>
        <w:t xml:space="preserve">III. L'étude de marché</w:t>
      </w:r>
    </w:p>
    <w:p>
      <w:pPr>
        <w:pStyle w:val="ListParagraph"/>
        <w:numPr>
          <w:ilvl w:val="1"/>
          <w:numId w:val="2"/>
        </w:numPr>
        <w:spacing w:after="60"/>
      </w:pPr>
      <w:r>
        <w:rPr>
          <w:rFonts w:ascii="Calibri" w:cs="Calibri" w:eastAsia="Calibri" w:hAnsi="Calibri"/>
          <w:color w:val="1C1917"/>
          <w:sz w:val="20"/>
          <w:szCs w:val="20"/>
        </w:rPr>
        <w:t xml:space="preserve">1) Marché cible (généralités, segmentation, besoins, démographie)</w:t>
      </w:r>
    </w:p>
    <w:p>
      <w:pPr>
        <w:pStyle w:val="ListParagraph"/>
        <w:numPr>
          <w:ilvl w:val="1"/>
          <w:numId w:val="2"/>
        </w:numPr>
        <w:spacing w:after="60"/>
      </w:pPr>
      <w:r>
        <w:rPr>
          <w:rFonts w:ascii="Calibri" w:cs="Calibri" w:eastAsia="Calibri" w:hAnsi="Calibri"/>
          <w:color w:val="1C1917"/>
          <w:sz w:val="20"/>
          <w:szCs w:val="20"/>
        </w:rPr>
        <w:t xml:space="preserve">2) Concurrence</w:t>
      </w:r>
    </w:p>
    <w:p>
      <w:pPr>
        <w:pStyle w:val="ListParagraph"/>
        <w:numPr>
          <w:ilvl w:val="1"/>
          <w:numId w:val="2"/>
        </w:numPr>
        <w:spacing w:after="60"/>
      </w:pPr>
      <w:r>
        <w:rPr>
          <w:rFonts w:ascii="Calibri" w:cs="Calibri" w:eastAsia="Calibri" w:hAnsi="Calibri"/>
          <w:color w:val="1C1917"/>
          <w:sz w:val="20"/>
          <w:szCs w:val="20"/>
        </w:rPr>
        <w:t xml:space="preserve">3) Étude des coûts d'acquisition</w:t>
      </w:r>
    </w:p>
    <w:p>
      <w:pPr>
        <w:pStyle w:val="ListParagraph"/>
        <w:numPr>
          <w:ilvl w:val="1"/>
          <w:numId w:val="2"/>
        </w:numPr>
        <w:spacing w:after="60"/>
      </w:pPr>
      <w:r>
        <w:rPr>
          <w:rFonts w:ascii="Calibri" w:cs="Calibri" w:eastAsia="Calibri" w:hAnsi="Calibri"/>
          <w:color w:val="1C1917"/>
          <w:sz w:val="20"/>
          <w:szCs w:val="20"/>
        </w:rPr>
        <w:t xml:space="preserve">4) Étude des fournisseurs et approvisionnement</w:t>
      </w:r>
    </w:p>
    <w:p>
      <w:pPr>
        <w:pStyle w:val="ListParagraph"/>
        <w:numPr>
          <w:ilvl w:val="1"/>
          <w:numId w:val="2"/>
        </w:numPr>
        <w:spacing w:after="60"/>
      </w:pPr>
      <w:r>
        <w:rPr>
          <w:rFonts w:ascii="Calibri" w:cs="Calibri" w:eastAsia="Calibri" w:hAnsi="Calibri"/>
          <w:color w:val="1C1917"/>
          <w:sz w:val="20"/>
          <w:szCs w:val="20"/>
        </w:rPr>
        <w:t xml:space="preserve">5) Quelques chiffres</w:t>
      </w:r>
    </w:p>
    <w:p>
      <w:pPr>
        <w:pStyle w:val="ListParagraph"/>
        <w:numPr>
          <w:ilvl w:val="1"/>
          <w:numId w:val="2"/>
        </w:numPr>
        <w:spacing w:after="60"/>
      </w:pPr>
      <w:r>
        <w:rPr>
          <w:rFonts w:ascii="Calibri" w:cs="Calibri" w:eastAsia="Calibri" w:hAnsi="Calibri"/>
          <w:color w:val="1C1917"/>
          <w:sz w:val="20"/>
          <w:szCs w:val="20"/>
        </w:rPr>
        <w:t xml:space="preserve">6) Barrière à l'entrée du marché</w:t>
      </w:r>
    </w:p>
    <w:p>
      <w:pPr>
        <w:pStyle w:val="ListParagraph"/>
        <w:numPr>
          <w:ilvl w:val="1"/>
          <w:numId w:val="2"/>
        </w:numPr>
        <w:spacing w:after="60"/>
      </w:pPr>
      <w:r>
        <w:rPr>
          <w:rFonts w:ascii="Calibri" w:cs="Calibri" w:eastAsia="Calibri" w:hAnsi="Calibri"/>
          <w:color w:val="1C1917"/>
          <w:sz w:val="20"/>
          <w:szCs w:val="20"/>
        </w:rPr>
        <w:t xml:space="preserve">7) Réglementation</w:t>
      </w:r>
    </w:p>
    <w:p>
      <w:pPr>
        <w:pStyle w:val="ListParagraph"/>
        <w:numPr>
          <w:ilvl w:val="1"/>
          <w:numId w:val="2"/>
        </w:numPr>
        <w:spacing w:after="60"/>
      </w:pPr>
      <w:r>
        <w:rPr>
          <w:rFonts w:ascii="Calibri" w:cs="Calibri" w:eastAsia="Calibri" w:hAnsi="Calibri"/>
          <w:color w:val="1C1917"/>
          <w:sz w:val="20"/>
          <w:szCs w:val="20"/>
        </w:rPr>
        <w:t xml:space="preserve">8) SWOT</w:t>
      </w:r>
    </w:p>
    <w:p>
      <w:pPr>
        <w:pStyle w:val="ListParagraph"/>
        <w:numPr>
          <w:ilvl w:val="0"/>
          <w:numId w:val="2"/>
        </w:numPr>
        <w:spacing w:after="80"/>
      </w:pPr>
      <w:r>
        <w:rPr>
          <w:rFonts w:ascii="Calibri" w:cs="Calibri" w:eastAsia="Calibri" w:hAnsi="Calibri"/>
          <w:b w:val="false"/>
          <w:bCs w:val="false"/>
          <w:color w:val="1C1917"/>
          <w:sz w:val="21"/>
          <w:szCs w:val="21"/>
        </w:rPr>
        <w:t xml:space="preserve">IV. La stratégie</w:t>
      </w:r>
    </w:p>
    <w:p>
      <w:pPr>
        <w:pStyle w:val="ListParagraph"/>
        <w:numPr>
          <w:ilvl w:val="1"/>
          <w:numId w:val="2"/>
        </w:numPr>
        <w:spacing w:after="60"/>
      </w:pPr>
      <w:r>
        <w:rPr>
          <w:rFonts w:ascii="Calibri" w:cs="Calibri" w:eastAsia="Calibri" w:hAnsi="Calibri"/>
          <w:color w:val="1C1917"/>
          <w:sz w:val="20"/>
          <w:szCs w:val="20"/>
        </w:rPr>
        <w:t xml:space="preserve">1. Avantage concurrentiel</w:t>
      </w:r>
    </w:p>
    <w:p>
      <w:pPr>
        <w:pStyle w:val="ListParagraph"/>
        <w:numPr>
          <w:ilvl w:val="1"/>
          <w:numId w:val="2"/>
        </w:numPr>
        <w:spacing w:after="60"/>
      </w:pPr>
      <w:r>
        <w:rPr>
          <w:rFonts w:ascii="Calibri" w:cs="Calibri" w:eastAsia="Calibri" w:hAnsi="Calibri"/>
          <w:color w:val="1C1917"/>
          <w:sz w:val="20"/>
          <w:szCs w:val="20"/>
        </w:rPr>
        <w:t xml:space="preserve">2. Déclinaison des stratégies (offre, commerciale, partenariats, distribution, marketing, étapes, risques)</w:t>
      </w:r>
    </w:p>
    <w:p>
      <w:pPr>
        <w:pStyle w:val="ListParagraph"/>
        <w:numPr>
          <w:ilvl w:val="0"/>
          <w:numId w:val="2"/>
        </w:numPr>
        <w:spacing w:after="80"/>
      </w:pPr>
      <w:r>
        <w:rPr>
          <w:rFonts w:ascii="Calibri" w:cs="Calibri" w:eastAsia="Calibri" w:hAnsi="Calibri"/>
          <w:b w:val="false"/>
          <w:bCs w:val="false"/>
          <w:color w:val="1C1917"/>
          <w:sz w:val="21"/>
          <w:szCs w:val="21"/>
        </w:rPr>
        <w:t xml:space="preserve">V. Mise en œuvre opérationnelle</w:t>
      </w:r>
    </w:p>
    <w:p>
      <w:pPr>
        <w:pStyle w:val="ListParagraph"/>
        <w:numPr>
          <w:ilvl w:val="1"/>
          <w:numId w:val="2"/>
        </w:numPr>
        <w:spacing w:after="60"/>
      </w:pPr>
      <w:r>
        <w:rPr>
          <w:rFonts w:ascii="Calibri" w:cs="Calibri" w:eastAsia="Calibri" w:hAnsi="Calibri"/>
          <w:color w:val="1C1917"/>
          <w:sz w:val="20"/>
          <w:szCs w:val="20"/>
        </w:rPr>
        <w:t xml:space="preserve">1. Plan de développement</w:t>
      </w:r>
    </w:p>
    <w:p>
      <w:pPr>
        <w:pStyle w:val="ListParagraph"/>
        <w:numPr>
          <w:ilvl w:val="1"/>
          <w:numId w:val="2"/>
        </w:numPr>
        <w:spacing w:after="60"/>
      </w:pPr>
      <w:r>
        <w:rPr>
          <w:rFonts w:ascii="Calibri" w:cs="Calibri" w:eastAsia="Calibri" w:hAnsi="Calibri"/>
          <w:color w:val="1C1917"/>
          <w:sz w:val="20"/>
          <w:szCs w:val="20"/>
        </w:rPr>
        <w:t xml:space="preserve">2. Stratégie commerciale et de distribution</w:t>
      </w:r>
    </w:p>
    <w:p>
      <w:pPr>
        <w:pStyle w:val="ListParagraph"/>
        <w:numPr>
          <w:ilvl w:val="1"/>
          <w:numId w:val="2"/>
        </w:numPr>
        <w:spacing w:after="60"/>
      </w:pPr>
      <w:r>
        <w:rPr>
          <w:rFonts w:ascii="Calibri" w:cs="Calibri" w:eastAsia="Calibri" w:hAnsi="Calibri"/>
          <w:color w:val="1C1917"/>
          <w:sz w:val="20"/>
          <w:szCs w:val="20"/>
        </w:rPr>
        <w:t xml:space="preserve">3. Plan marketing et communication</w:t>
      </w:r>
    </w:p>
    <w:p>
      <w:pPr>
        <w:pStyle w:val="ListParagraph"/>
        <w:numPr>
          <w:ilvl w:val="1"/>
          <w:numId w:val="2"/>
        </w:numPr>
        <w:spacing w:after="60"/>
      </w:pPr>
      <w:r>
        <w:rPr>
          <w:rFonts w:ascii="Calibri" w:cs="Calibri" w:eastAsia="Calibri" w:hAnsi="Calibri"/>
          <w:color w:val="1C1917"/>
          <w:sz w:val="20"/>
          <w:szCs w:val="20"/>
        </w:rPr>
        <w:t xml:space="preserve">4. Plan de recrutement</w:t>
      </w:r>
    </w:p>
    <w:p>
      <w:pPr>
        <w:pStyle w:val="ListParagraph"/>
        <w:numPr>
          <w:ilvl w:val="1"/>
          <w:numId w:val="2"/>
        </w:numPr>
        <w:spacing w:after="60"/>
      </w:pPr>
      <w:r>
        <w:rPr>
          <w:rFonts w:ascii="Calibri" w:cs="Calibri" w:eastAsia="Calibri" w:hAnsi="Calibri"/>
          <w:color w:val="1C1917"/>
          <w:sz w:val="20"/>
          <w:szCs w:val="20"/>
        </w:rPr>
        <w:t xml:space="preserve">5. Ressources clés</w:t>
      </w:r>
    </w:p>
    <w:p>
      <w:pPr>
        <w:pStyle w:val="ListParagraph"/>
        <w:numPr>
          <w:ilvl w:val="1"/>
          <w:numId w:val="2"/>
        </w:numPr>
        <w:spacing w:after="60"/>
      </w:pPr>
      <w:r>
        <w:rPr>
          <w:rFonts w:ascii="Calibri" w:cs="Calibri" w:eastAsia="Calibri" w:hAnsi="Calibri"/>
          <w:color w:val="1C1917"/>
          <w:sz w:val="20"/>
          <w:szCs w:val="20"/>
        </w:rPr>
        <w:t xml:space="preserve">6. Fournisseurs/partenariats</w:t>
      </w:r>
    </w:p>
    <w:p>
      <w:pPr>
        <w:pStyle w:val="ListParagraph"/>
        <w:numPr>
          <w:ilvl w:val="0"/>
          <w:numId w:val="2"/>
        </w:numPr>
        <w:spacing w:after="80"/>
      </w:pPr>
      <w:r>
        <w:rPr>
          <w:rFonts w:ascii="Calibri" w:cs="Calibri" w:eastAsia="Calibri" w:hAnsi="Calibri"/>
          <w:b w:val="false"/>
          <w:bCs w:val="false"/>
          <w:color w:val="1C1917"/>
          <w:sz w:val="21"/>
          <w:szCs w:val="21"/>
        </w:rPr>
        <w:t xml:space="preserve">VI. Le plan financier</w:t>
      </w:r>
    </w:p>
    <w:p>
      <w:pPr>
        <w:pStyle w:val="ListParagraph"/>
        <w:numPr>
          <w:ilvl w:val="1"/>
          <w:numId w:val="2"/>
        </w:numPr>
        <w:spacing w:after="60"/>
      </w:pPr>
      <w:r>
        <w:rPr>
          <w:rFonts w:ascii="Calibri" w:cs="Calibri" w:eastAsia="Calibri" w:hAnsi="Calibri"/>
          <w:color w:val="1C1917"/>
          <w:sz w:val="20"/>
          <w:szCs w:val="20"/>
        </w:rPr>
        <w:t xml:space="preserve">I. HYPOTHESES</w:t>
      </w:r>
    </w:p>
    <w:p>
      <w:pPr>
        <w:pStyle w:val="ListParagraph"/>
        <w:numPr>
          <w:ilvl w:val="0"/>
          <w:numId w:val="2"/>
        </w:numPr>
        <w:spacing w:after="80"/>
      </w:pPr>
      <w:r>
        <w:rPr>
          <w:rFonts w:ascii="Calibri" w:cs="Calibri" w:eastAsia="Calibri" w:hAnsi="Calibri"/>
          <w:b w:val="false"/>
          <w:bCs w:val="false"/>
          <w:color w:val="1C1917"/>
          <w:sz w:val="21"/>
          <w:szCs w:val="21"/>
        </w:rPr>
        <w:t xml:space="preserve">Conclusion</w:t>
      </w:r>
    </w:p>
    <w:p>
      <w:pPr>
        <w:pStyle w:val="ListParagraph"/>
        <w:numPr>
          <w:ilvl w:val="0"/>
          <w:numId w:val="2"/>
        </w:numPr>
        <w:spacing w:after="80"/>
      </w:pPr>
      <w:r>
        <w:rPr>
          <w:rFonts w:ascii="Calibri" w:cs="Calibri" w:eastAsia="Calibri" w:hAnsi="Calibri"/>
          <w:b w:val="false"/>
          <w:bCs w:val="false"/>
          <w:color w:val="1C1917"/>
          <w:sz w:val="21"/>
          <w:szCs w:val="21"/>
        </w:rPr>
        <w:t xml:space="preserve">Annexes</w:t>
      </w:r>
    </w:p>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Executive Summary</w:t>
      </w:r>
    </w:p>
    <w:p>
      <w:pPr>
        <w:pStyle w:val="Heading3"/>
        <w:spacing w:after="120" w:before="240"/>
      </w:pPr>
      <w:r>
        <w:rPr>
          <w:rFonts w:ascii="Calibri" w:cs="Calibri" w:eastAsia="Calibri" w:hAnsi="Calibri"/>
          <w:b/>
          <w:bCs/>
          <w:color w:val="C27D10"/>
          <w:sz w:val="22"/>
          <w:szCs w:val="22"/>
        </w:rPr>
        <w:t xml:space="preserve">Activité</w:t>
      </w:r>
    </w:p>
    <w:p>
      <w:pPr>
        <w:spacing w:after="120" w:before="0"/>
        <w:jc w:val="left"/>
      </w:pPr>
      <w:r>
        <w:rPr>
          <w:rFonts w:ascii="Calibri" w:cs="Calibri" w:eastAsia="Calibri" w:hAnsi="Calibri"/>
          <w:b w:val="false"/>
          <w:bCs w:val="false"/>
          <w:i w:val="false"/>
          <w:iCs w:val="false"/>
          <w:color w:val="1C1917"/>
          <w:sz w:val="21"/>
          <w:szCs w:val="21"/>
        </w:rPr>
        <w:t xml:space="preserve">KOUAME Corporation développe GWA, une marketplace agricole mobile-first qui connecte producteurs, coopératives et acheteurs en Côte d'Ivoire. GWA sécurise chaque transaction par un Smart Escrow (paiement séquestré jusqu'à validation de livraison) et transforme l'activité commerciale en historique exploitable via un Score de Confiance (SCG) aligné sur les normes bancaires. Notre avantage : nous ne vendons pas qu'un accès au marché, nous construisons la confiance et la donnée qui débloquent, à terme, l'accès au crédit — un vide que les circuits informels laissent aujourd'hui béant pour les producteurs agricoles ivoiriens, et que les banques, loin d'être des concurrentes, sont les mieux placées pour combler à nos côtés une fois notre score de confiance disponible.</w:t>
      </w:r>
    </w:p>
    <w:p>
      <w:pPr>
        <w:pStyle w:val="Heading3"/>
        <w:spacing w:after="120" w:before="240"/>
      </w:pPr>
      <w:r>
        <w:rPr>
          <w:rFonts w:ascii="Calibri" w:cs="Calibri" w:eastAsia="Calibri" w:hAnsi="Calibri"/>
          <w:b/>
          <w:bCs/>
          <w:color w:val="C27D10"/>
          <w:sz w:val="22"/>
          <w:szCs w:val="22"/>
        </w:rPr>
        <w:t xml:space="preserve">L'équipe</w:t>
      </w:r>
    </w:p>
    <w:p>
      <w:pPr>
        <w:spacing w:after="120" w:before="0"/>
        <w:jc w:val="left"/>
      </w:pPr>
      <w:r>
        <w:rPr>
          <w:rFonts w:ascii="Calibri" w:cs="Calibri" w:eastAsia="Calibri" w:hAnsi="Calibri"/>
          <w:b w:val="false"/>
          <w:bCs w:val="false"/>
          <w:i w:val="false"/>
          <w:iCs w:val="false"/>
          <w:color w:val="1C1917"/>
          <w:sz w:val="21"/>
          <w:szCs w:val="21"/>
        </w:rPr>
        <w:t xml:space="preserve">GWA est porté par KOUAME YAO WILFRIED (Fondateur, CEO/CTO, formation EEA et entrepreneuriat, développeur fullstack autodidacte) et Makan DIABATE, recrutée comme Responsable Technique du Projet GWA (Master Systèmes d'Information et Génie Logiciel, ESATIC), qui a rejoint l'aventure via un contrat prévoyant une attribution de 3% du capital, activé dès la première levée de fonds — une équipe déjà constituée, pas une promesse de recrutement.</w:t>
      </w:r>
    </w:p>
    <w:p>
      <w:pPr>
        <w:pStyle w:val="Heading3"/>
        <w:spacing w:after="120" w:before="240"/>
      </w:pPr>
      <w:r>
        <w:rPr>
          <w:rFonts w:ascii="Calibri" w:cs="Calibri" w:eastAsia="Calibri" w:hAnsi="Calibri"/>
          <w:b/>
          <w:bCs/>
          <w:color w:val="C27D10"/>
          <w:sz w:val="22"/>
          <w:szCs w:val="22"/>
        </w:rPr>
        <w:t xml:space="preserve">Marché</w:t>
      </w:r>
    </w:p>
    <w:p>
      <w:pPr>
        <w:spacing w:after="120" w:before="0"/>
        <w:jc w:val="left"/>
      </w:pPr>
      <w:r>
        <w:rPr>
          <w:rFonts w:ascii="Calibri" w:cs="Calibri" w:eastAsia="Calibri" w:hAnsi="Calibri"/>
          <w:b w:val="false"/>
          <w:bCs w:val="false"/>
          <w:i w:val="false"/>
          <w:iCs w:val="false"/>
          <w:color w:val="1C1917"/>
          <w:sz w:val="21"/>
          <w:szCs w:val="21"/>
        </w:rPr>
        <w:t xml:space="preserve">La Côte d'Ivoire compte plus de 6 millions de producteurs agricoles et l'agriculture représente environ 25% du PIB national. GWA est déjà ancré avec la coopérative SIDONOBIEL (1 300+ producteurs, 44 sections) et vise, sur 12 mois, la structuration de plusieurs coopératives supplémentaires avant toute réplication géographique.</w:t>
      </w:r>
    </w:p>
    <w:p>
      <w:pPr>
        <w:pStyle w:val="Heading3"/>
        <w:spacing w:after="120" w:before="240"/>
      </w:pPr>
      <w:r>
        <w:rPr>
          <w:rFonts w:ascii="Calibri" w:cs="Calibri" w:eastAsia="Calibri" w:hAnsi="Calibri"/>
          <w:b/>
          <w:bCs/>
          <w:color w:val="C27D10"/>
          <w:sz w:val="22"/>
          <w:szCs w:val="22"/>
        </w:rPr>
        <w:t xml:space="preserve">Résultats prévisionnels</w:t>
      </w:r>
    </w:p>
    <w:p>
      <w:pPr>
        <w:spacing w:after="120" w:before="0"/>
        <w:jc w:val="left"/>
      </w:pPr>
      <w:r>
        <w:rPr>
          <w:rFonts w:ascii="Calibri" w:cs="Calibri" w:eastAsia="Calibri" w:hAnsi="Calibri"/>
          <w:b w:val="false"/>
          <w:bCs w:val="false"/>
          <w:i w:val="false"/>
          <w:iCs w:val="false"/>
          <w:color w:val="1C1917"/>
          <w:sz w:val="21"/>
          <w:szCs w:val="21"/>
        </w:rPr>
        <w:t xml:space="preserve">Sur les 12 prochains mois, GWA priorise deux sources de revenu maîtrisées et prévisibles : les commissions marketplace (0 à 8% selon le canal) et les abonnements SaaS (paliers FREE/STARTER/PRO/ENTERPRISE, déjà implémentés techniquement). L'affacturage digital reste un levier de différenciation produit mais n'est pas compté comme source de revenu significative avant l'automatisation bancaire, hors du périmètre des 12 premiers mois.</w:t>
      </w:r>
    </w:p>
    <w:p>
      <w:pPr>
        <w:pStyle w:val="Heading3"/>
        <w:spacing w:after="120" w:before="240"/>
      </w:pPr>
      <w:r>
        <w:rPr>
          <w:rFonts w:ascii="Calibri" w:cs="Calibri" w:eastAsia="Calibri" w:hAnsi="Calibri"/>
          <w:b/>
          <w:bCs/>
          <w:color w:val="C27D10"/>
          <w:sz w:val="22"/>
          <w:szCs w:val="22"/>
        </w:rPr>
        <w:t xml:space="preserve">Besoins / financements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800"/>
            <w:tcBorders>
              <w:top w:val="single" w:color="1F5C2E" w:sz="4"/>
              <w:left w:val="single" w:color="1F5C2E" w:sz="18"/>
              <w:bottom w:val="single" w:color="1F5C2E" w:sz="4"/>
              <w:right w:val="single" w:color="1F5C2E" w:sz="4"/>
            </w:tcBorders>
            <w:shd w:fill="EAF3EC" w:val="clear"/>
            <w:tcMar>
              <w:top w:type="dxa" w:w="140"/>
              <w:left w:type="dxa" w:w="160"/>
              <w:bottom w:type="dxa" w:w="140"/>
              <w:right w:type="dxa" w:w="160"/>
            </w:tcMar>
          </w:tcPr>
          <w:p>
            <w:pPr>
              <w:spacing w:after="0"/>
            </w:pPr>
            <w:r>
              <w:rPr>
                <w:rFonts w:ascii="Calibri" w:cs="Calibri" w:eastAsia="Calibri" w:hAnsi="Calibri"/>
                <w:b/>
                <w:bCs/>
                <w:color w:val="1F5C2E"/>
                <w:sz w:val="20"/>
                <w:szCs w:val="20"/>
              </w:rPr>
              <w:t xml:space="preserve">Seuil plancher de 50 M FCFA (déclenche l'activation contractuelle de l'équipe technique) — cible Seed de 150 M FCFA pour financer 18 mois d'exécution produit et commerciale, avec un modèle d'équipe capital-efficient dès aujourd'hui.</w:t>
            </w:r>
          </w:p>
        </w:tc>
      </w:tr>
    </w:tbl>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I. La société</w:t>
      </w:r>
    </w:p>
    <w:p>
      <w:pPr>
        <w:pStyle w:val="Heading2"/>
        <w:spacing w:after="160" w:before="320"/>
      </w:pPr>
      <w:r>
        <w:rPr>
          <w:rFonts w:ascii="Calibri" w:cs="Calibri" w:eastAsia="Calibri" w:hAnsi="Calibri"/>
          <w:b/>
          <w:bCs/>
          <w:color w:val="1F5C2E"/>
          <w:sz w:val="25"/>
          <w:szCs w:val="25"/>
        </w:rPr>
        <w:t xml:space="preserve">1) Structure et actionnariat, siège social</w:t>
      </w:r>
    </w:p>
    <w:p>
      <w:pPr>
        <w:spacing w:after="120" w:before="0"/>
        <w:jc w:val="left"/>
      </w:pPr>
      <w:r>
        <w:rPr>
          <w:rFonts w:ascii="Calibri" w:cs="Calibri" w:eastAsia="Calibri" w:hAnsi="Calibri"/>
          <w:b w:val="false"/>
          <w:bCs w:val="false"/>
          <w:i w:val="false"/>
          <w:iCs w:val="false"/>
          <w:color w:val="1C1917"/>
          <w:sz w:val="21"/>
          <w:szCs w:val="21"/>
        </w:rPr>
        <w:t xml:space="preserve">KOUAME Corporation est une Société par Actions Simplifiée Unipersonnelle (SASU) de droit ivoirien, au capital de 1 000 000 FCFA, immatriculée au RCCM d'Abidjan sous le numéro CI-ABJ-03-B17-00098. Son siège social est situé à Abidjan-Cocody, Angré, Carrefour les Oscars, Cité les Papayers, Lot 1232. La société est gouvernée par son Président Fondateur, KOUAME YAO WILFRIED, actionnaire unique à ce stade ; l'entreprise se structure pour accueillir des investisseurs externes lors de sa prochaine levée de fonds, avec une gouvernance qui s'élargira alors (comité de pilotage, conseil consultatif).</w:t>
      </w:r>
    </w:p>
    <w:p>
      <w:pPr>
        <w:pStyle w:val="Heading2"/>
        <w:spacing w:after="160" w:before="320"/>
      </w:pPr>
      <w:r>
        <w:rPr>
          <w:rFonts w:ascii="Calibri" w:cs="Calibri" w:eastAsia="Calibri" w:hAnsi="Calibri"/>
          <w:b/>
          <w:bCs/>
          <w:color w:val="1F5C2E"/>
          <w:sz w:val="25"/>
          <w:szCs w:val="25"/>
        </w:rPr>
        <w:t xml:space="preserve">2) Présentation de la marque</w:t>
      </w:r>
    </w:p>
    <w:p>
      <w:pPr>
        <w:spacing w:after="120" w:before="0"/>
        <w:jc w:val="left"/>
      </w:pPr>
      <w:r>
        <w:rPr>
          <w:rFonts w:ascii="Calibri" w:cs="Calibri" w:eastAsia="Calibri" w:hAnsi="Calibri"/>
          <w:b w:val="false"/>
          <w:bCs w:val="false"/>
          <w:i w:val="false"/>
          <w:iCs w:val="false"/>
          <w:color w:val="1C1917"/>
          <w:sz w:val="21"/>
          <w:szCs w:val="21"/>
        </w:rPr>
        <w:t xml:space="preserve">GWA — de « ɡwa », qui signifie « marché » en langue Anoh — porte une identité volontairement locale et accessible : une plateforme conçue pour des utilisateurs peu familiers du numérique autant que pour des acheteurs professionnels exigeants. L'identité visuelle (vert #1F5C2E, or #C27D10) évoque la terre et la récolte.</w:t>
      </w:r>
    </w:p>
    <w:p>
      <w:pPr>
        <w:pStyle w:val="Heading2"/>
        <w:spacing w:after="160" w:before="320"/>
      </w:pPr>
      <w:r>
        <w:rPr>
          <w:rFonts w:ascii="Calibri" w:cs="Calibri" w:eastAsia="Calibri" w:hAnsi="Calibri"/>
          <w:b/>
          <w:bCs/>
          <w:color w:val="1F5C2E"/>
          <w:sz w:val="25"/>
          <w:szCs w:val="25"/>
        </w:rPr>
        <w:t xml:space="preserve">3) Histoire / origines</w:t>
      </w:r>
    </w:p>
    <w:p>
      <w:pPr>
        <w:spacing w:after="120" w:before="0"/>
        <w:jc w:val="left"/>
      </w:pPr>
      <w:r>
        <w:rPr>
          <w:rFonts w:ascii="Calibri" w:cs="Calibri" w:eastAsia="Calibri" w:hAnsi="Calibri"/>
          <w:b w:val="false"/>
          <w:bCs w:val="false"/>
          <w:i w:val="false"/>
          <w:iCs w:val="false"/>
          <w:color w:val="1C1917"/>
          <w:sz w:val="21"/>
          <w:szCs w:val="21"/>
        </w:rPr>
        <w:t xml:space="preserve">Le projet GWA est né du constat direct, sur le terrain ivoirien, d'un déséquilibre structurel : des producteurs qui travaillent dur et perdent une part significative de leur récolte et de leur revenu potentiel faute de débouché fiable et d'accès au financement. KOUAME YAO WILFRIED, fondateur autodidacte formé en électronique et automatisme, a construit GWA en s'appuyant sur des partenariats terrain concrets — notamment avec la coopérative SIDONOBIEL à Aboisso — plutôt que sur une hypothèse de marché non vérifiée.</w:t>
      </w:r>
    </w:p>
    <w:p>
      <w:pPr>
        <w:pStyle w:val="Heading2"/>
        <w:spacing w:after="160" w:before="320"/>
      </w:pPr>
      <w:r>
        <w:rPr>
          <w:rFonts w:ascii="Calibri" w:cs="Calibri" w:eastAsia="Calibri" w:hAnsi="Calibri"/>
          <w:b/>
          <w:bCs/>
          <w:color w:val="1F5C2E"/>
          <w:sz w:val="25"/>
          <w:szCs w:val="25"/>
        </w:rPr>
        <w:t xml:space="preserve">4) Équipe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00"/>
      </w:tblGrid>
      <w:tr>
        <w:trPr>
          <w:tblHeader/>
        </w:trPr>
        <w:tc>
          <w:tcPr>
            <w:tcW w:type="dxa" w:w="2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Membre</w:t>
            </w:r>
          </w:p>
        </w:tc>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Rôle</w:t>
            </w:r>
          </w:p>
        </w:tc>
        <w:tc>
          <w:tcPr>
            <w:tcW w:type="dxa" w:w="3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Pourquoi cette équipe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KOUAME YAO WILFRIED</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Fondateur, CEO/CTO — vision produit, stratégie, développement</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Formation EEA + entrepreneuriat, développeur fullstack autodidacte, réseau international actif (Orange Corners NL, Techstars, YOUNGO, RINGO)</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Makan DIABATE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Responsable Technique du Projet GWA — architecture logicielle, supervision d'équipe technique, DevOps/CI-CD, sécurité</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Master Systèmes d'Information et Génie Logiciel (ESATIC) ; expérience concrète en architecture sécurisée et signature électronique (stage SNDI — RSA-2048, SHA-256, AES-256) ; gestion de projet Agile/Scrum (assistante projet GIZ/DynExcAfrica) ; stack complète (React, Next.js, Angular, Node.js, Java/Spring Boot, PHP/Laravel, Django, Docker/CI-CD)</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 stagiaires INP-HB (recrutement en cours)</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Développement Full-Stack Mobile et Backend/IA</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Convention de stage déjà signée avec l'INP-HB, renfort direct de l'équipe technique sur le sprint bêta</w:t>
            </w:r>
          </w:p>
        </w:tc>
      </w:tr>
    </w:tbl>
    <w:p>
      <w:pPr>
        <w:spacing w:after="120" w:before="0"/>
        <w:jc w:val="left"/>
      </w:pPr>
      <w:r>
        <w:rPr>
          <w:rFonts w:ascii="Calibri" w:cs="Calibri" w:eastAsia="Calibri" w:hAnsi="Calibri"/>
          <w:b w:val="false"/>
          <w:bCs w:val="false"/>
          <w:i/>
          <w:iCs/>
          <w:color w:val="1C1917"/>
          <w:sz w:val="21"/>
          <w:szCs w:val="21"/>
        </w:rPr>
        <w:t xml:space="preserve">Point de gouvernance à noter pour un investisseur : le contrat de Makan Diabate est actuellement suspendu (absence de trésorerie disponible), avec reprise automatique dès la première levée de fonds d'au moins 50 M FCFA, en échange d'une promesse d'attribution de 3% du capital social soumise à un plan de vesting. C'est une structure d'équipe capital-efficiente : la compétence technique senior est déjà sécurisée sans peser sur la trésorerie actuelle.</w:t>
      </w:r>
    </w:p>
    <w:p>
      <w:pPr>
        <w:pStyle w:val="Heading2"/>
        <w:spacing w:after="160" w:before="320"/>
      </w:pPr>
      <w:r>
        <w:rPr>
          <w:rFonts w:ascii="Calibri" w:cs="Calibri" w:eastAsia="Calibri" w:hAnsi="Calibri"/>
          <w:b/>
          <w:bCs/>
          <w:color w:val="1F5C2E"/>
          <w:sz w:val="25"/>
          <w:szCs w:val="25"/>
        </w:rPr>
        <w:t xml:space="preserve">5) Pourquoi le présent business plan ?</w:t>
      </w:r>
    </w:p>
    <w:p>
      <w:pPr>
        <w:spacing w:after="120" w:before="0"/>
        <w:jc w:val="left"/>
      </w:pPr>
      <w:r>
        <w:rPr>
          <w:rFonts w:ascii="Calibri" w:cs="Calibri" w:eastAsia="Calibri" w:hAnsi="Calibri"/>
          <w:b w:val="false"/>
          <w:bCs w:val="false"/>
          <w:i w:val="false"/>
          <w:iCs w:val="false"/>
          <w:color w:val="1C1917"/>
          <w:sz w:val="21"/>
          <w:szCs w:val="21"/>
        </w:rPr>
        <w:t xml:space="preserve">Ce document formalise, pour la première fois de façon exhaustive, la stratégie commerciale et financière de GWA à l'attention de partenaires financiers potentiels, en s'appuyant sur l'état réel du produit (bêta avancée déjà en production) plutôt que sur une projection théorique. Il vise à documenter précisément le modèle de revenu priorisé pour les 12 prochains mois : commissions et abonnements.</w:t>
      </w:r>
    </w:p>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II. Vos produits et/ou services</w:t>
      </w:r>
    </w:p>
    <w:p>
      <w:pPr>
        <w:spacing w:after="120" w:before="0"/>
        <w:jc w:val="left"/>
      </w:pPr>
      <w:r>
        <w:rPr>
          <w:rFonts w:ascii="Calibri" w:cs="Calibri" w:eastAsia="Calibri" w:hAnsi="Calibri"/>
          <w:b w:val="false"/>
          <w:bCs w:val="false"/>
          <w:i w:val="false"/>
          <w:iCs w:val="false"/>
          <w:color w:val="1C1917"/>
          <w:sz w:val="21"/>
          <w:szCs w:val="21"/>
        </w:rPr>
        <w:t xml:space="preserve">GWA est une application mobile-first (Android en priorité, PWA web) structurée autour de trois briques : Commerce, Confiance et Finance. Chaque brique se décline en modules fonctionnels précis, dont l'état d'avancement réel (production, bêta, à venir) est indiqué ci-dessous par transparence.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6900"/>
      </w:tblGrid>
      <w:tr>
        <w:trPr>
          <w:tblHeader/>
        </w:trPr>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Brique</w:t>
            </w:r>
          </w:p>
        </w:tc>
        <w:tc>
          <w:tcPr>
            <w:tcW w:type="dxa" w:w="6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Contenu</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Commerce</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Catalogue produits agricoles, feed social, messagerie directe acheteur-vendeur, Digest audio (restitution vocale du catalogue) — déjà en production.</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Confiance</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Smart Escrow : séquestre du paiement jusqu'à validation de livraison, éliminant le risque de non-paiement/non-livraison ; Score de Confiance GWA (SCG) aligné sur les 5 C du crédit bancaire.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Finance</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Affacturage digital adossé à l'escrow (avance sur facture) — brique de différenciation, activée progressivement au-delà des 12 premiers mois.</w:t>
            </w:r>
          </w:p>
        </w:tc>
      </w:tr>
    </w:tbl>
    <w:p>
      <w:pPr>
        <w:pStyle w:val="Heading2"/>
        <w:spacing w:after="160" w:before="320"/>
      </w:pPr>
      <w:r>
        <w:rPr>
          <w:rFonts w:ascii="Calibri" w:cs="Calibri" w:eastAsia="Calibri" w:hAnsi="Calibri"/>
          <w:b/>
          <w:bCs/>
          <w:color w:val="1F5C2E"/>
          <w:sz w:val="25"/>
          <w:szCs w:val="25"/>
        </w:rPr>
        <w:t xml:space="preserve">Détail des modules fonctionnels (F1 à F6)</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300"/>
        <w:gridCol w:w="1400"/>
      </w:tblGrid>
      <w:tr>
        <w:trPr>
          <w:tblHeader/>
        </w:trPr>
        <w:tc>
          <w:tcPr>
            <w:tcW w:type="dxa" w:w="1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Module</w:t>
            </w:r>
          </w:p>
        </w:tc>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Fonctionnalités</w:t>
            </w:r>
          </w:p>
        </w:tc>
        <w:tc>
          <w:tcPr>
            <w:tcW w:type="dxa" w:w="33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Bénéfice utilisateur concret</w:t>
            </w:r>
          </w:p>
        </w:tc>
        <w:tc>
          <w:tcPr>
            <w:tcW w:type="dxa" w:w="1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État</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F1 — Authentification &amp; profil</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Inscription par OTP téléphone, profils par type d'acteur (producteur, coopérative, acheteur, entreprise, étudiant, admin), KYC soft avec statuts et notifications</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Inscription en moins de 2 minutes, même en 3G ; confiance immédiate grâce à la vérification d'identité</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F2 — Catalogue &amp; marketplace</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Fiche produit (photos compressées, prix FCFA, stock, certifications), recherche et filtrage par zone/prix/volume, Digest audio du catalogue</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Visibilité directe sur un marché sans intermédiaire opaque ; accessible même aux utilisateurs peu à l'aise avec l'écrit (Digest vocal)</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F3 — Commande &amp; Smart Escrow</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Panier, 6 statuts de commande, paiement Mobile Money séquestré jusqu'à validation de livraison, facture numérique automatique</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Paiement garanti : le vendeur sait que l'argent existe déjà avant de livrer ; l'acheteur ne paie que si la livraison est confirmée</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Production (mise en production réelle du paiement en finalisation)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F4 — Score de Confiance (SCG)</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Grille bancaire à 5 dimensions (Character, Capacity, Capital, Collateral, Conditions), 13 sous-critères pondérés, seuils de bancabilité</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Un historique de vente devient, sans effort, un dossier de financement potentiel</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V1 en production, V2 packagée</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F5 — Messagerie &amp; notifications</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Chat 1-à-1, partage photo, conversion offre → commande, notifications push et SMS de secours</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Négociation directe et traçable, sans dépendre d'un intermédiaire</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F6 — Back-office</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Tableau de bord KPIs, modération, vue SCG détaillée, file de validation d'affacturage, export CSV</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Pilotage professionnel de la plateforme dès le premier jour, pas de gestion artisanale</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Production</w:t>
            </w:r>
          </w:p>
        </w:tc>
      </w:tr>
    </w:tbl>
    <w:p>
      <w:pPr>
        <w:pStyle w:val="Heading2"/>
        <w:spacing w:after="160" w:before="320"/>
      </w:pPr>
      <w:r>
        <w:rPr>
          <w:rFonts w:ascii="Calibri" w:cs="Calibri" w:eastAsia="Calibri" w:hAnsi="Calibri"/>
          <w:b/>
          <w:bCs/>
          <w:color w:val="1F5C2E"/>
          <w:sz w:val="25"/>
          <w:szCs w:val="25"/>
        </w:rPr>
        <w:t xml:space="preserve">Système d'abonnement (déjà implémenté techniquement)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400"/>
      </w:tblGrid>
      <w:tr>
        <w:trPr>
          <w:tblHeader/>
        </w:trPr>
        <w:tc>
          <w:tcPr>
            <w:tcW w:type="dxa" w:w="1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Palier</w:t>
            </w:r>
          </w:p>
        </w:tc>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Prix indicatif</w:t>
            </w:r>
          </w:p>
        </w:tc>
        <w:tc>
          <w:tcPr>
            <w:tcW w:type="dxa" w:w="5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Contenu</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FREE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Catalogue limité, commission standard, accès de base au SCG — sert de porte d'entrée sans friction</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STARTER</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3 000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Annonces illimitées, visibilité renforcée, commission légèrement réduite</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10 000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Coopératives et producteurs à volume : commission réduite (4%), tableau de bord SCG avancé, badge vérifié, accès prioritaire à l'affacturage</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ENTERPRISE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Sur devis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Acheteurs/exportateurs institutionnels : accès API, rapports personnalisés, gestion multi-utilisateurs</w:t>
            </w:r>
          </w:p>
        </w:tc>
      </w:tr>
    </w:tbl>
    <w:p>
      <w:pPr>
        <w:spacing w:after="120" w:before="0"/>
        <w:jc w:val="left"/>
      </w:pPr>
      <w:r>
        <w:rPr>
          <w:rFonts w:ascii="Calibri" w:cs="Calibri" w:eastAsia="Calibri" w:hAnsi="Calibri"/>
          <w:b w:val="false"/>
          <w:bCs w:val="false"/>
          <w:i w:val="false"/>
          <w:iCs w:val="false"/>
          <w:color w:val="1C1917"/>
          <w:sz w:val="21"/>
          <w:szCs w:val="21"/>
        </w:rPr>
        <w:t xml:space="preserve">Notre innovation ne réside pas dans un module isolé mais dans la combinaison : un producteur qui vend sur GWA construit, sans effort supplémentaire, un historique qui vaut aussi comme dossier de financement. Cible prioritaire : producteurs et coopératives agricoles structurées (RCCM) ; cible secondaire : acheteurs, transformateurs et exportateurs recherchant un approvisionnement tracé et fiable. Distribution exclusivement numérique via l'application, appuyée par un accompagnement terrain direct avec les coopératives partenaires.</w:t>
      </w:r>
    </w:p>
    <w:p>
      <w:pPr>
        <w:pStyle w:val="Heading1"/>
        <w:pBdr>
          <w:bottom w:val="single" w:color="1F5C2E" w:sz="8" w:space="4"/>
        </w:pBdr>
        <w:spacing w:after="200" w:before="400"/>
      </w:pPr>
      <w:r>
        <w:rPr>
          <w:rFonts w:ascii="Calibri" w:cs="Calibri" w:eastAsia="Calibri" w:hAnsi="Calibri"/>
          <w:b/>
          <w:bCs/>
          <w:color w:val="1F5C2E"/>
          <w:sz w:val="30"/>
          <w:szCs w:val="30"/>
        </w:rPr>
        <w:t xml:space="preserve">III. L'étude de marché</w:t>
      </w:r>
    </w:p>
    <w:p>
      <w:pPr>
        <w:pStyle w:val="Heading2"/>
        <w:spacing w:after="160" w:before="320"/>
      </w:pPr>
      <w:r>
        <w:rPr>
          <w:rFonts w:ascii="Calibri" w:cs="Calibri" w:eastAsia="Calibri" w:hAnsi="Calibri"/>
          <w:b/>
          <w:bCs/>
          <w:color w:val="1F5C2E"/>
          <w:sz w:val="25"/>
          <w:szCs w:val="25"/>
        </w:rPr>
        <w:t xml:space="preserve">1) Marché cible</w:t>
      </w:r>
    </w:p>
    <w:p>
      <w:pPr>
        <w:pStyle w:val="Heading3"/>
        <w:spacing w:after="120" w:before="240"/>
      </w:pPr>
      <w:r>
        <w:rPr>
          <w:rFonts w:ascii="Calibri" w:cs="Calibri" w:eastAsia="Calibri" w:hAnsi="Calibri"/>
          <w:b/>
          <w:bCs/>
          <w:color w:val="C27D10"/>
          <w:sz w:val="22"/>
          <w:szCs w:val="22"/>
        </w:rPr>
        <w:t xml:space="preserve">a) Généralités sur le marché</w:t>
      </w:r>
    </w:p>
    <w:p>
      <w:pPr>
        <w:spacing w:after="120" w:before="0"/>
        <w:jc w:val="left"/>
      </w:pPr>
      <w:r>
        <w:rPr>
          <w:rFonts w:ascii="Calibri" w:cs="Calibri" w:eastAsia="Calibri" w:hAnsi="Calibri"/>
          <w:b w:val="false"/>
          <w:bCs w:val="false"/>
          <w:i w:val="false"/>
          <w:iCs w:val="false"/>
          <w:color w:val="1C1917"/>
          <w:sz w:val="21"/>
          <w:szCs w:val="21"/>
        </w:rPr>
        <w:t xml:space="preserve">L'agriculture représente environ 25% du PIB ivoirien et emploie près des deux tiers de la population active du pays, avec plus de 6 millions de producteurs. Le secteur reste pénalisé par des pertes post-récolte élevées (20 à 40% selon les filières) et une quasi-absence d'accès au crédit formel pour les exploitations de petite taille.</w:t>
      </w:r>
    </w:p>
    <w:p>
      <w:pPr>
        <w:pStyle w:val="Heading3"/>
        <w:spacing w:after="120" w:before="240"/>
      </w:pPr>
      <w:r>
        <w:rPr>
          <w:rFonts w:ascii="Calibri" w:cs="Calibri" w:eastAsia="Calibri" w:hAnsi="Calibri"/>
          <w:b/>
          <w:bCs/>
          <w:color w:val="C27D10"/>
          <w:sz w:val="22"/>
          <w:szCs w:val="22"/>
        </w:rPr>
        <w:t xml:space="preserve">b) Segmentation du marché</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300"/>
      </w:tblGrid>
      <w:tr>
        <w:trPr>
          <w:tblHeader/>
        </w:trPr>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Client</w:t>
            </w:r>
          </w:p>
        </w:tc>
        <w:tc>
          <w:tcPr>
            <w:tcW w:type="dxa" w:w="3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Descriptif</w:t>
            </w:r>
          </w:p>
        </w:tc>
        <w:tc>
          <w:tcPr>
            <w:tcW w:type="dxa" w:w="33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Besoin</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Producteur individuel</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Exploitant agricole, filières vivrières (manioc, riz, cajou, etc.)</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Vendre à un prix juste, être payé de façon garantie, construire un historique valorisable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Coopérative agricole</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Structure organisée (type SIDONOBIEL), plusieurs centaines à milliers de membres</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Agréger et vendre en volume, financer son activité via l'affacturage, professionnaliser sa gestion</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Acheteur / transformateur / exportateur</w:t>
            </w:r>
          </w:p>
        </w:tc>
        <w:tc>
          <w:tcPr>
            <w:tcW w:type="dxa" w:w="3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Entreprise ou grossiste recherchant un approvisionnement régulier</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Fiabilité de l'approvisionnement, traçabilité, protection du paiement</w:t>
            </w:r>
          </w:p>
        </w:tc>
      </w:tr>
    </w:tbl>
    <w:p>
      <w:pPr>
        <w:pStyle w:val="Heading3"/>
        <w:spacing w:after="120" w:before="240"/>
      </w:pPr>
      <w:r>
        <w:rPr>
          <w:rFonts w:ascii="Calibri" w:cs="Calibri" w:eastAsia="Calibri" w:hAnsi="Calibri"/>
          <w:b/>
          <w:bCs/>
          <w:color w:val="C27D10"/>
          <w:sz w:val="22"/>
          <w:szCs w:val="22"/>
        </w:rPr>
        <w:t xml:space="preserve">c) Besoin à satisfaire de chaque segment — pourquoi cette segmentation</w:t>
      </w:r>
    </w:p>
    <w:p>
      <w:pPr>
        <w:spacing w:after="120" w:before="0"/>
        <w:jc w:val="left"/>
      </w:pPr>
      <w:r>
        <w:rPr>
          <w:rFonts w:ascii="Calibri" w:cs="Calibri" w:eastAsia="Calibri" w:hAnsi="Calibri"/>
          <w:b w:val="false"/>
          <w:bCs w:val="false"/>
          <w:i w:val="false"/>
          <w:iCs w:val="false"/>
          <w:color w:val="1C1917"/>
          <w:sz w:val="21"/>
          <w:szCs w:val="21"/>
        </w:rPr>
        <w:t xml:space="preserve">Ces trois segments partagent un besoin commun (confiance transactionnelle) mais des attentes différenciées : le producteur cherche un débouché et un premier accès au financement ; la coopérative cherche à professionnaliser sa gestion et à financer ses flux ; l'acheteur cherche la fiabilité. La segmentation guide directement la priorisation produit (F1-F6) et commerciale (onboarding coopérative en premier).</w:t>
      </w:r>
    </w:p>
    <w:p>
      <w:pPr>
        <w:pStyle w:val="Heading3"/>
        <w:spacing w:after="120" w:before="240"/>
      </w:pPr>
      <w:r>
        <w:rPr>
          <w:rFonts w:ascii="Calibri" w:cs="Calibri" w:eastAsia="Calibri" w:hAnsi="Calibri"/>
          <w:b/>
          <w:bCs/>
          <w:color w:val="C27D10"/>
          <w:sz w:val="22"/>
          <w:szCs w:val="22"/>
        </w:rPr>
        <w:t xml:space="preserve">Personas illustratifs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500"/>
      </w:tblGrid>
      <w:tr>
        <w:trPr>
          <w:tblHeader/>
        </w:trPr>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Persona</w:t>
            </w:r>
          </w:p>
        </w:tc>
        <w:tc>
          <w:tcPr>
            <w:tcW w:type="dxa" w:w="5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Situation et frein actuel</w:t>
            </w:r>
          </w:p>
        </w:tc>
        <w:tc>
          <w:tcPr>
            <w:tcW w:type="dxa" w:w="1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Palier GWA</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Kouassi, producteur de manioc à Aboisso</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Vend sa récolte à un intermédiaire à un prix imposé, sans garantie de paiement ; n'a jamais eu accès à un crédit bancaire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FREE puis STARTER</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SIDONOBIEL, coopérative (1 300+ producteurs)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Gère ses ventes de façon manuelle, cherche à financer l'achat groupé d'intrants avant la prochaine récolte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 — bénéficiaire pilote de l'affacturage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Aïcha, transformatrice/acheteuse à Abidjan</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 besoin d'un approvisionnement régulier et tracé pour son unité de transformation, perd du temps à sourcer via des contacts informels</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ENTERPRISE (à terme)</w:t>
            </w:r>
          </w:p>
        </w:tc>
      </w:tr>
    </w:tbl>
    <w:p>
      <w:pPr>
        <w:pStyle w:val="Heading3"/>
        <w:spacing w:after="120" w:before="240"/>
      </w:pPr>
      <w:r>
        <w:rPr>
          <w:rFonts w:ascii="Calibri" w:cs="Calibri" w:eastAsia="Calibri" w:hAnsi="Calibri"/>
          <w:b/>
          <w:bCs/>
          <w:color w:val="C27D10"/>
          <w:sz w:val="22"/>
          <w:szCs w:val="22"/>
        </w:rPr>
        <w:t xml:space="preserve">d) Démographie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2400"/>
      </w:tblGrid>
      <w:tr>
        <w:trPr>
          <w:tblHeader/>
        </w:trPr>
        <w:tc>
          <w:tcPr>
            <w:tcW w:type="dxa" w:w="17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Client</w:t>
            </w:r>
          </w:p>
        </w:tc>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Taille totale du marché</w:t>
            </w:r>
          </w:p>
        </w:tc>
        <w:tc>
          <w:tcPr>
            <w:tcW w:type="dxa" w:w="23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Marché adressable (12-24 mois)</w:t>
            </w:r>
          </w:p>
        </w:tc>
        <w:tc>
          <w:tcPr>
            <w:tcW w:type="dxa" w:w="2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Part visée (12 mois)</w:t>
            </w:r>
          </w:p>
        </w:tc>
      </w:tr>
      <w:tr>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Producteurs CI</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6 millions +</w:t>
            </w:r>
          </w:p>
        </w:tc>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Quelques dizaines de milliers via coopératives structurées</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Quelques milliers (base SIDONOBIEL + 2-3 nouvelles coopératives)</w:t>
            </w:r>
          </w:p>
        </w:tc>
      </w:tr>
      <w:tr>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Coopératives structurées (RCCM)</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Plusieurs milliers en CI</w:t>
            </w:r>
          </w:p>
        </w:tc>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Coopératives des filières riz/cajou/manioc accessibles par onboarding terrain</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 à 5 coopératives partenaires actives</w:t>
            </w:r>
          </w:p>
        </w:tc>
      </w:tr>
      <w:tr>
        <w:tc>
          <w:tcPr>
            <w:tcW w:type="dxa" w:w="17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Acheteurs / transformateurs</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Marché urbain + export</w:t>
            </w:r>
          </w:p>
        </w:tc>
        <w:tc>
          <w:tcPr>
            <w:tcW w:type="dxa" w:w="2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Acheteurs déjà en recherche de volumes tracés</w:t>
            </w:r>
          </w:p>
        </w:tc>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Quelques dizaines d'acheteurs réguliers</w:t>
            </w:r>
          </w:p>
        </w:tc>
      </w:tr>
    </w:tbl>
    <w:p>
      <w:pPr>
        <w:pStyle w:val="Heading3"/>
        <w:spacing w:after="120" w:before="240"/>
      </w:pPr>
      <w:r>
        <w:rPr>
          <w:rFonts w:ascii="Calibri" w:cs="Calibri" w:eastAsia="Calibri" w:hAnsi="Calibri"/>
          <w:b/>
          <w:bCs/>
          <w:color w:val="C27D10"/>
          <w:sz w:val="22"/>
          <w:szCs w:val="22"/>
        </w:rPr>
        <w:t xml:space="preserve">Objectifs commerciaux</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00"/>
      </w:tblGrid>
      <w:tr>
        <w:trPr>
          <w:tblHeader/>
        </w:trPr>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Objectif</w:t>
            </w:r>
          </w:p>
        </w:tc>
        <w:tc>
          <w:tcPr>
            <w:tcW w:type="dxa" w:w="3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Court terme (12 mois)</w:t>
            </w:r>
          </w:p>
        </w:tc>
        <w:tc>
          <w:tcPr>
            <w:tcW w:type="dxa" w:w="33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Long terme (24-36 mois)</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Profit</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Réduire la perte opérationnelle par la priorisation commissions + abonnements</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Approche de l'équilibre financier</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Croissance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5 000 utilisateurs actifs mensuels, 3-5 coopératives partenaires</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50 000 utilisateurs actifs, expansion à 2-3 pays</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Qualité</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Zéro incident de sécurité critique, taux de litige de commande maîtrisé</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Certification et conformité renforcées (multi-pays)</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Contribution au développement</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Sécurisation de débouchés pour 1 300+ producteurs SIDONOBIEL</w:t>
            </w:r>
          </w:p>
        </w:tc>
        <w:tc>
          <w:tcPr>
            <w:tcW w:type="dxa" w:w="33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Réplication du modèle à plusieurs milliers de producteurs supplémentaires</w:t>
            </w:r>
          </w:p>
        </w:tc>
      </w:tr>
    </w:tbl>
    <w:p>
      <w:r>
        <w:br w:type="page"/>
      </w:r>
    </w:p>
    <w:p>
      <w:pPr>
        <w:pStyle w:val="Heading2"/>
        <w:spacing w:after="160" w:before="320"/>
      </w:pPr>
      <w:r>
        <w:rPr>
          <w:rFonts w:ascii="Calibri" w:cs="Calibri" w:eastAsia="Calibri" w:hAnsi="Calibri"/>
          <w:b/>
          <w:bCs/>
          <w:color w:val="1F5C2E"/>
          <w:sz w:val="25"/>
          <w:szCs w:val="25"/>
        </w:rPr>
        <w:t xml:space="preserve">2) Concurrence</w:t>
      </w:r>
    </w:p>
    <w:p>
      <w:pPr>
        <w:pStyle w:val="Heading3"/>
        <w:spacing w:after="120" w:before="240"/>
      </w:pPr>
      <w:r>
        <w:rPr>
          <w:rFonts w:ascii="Calibri" w:cs="Calibri" w:eastAsia="Calibri" w:hAnsi="Calibri"/>
          <w:b/>
          <w:bCs/>
          <w:color w:val="C27D10"/>
          <w:sz w:val="22"/>
          <w:szCs w:val="22"/>
        </w:rPr>
        <w:t xml:space="preserve">a) Généralités</w:t>
      </w:r>
    </w:p>
    <w:p>
      <w:pPr>
        <w:spacing w:after="120" w:before="0"/>
        <w:jc w:val="left"/>
      </w:pPr>
      <w:r>
        <w:rPr>
          <w:rFonts w:ascii="Calibri" w:cs="Calibri" w:eastAsia="Calibri" w:hAnsi="Calibri"/>
          <w:b w:val="false"/>
          <w:bCs w:val="false"/>
          <w:i w:val="false"/>
          <w:iCs w:val="false"/>
          <w:color w:val="1C1917"/>
          <w:sz w:val="21"/>
          <w:szCs w:val="21"/>
        </w:rPr>
        <w:t xml:space="preserve">La concurrence de GWA n'est pas d'abord une autre application : c'est l'ensemble des pratiques actuelles (vente informelle, absence de financement) auxquelles les producteurs sont habitués. La bataille se joue autant sur l'adoption que sur la différenciation produit. Précision importante : les banques et institutions de microfinance ne sont pas des concurrentes de GWA — elles sont des partenaires potentiels pour l'affacturage digital (voir §IV.2.c), le SCG étant précisément conçu pour leur fournir une donnée qu'elles n'ont pas aujourd'hui.</w:t>
      </w:r>
    </w:p>
    <w:p>
      <w:pPr>
        <w:pStyle w:val="Heading3"/>
        <w:spacing w:after="120" w:before="240"/>
      </w:pPr>
      <w:r>
        <w:rPr>
          <w:rFonts w:ascii="Calibri" w:cs="Calibri" w:eastAsia="Calibri" w:hAnsi="Calibri"/>
          <w:b/>
          <w:bCs/>
          <w:color w:val="C27D10"/>
          <w:sz w:val="22"/>
          <w:szCs w:val="22"/>
        </w:rPr>
        <w:t xml:space="preserve">b) Analyse de la concurrence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tblGrid>
      <w:tr>
        <w:trPr>
          <w:tblHeader/>
        </w:trPr>
        <w:tc>
          <w:tcPr>
            <w:tcW w:type="dxa" w:w="2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Concurrent</w:t>
            </w:r>
          </w:p>
        </w:tc>
        <w:tc>
          <w:tcPr>
            <w:tcW w:type="dxa" w:w="2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Forces</w:t>
            </w:r>
          </w:p>
        </w:tc>
        <w:tc>
          <w:tcPr>
            <w:tcW w:type="dxa" w:w="2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Faiblesses</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Direct — circuits informels (intermédiaires, marchés physiques)</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Proximité, ancrage culturel, coûts d'entrée nuls</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Aucune traçabilité, aucune protection de paiement, aucune donnée exploitable pour le crédit</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Direct — applications agritech généralistes</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Interface moderne, parfois déjà déployées</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Pas de séquestre de paiement, pas de scoring de crédit, souvent multi-filières sans profondeur agricole</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Indirect — solutions de paiement mobile classiques sans escrow</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Adoption déjà large, marques connues (Mobile Money opérateurs)</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Aucun séquestre, aucune protection en cas de litige, pas de donnée de confiance construite</w:t>
            </w:r>
          </w:p>
        </w:tc>
      </w:tr>
    </w:tbl>
    <w:p>
      <w:pPr>
        <w:pStyle w:val="Heading3"/>
        <w:spacing w:after="120" w:before="240"/>
      </w:pPr>
      <w:r>
        <w:rPr>
          <w:rFonts w:ascii="Calibri" w:cs="Calibri" w:eastAsia="Calibri" w:hAnsi="Calibri"/>
          <w:b/>
          <w:bCs/>
          <w:color w:val="C27D10"/>
          <w:sz w:val="22"/>
          <w:szCs w:val="22"/>
        </w:rPr>
        <w:t xml:space="preserve">c) Mapping concurrentiel — 5 forces de Porter appliquées à GWA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Force de Porter</w:t>
            </w:r>
          </w:p>
        </w:tc>
        <w:tc>
          <w:tcPr>
            <w:tcW w:type="dxa" w:w="6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Évaluation pour GWA</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Intensité concurrentielle</w:t>
            </w:r>
          </w:p>
        </w:tc>
        <w:tc>
          <w:tcPr>
            <w:tcW w:type="dxa" w:w="6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Faible à moyenne — peu d'acteurs combinent commerce, escrow et scoring de crédit sur le marché ivoirien ; présence de concurrents indirects sur des fonctions isolées (paiement, catalogue simple).</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Pouvoir de négociation des clients</w:t>
            </w:r>
          </w:p>
        </w:tc>
        <w:tc>
          <w:tcPr>
            <w:tcW w:type="dxa" w:w="6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Élevé — les coopératives et acheteurs sont sensibles au prix et à la valeur perçue, d'où l'importance de la différenciation par la confiance (escrow) et le SCG.</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Pouvoir de négociation des fournisseurs</w:t>
            </w:r>
          </w:p>
        </w:tc>
        <w:tc>
          <w:tcPr>
            <w:tcW w:type="dxa" w:w="6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 — dépendance à Feexpay pour le paiement ; pluralité d'alternatives existantes (agrégateurs concurrents) limitant le risque de dépendance totale.</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Menace des nouveaux entrants</w:t>
            </w:r>
          </w:p>
        </w:tc>
        <w:tc>
          <w:tcPr>
            <w:tcW w:type="dxa" w:w="6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 — barrières technologiques et relationnelles (ancrage coopérative, données SCG accumulées) posées par GWA, mais des acteurs mieux capitalisés pourraient répliquer une partie du modèle.</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Menace des produits de substitution</w:t>
            </w:r>
          </w:p>
        </w:tc>
        <w:tc>
          <w:tcPr>
            <w:tcW w:type="dxa" w:w="6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Faible à moyenne — les circuits informels persistent par habitude, mais leur performance reste structurellement inférieure sur la protection de paiement et l'accès au crédit.</w:t>
            </w:r>
          </w:p>
        </w:tc>
      </w:tr>
    </w:tbl>
    <w:p>
      <w:pPr>
        <w:pStyle w:val="Heading2"/>
        <w:spacing w:after="160" w:before="320"/>
      </w:pPr>
      <w:r>
        <w:rPr>
          <w:rFonts w:ascii="Calibri" w:cs="Calibri" w:eastAsia="Calibri" w:hAnsi="Calibri"/>
          <w:b/>
          <w:bCs/>
          <w:color w:val="1F5C2E"/>
          <w:sz w:val="25"/>
          <w:szCs w:val="25"/>
        </w:rPr>
        <w:t xml:space="preserve">3) Étude des coûts d'acquisition</w:t>
      </w:r>
    </w:p>
    <w:p>
      <w:pPr>
        <w:spacing w:after="120" w:before="0"/>
        <w:jc w:val="left"/>
      </w:pPr>
      <w:r>
        <w:rPr>
          <w:rFonts w:ascii="Calibri" w:cs="Calibri" w:eastAsia="Calibri" w:hAnsi="Calibri"/>
          <w:b w:val="false"/>
          <w:bCs w:val="false"/>
          <w:i w:val="false"/>
          <w:iCs w:val="false"/>
          <w:color w:val="1C1917"/>
          <w:sz w:val="21"/>
          <w:szCs w:val="21"/>
        </w:rPr>
        <w:t xml:space="preserve">L'acquisition de GWA repose sur un onboarding terrain direct plutôt que sur de l'achat média — la logique inverse d'une marketplace grand public, cohérente avec un budget encore contraint avant la levée de fonds.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rPr>
          <w:tblHeader/>
        </w:trPr>
        <w:tc>
          <w:tcPr>
            <w:tcW w:type="dxa" w:w="2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Canal d'acquisition</w:t>
            </w:r>
          </w:p>
        </w:tc>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Coût estimé</w:t>
            </w:r>
          </w:p>
        </w:tc>
        <w:tc>
          <w:tcPr>
            <w:tcW w:type="dxa" w:w="3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Logique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Onboarding coopérative (visite terrain, démonstration, contrat)</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Coût principalement en temps équipe, pas en achat média</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Une coopérative signée apporte des dizaines de producteurs déjà organisés — coût d'acquisition par utilisateur très inférieur à une acquisition individuelle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Bouche-à-oreille intra-coopérative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Quasi nul</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Effet naturel une fois une coopérative onboardée et satisfaite du mécanisme de paiement garanti</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Relais institutionnels (ANADER, FIRCA)</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Coût de représentation/déplacement uniquement</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Crédibilité gratuite auprès des coopératives, sans budget de communication de masse</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Acquisition acheteurs (démarchage direct transformateurs/exportateurs)</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Coût commercial ciblé, à budgétiser selon les revenus réels</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Volume plus faible en nombre de comptes mais à forte valeur transactionnelle unitaire</w:t>
            </w:r>
          </w:p>
        </w:tc>
      </w:tr>
    </w:tbl>
    <w:p>
      <w:pPr>
        <w:spacing w:after="120" w:before="0"/>
        <w:jc w:val="left"/>
      </w:pPr>
      <w:r>
        <w:rPr>
          <w:rFonts w:ascii="Calibri" w:cs="Calibri" w:eastAsia="Calibri" w:hAnsi="Calibri"/>
          <w:b w:val="false"/>
          <w:bCs w:val="false"/>
          <w:i/>
          <w:iCs/>
          <w:color w:val="666666"/>
          <w:sz w:val="21"/>
          <w:szCs w:val="21"/>
        </w:rPr>
        <w:t xml:space="preserve">Le coût d'acquisition par utilisateur actif n'est pas encore mesuré à l'échelle (bêta en cours) ; il sera consolidé dès les premiers mois de la bêta publique et réinjecté dans la révision de ce document.</w:t>
      </w:r>
    </w:p>
    <w:p>
      <w:pPr>
        <w:pStyle w:val="Heading2"/>
        <w:spacing w:after="160" w:before="320"/>
      </w:pPr>
      <w:r>
        <w:rPr>
          <w:rFonts w:ascii="Calibri" w:cs="Calibri" w:eastAsia="Calibri" w:hAnsi="Calibri"/>
          <w:b/>
          <w:bCs/>
          <w:color w:val="1F5C2E"/>
          <w:sz w:val="25"/>
          <w:szCs w:val="25"/>
        </w:rPr>
        <w:t xml:space="preserve">4) Étude des fournisseurs et approvisionnement</w:t>
      </w:r>
    </w:p>
    <w:p>
      <w:pPr>
        <w:spacing w:after="120" w:before="0"/>
        <w:jc w:val="left"/>
      </w:pPr>
      <w:r>
        <w:rPr>
          <w:rFonts w:ascii="Calibri" w:cs="Calibri" w:eastAsia="Calibri" w:hAnsi="Calibri"/>
          <w:b w:val="false"/>
          <w:bCs w:val="false"/>
          <w:i w:val="false"/>
          <w:iCs w:val="false"/>
          <w:color w:val="1C1917"/>
          <w:sz w:val="21"/>
          <w:szCs w:val="21"/>
        </w:rPr>
        <w:t xml:space="preserve">GWA ne dépend pas de fournisseurs de matière première : ses « fournisseurs » sont des prestataires technologiques et financiers.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000"/>
      </w:tblGrid>
      <w:tr>
        <w:trPr>
          <w:tblHeader/>
        </w:trPr>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Fournisseur</w:t>
            </w:r>
          </w:p>
        </w:tc>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Produit / service</w:t>
            </w:r>
          </w:p>
        </w:tc>
        <w:tc>
          <w:tcPr>
            <w:tcW w:type="dxa" w:w="2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Conditions</w:t>
            </w:r>
          </w:p>
        </w:tc>
        <w:tc>
          <w:tcPr>
            <w:tcW w:type="dxa" w:w="2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Pourquoi ce fournisseur</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Feexpay</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Agrégateur de paiement Mobile Money et virement, socle du Smart Escrow</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Commission par transaction</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Couverture multi-opérateurs en une seule intégration, adapté au marché ivoirien</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Supabase / Vercel</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Base de données, hébergement, infrastructure</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Abonnement mensuel (~40-60 €/mois en bêta)</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Coût maîtrisé, scalabilité suffisante pour la phase actuelle</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OneSignal / Africa's Talking</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Notifications push et SMS (OTP, alertes)</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Facturation à l'usage</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Fiabilité en zone à connectivité limitée</w:t>
            </w:r>
          </w:p>
        </w:tc>
      </w:tr>
    </w:tbl>
    <w:p>
      <w:pPr>
        <w:pStyle w:val="Heading2"/>
        <w:spacing w:after="160" w:before="320"/>
      </w:pPr>
      <w:r>
        <w:rPr>
          <w:rFonts w:ascii="Calibri" w:cs="Calibri" w:eastAsia="Calibri" w:hAnsi="Calibri"/>
          <w:b/>
          <w:bCs/>
          <w:color w:val="1F5C2E"/>
          <w:sz w:val="25"/>
          <w:szCs w:val="25"/>
        </w:rPr>
        <w:t xml:space="preserve">5) Quelques chiffres</w:t>
      </w:r>
    </w:p>
    <w:p>
      <w:pPr>
        <w:spacing w:after="120" w:before="0"/>
        <w:jc w:val="left"/>
      </w:pPr>
      <w:r>
        <w:rPr>
          <w:rFonts w:ascii="Calibri" w:cs="Calibri" w:eastAsia="Calibri" w:hAnsi="Calibri"/>
          <w:b w:val="false"/>
          <w:bCs w:val="false"/>
          <w:i w:val="false"/>
          <w:iCs w:val="false"/>
          <w:color w:val="1C1917"/>
          <w:sz w:val="21"/>
          <w:szCs w:val="21"/>
        </w:rPr>
        <w:t xml:space="preserve">Grille de commission marketplace (revenu prioritaire n°1) : 0% sur la première vente, 4% pour une coopérative RCCM vérifiée, 5% par virement bancaire, 6% en Mobile Money standard, 8% à l'export sous conformité EUDR. Paliers d'abonnement (revenu prioritaire n°2, voir §VI) : FREE, STARTER, PRO, ENTERPRISE — fonctionnalité déjà implémentée techniquement dans la plateforme, restant à activer commercialement.</w:t>
      </w:r>
    </w:p>
    <w:p>
      <w:pPr>
        <w:pStyle w:val="Heading2"/>
        <w:spacing w:after="160" w:before="320"/>
      </w:pPr>
      <w:r>
        <w:rPr>
          <w:rFonts w:ascii="Calibri" w:cs="Calibri" w:eastAsia="Calibri" w:hAnsi="Calibri"/>
          <w:b/>
          <w:bCs/>
          <w:color w:val="1F5C2E"/>
          <w:sz w:val="25"/>
          <w:szCs w:val="25"/>
        </w:rPr>
        <w:t xml:space="preserve">6) Barrière à l'entrée du marché</w:t>
      </w:r>
    </w:p>
    <w:p>
      <w:pPr>
        <w:pStyle w:val="ListParagraph"/>
        <w:numPr>
          <w:ilvl w:val="0"/>
          <w:numId w:val="2"/>
        </w:numPr>
        <w:spacing w:after="80"/>
      </w:pPr>
      <w:r>
        <w:rPr>
          <w:rFonts w:ascii="Calibri" w:cs="Calibri" w:eastAsia="Calibri" w:hAnsi="Calibri"/>
          <w:b w:val="false"/>
          <w:bCs w:val="false"/>
          <w:color w:val="1C1917"/>
          <w:sz w:val="21"/>
          <w:szCs w:val="21"/>
        </w:rPr>
        <w:t xml:space="preserve">Ancrage terrain déjà réalisé (visite, contrat, base de données SIDONOBIEL) — un concurrent devrait reproduire ce travail relationnel, pas seulement le code.</w:t>
      </w:r>
    </w:p>
    <w:p>
      <w:pPr>
        <w:pStyle w:val="ListParagraph"/>
        <w:numPr>
          <w:ilvl w:val="0"/>
          <w:numId w:val="2"/>
        </w:numPr>
        <w:spacing w:after="80"/>
      </w:pPr>
      <w:r>
        <w:rPr>
          <w:rFonts w:ascii="Calibri" w:cs="Calibri" w:eastAsia="Calibri" w:hAnsi="Calibri"/>
          <w:b w:val="false"/>
          <w:bCs w:val="false"/>
          <w:color w:val="1C1917"/>
          <w:sz w:val="21"/>
          <w:szCs w:val="21"/>
        </w:rPr>
        <w:t xml:space="preserve">Profondeur de donnée SCG qui s'accumule transaction après transaction, rendant le score plus précis et donc plus difficile à égaler pour un nouvel entrant sans historique.</w:t>
      </w:r>
    </w:p>
    <w:p>
      <w:pPr>
        <w:pStyle w:val="ListParagraph"/>
        <w:numPr>
          <w:ilvl w:val="0"/>
          <w:numId w:val="2"/>
        </w:numPr>
        <w:spacing w:after="80"/>
      </w:pPr>
      <w:r>
        <w:rPr>
          <w:rFonts w:ascii="Calibri" w:cs="Calibri" w:eastAsia="Calibri" w:hAnsi="Calibri"/>
          <w:b w:val="false"/>
          <w:bCs w:val="false"/>
          <w:color w:val="1C1917"/>
          <w:sz w:val="21"/>
          <w:szCs w:val="21"/>
        </w:rPr>
        <w:t xml:space="preserve">Discipline de périmètre (agriculture exclusivement) qui construit une expertise sectorielle qu'une plateforme généraliste ne peut pas répliquer à qualité équivalente.</w:t>
      </w:r>
    </w:p>
    <w:p>
      <w:pPr>
        <w:pStyle w:val="Heading2"/>
        <w:spacing w:after="160" w:before="320"/>
      </w:pPr>
      <w:r>
        <w:rPr>
          <w:rFonts w:ascii="Calibri" w:cs="Calibri" w:eastAsia="Calibri" w:hAnsi="Calibri"/>
          <w:b/>
          <w:bCs/>
          <w:color w:val="1F5C2E"/>
          <w:sz w:val="25"/>
          <w:szCs w:val="25"/>
        </w:rPr>
        <w:t xml:space="preserve">7) Réglementation</w:t>
      </w:r>
    </w:p>
    <w:p>
      <w:pPr>
        <w:pStyle w:val="ListParagraph"/>
        <w:numPr>
          <w:ilvl w:val="0"/>
          <w:numId w:val="2"/>
        </w:numPr>
        <w:spacing w:after="80"/>
      </w:pPr>
      <w:r>
        <w:rPr>
          <w:rFonts w:ascii="Calibri" w:cs="Calibri" w:eastAsia="Calibri" w:hAnsi="Calibri"/>
          <w:b w:val="false"/>
          <w:bCs w:val="false"/>
          <w:color w:val="1C1917"/>
          <w:sz w:val="21"/>
          <w:szCs w:val="21"/>
        </w:rPr>
        <w:t xml:space="preserve">Loi ivoirienne n° 2013-450 du 19 juin 2013 relative à la protection des données à caractère personnel — encadre la collecte et le traitement des données utilisateurs et SCG.</w:t>
      </w:r>
    </w:p>
    <w:p>
      <w:pPr>
        <w:pStyle w:val="ListParagraph"/>
        <w:numPr>
          <w:ilvl w:val="0"/>
          <w:numId w:val="2"/>
        </w:numPr>
        <w:spacing w:after="80"/>
      </w:pPr>
      <w:r>
        <w:rPr>
          <w:rFonts w:ascii="Calibri" w:cs="Calibri" w:eastAsia="Calibri" w:hAnsi="Calibri"/>
          <w:b w:val="false"/>
          <w:bCs w:val="false"/>
          <w:color w:val="1C1917"/>
          <w:sz w:val="21"/>
          <w:szCs w:val="21"/>
        </w:rPr>
        <w:t xml:space="preserve">Cadre BCEAO/UEMOA applicable aux services de paiement et à tout mécanisme de financement (affacturage) — condition de toute automatisation du décaissement.</w:t>
      </w:r>
    </w:p>
    <w:p>
      <w:pPr>
        <w:pStyle w:val="ListParagraph"/>
        <w:numPr>
          <w:ilvl w:val="0"/>
          <w:numId w:val="2"/>
        </w:numPr>
        <w:spacing w:after="80"/>
      </w:pPr>
      <w:r>
        <w:rPr>
          <w:rFonts w:ascii="Calibri" w:cs="Calibri" w:eastAsia="Calibri" w:hAnsi="Calibri"/>
          <w:b w:val="false"/>
          <w:bCs w:val="false"/>
          <w:color w:val="1C1917"/>
          <w:sz w:val="21"/>
          <w:szCs w:val="21"/>
        </w:rPr>
        <w:t xml:space="preserve">Code du travail ivoirien (loi n° 2015-532 du 20 juillet 2015) — cadre des contrats de travail et des dispositifs de vesting mis en place avec l'équipe technique.</w:t>
      </w:r>
    </w:p>
    <w:p>
      <w:r>
        <w:br w:type="page"/>
      </w:r>
    </w:p>
    <w:p>
      <w:pPr>
        <w:pStyle w:val="Heading2"/>
        <w:spacing w:after="160" w:before="320"/>
      </w:pPr>
      <w:r>
        <w:rPr>
          <w:rFonts w:ascii="Calibri" w:cs="Calibri" w:eastAsia="Calibri" w:hAnsi="Calibri"/>
          <w:b/>
          <w:bCs/>
          <w:color w:val="1F5C2E"/>
          <w:sz w:val="25"/>
          <w:szCs w:val="25"/>
        </w:rPr>
        <w:t xml:space="preserve">8) SWOT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default"/>
            </w:r>
          </w:p>
        </w:tc>
        <w:tc>
          <w:tcPr>
            <w:tcW w:type="dxa" w:w="4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default"/>
            </w:r>
          </w:p>
        </w:tc>
      </w:tr>
      <w:tr>
        <w:tc>
          <w:tcPr>
            <w:tcW w:type="dxa" w:w="4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8"/>
                <w:szCs w:val="18"/>
              </w:rPr>
              <w:t xml:space="preserve">• Produit déjà en production (bêta avancée), pas un concept sur slide</w:t>
            </w:r>
          </w:p>
          <w:p>
            <w:pPr>
              <w:spacing w:after="0"/>
            </w:pPr>
            <w:r>
              <w:rPr>
                <w:rFonts w:ascii="Calibri" w:cs="Calibri" w:eastAsia="Calibri" w:hAnsi="Calibri"/>
                <w:b w:val="false"/>
                <w:bCs w:val="false"/>
                <w:color w:val="1C1917"/>
                <w:sz w:val="18"/>
                <w:szCs w:val="18"/>
              </w:rPr>
              <w:t xml:space="preserve">• Équipe technique senior déjà engagée, sécurisée par equity</w:t>
            </w:r>
          </w:p>
          <w:p>
            <w:pPr>
              <w:spacing w:after="0"/>
            </w:pPr>
            <w:r>
              <w:rPr>
                <w:rFonts w:ascii="Calibri" w:cs="Calibri" w:eastAsia="Calibri" w:hAnsi="Calibri"/>
                <w:b w:val="false"/>
                <w:bCs w:val="false"/>
                <w:color w:val="1C1917"/>
                <w:sz w:val="18"/>
                <w:szCs w:val="18"/>
              </w:rPr>
              <w:t xml:space="preserve">• Ancrage coopérative réel et vérifiable (SIDONOBIEL)</w:t>
            </w:r>
          </w:p>
          <w:p>
            <w:pPr>
              <w:spacing w:after="0"/>
            </w:pPr>
            <w:r>
              <w:rPr>
                <w:rFonts w:ascii="Calibri" w:cs="Calibri" w:eastAsia="Calibri" w:hAnsi="Calibri"/>
                <w:b w:val="false"/>
                <w:bCs w:val="false"/>
                <w:color w:val="1C1917"/>
                <w:sz w:val="18"/>
                <w:szCs w:val="18"/>
              </w:rPr>
              <w:t xml:space="preserve">• Digest audio différenciant pour l'inclusion numérique</w:t>
            </w:r>
          </w:p>
          <w:p>
            <w:pPr>
              <w:spacing w:after="0"/>
            </w:pPr>
            <w:r>
              <w:rPr>
                <w:rFonts w:ascii="Calibri" w:cs="Calibri" w:eastAsia="Calibri" w:hAnsi="Calibri"/>
                <w:b w:val="false"/>
                <w:bCs w:val="false"/>
                <w:color w:val="1C1917"/>
                <w:sz w:val="18"/>
                <w:szCs w:val="18"/>
              </w:rPr>
              <w:t xml:space="preserve">• Discipline de périmètre (agriculture exclusive) source de profondeur de donnée</w:t>
            </w:r>
          </w:p>
        </w:tc>
        <w:tc>
          <w:tcPr>
            <w:tcW w:type="dxa" w:w="4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8"/>
                <w:szCs w:val="18"/>
              </w:rPr>
              <w:t xml:space="preserve">• Équipe encore réduite au regard de l'ambition du projet</w:t>
            </w:r>
          </w:p>
          <w:p>
            <w:pPr>
              <w:spacing w:after="0"/>
            </w:pPr>
            <w:r>
              <w:rPr>
                <w:rFonts w:ascii="Calibri" w:cs="Calibri" w:eastAsia="Calibri" w:hAnsi="Calibri"/>
                <w:b w:val="false"/>
                <w:bCs w:val="false"/>
                <w:color w:val="1C1917"/>
                <w:sz w:val="18"/>
                <w:szCs w:val="18"/>
              </w:rPr>
              <w:t xml:space="preserve">• Dépendance à un nombre limité de partenaires technologiques clés (Feexpay)</w:t>
            </w:r>
          </w:p>
          <w:p>
            <w:pPr>
              <w:spacing w:after="0"/>
            </w:pPr>
            <w:r>
              <w:rPr>
                <w:rFonts w:ascii="Calibri" w:cs="Calibri" w:eastAsia="Calibri" w:hAnsi="Calibri"/>
                <w:b w:val="false"/>
                <w:bCs w:val="false"/>
                <w:color w:val="1C1917"/>
                <w:sz w:val="18"/>
                <w:szCs w:val="18"/>
              </w:rPr>
              <w:t xml:space="preserve">• Capacités de financement propres limitées avant la levée</w:t>
            </w:r>
          </w:p>
          <w:p>
            <w:pPr>
              <w:spacing w:after="0"/>
            </w:pPr>
            <w:r>
              <w:rPr>
                <w:rFonts w:ascii="Calibri" w:cs="Calibri" w:eastAsia="Calibri" w:hAnsi="Calibri"/>
                <w:b w:val="false"/>
                <w:bCs w:val="false"/>
                <w:color w:val="1C1917"/>
                <w:sz w:val="18"/>
                <w:szCs w:val="18"/>
              </w:rPr>
              <w:t xml:space="preserve">• Aucun partenaire financier encore signé pour l'affacturage</w:t>
            </w:r>
          </w:p>
          <w:p>
            <w:pPr>
              <w:spacing w:after="0"/>
            </w:pPr>
            <w:r>
              <w:rPr>
                <w:rFonts w:ascii="Calibri" w:cs="Calibri" w:eastAsia="Calibri" w:hAnsi="Calibri"/>
                <w:b w:val="false"/>
                <w:bCs w:val="false"/>
                <w:color w:val="1C1917"/>
                <w:sz w:val="18"/>
                <w:szCs w:val="18"/>
              </w:rPr>
              <w:t xml:space="preserve">• Notoriété de marque encore à construire</w:t>
            </w:r>
          </w:p>
        </w:tc>
      </w:tr>
    </w:tbl>
    <w:p>
      <w:pPr>
        <w:spacing w:after="120" w:before="0"/>
        <w:jc w:val="left"/>
      </w:pPr>
      <w:r>
        <w:rPr>
          <w:rFonts w:ascii="Calibri" w:cs="Calibri" w:eastAsia="Calibri" w:hAnsi="Calibri"/>
          <w:b w:val="false"/>
          <w:bCs w:val="false"/>
          <w:i w:val="false"/>
          <w:iCs w:val="false"/>
          <w:color w:val="1C1917"/>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default"/>
            </w:r>
          </w:p>
        </w:tc>
        <w:tc>
          <w:tcPr>
            <w:tcW w:type="dxa" w:w="4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default"/>
            </w:r>
          </w:p>
        </w:tc>
      </w:tr>
      <w:tr>
        <w:tc>
          <w:tcPr>
            <w:tcW w:type="dxa" w:w="4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8"/>
                <w:szCs w:val="18"/>
              </w:rPr>
              <w:t xml:space="preserve">• Politiques publiques de soutien agricole (type AGRIFOOD/Banque mondiale)</w:t>
            </w:r>
          </w:p>
          <w:p>
            <w:pPr>
              <w:spacing w:after="0"/>
            </w:pPr>
            <w:r>
              <w:rPr>
                <w:rFonts w:ascii="Calibri" w:cs="Calibri" w:eastAsia="Calibri" w:hAnsi="Calibri"/>
                <w:b w:val="false"/>
                <w:bCs w:val="false"/>
                <w:color w:val="1C1917"/>
                <w:sz w:val="18"/>
                <w:szCs w:val="18"/>
              </w:rPr>
              <w:t xml:space="preserve">• Guichets bancaires agricoles avec garantie publique en développement</w:t>
            </w:r>
          </w:p>
          <w:p>
            <w:pPr>
              <w:spacing w:after="0"/>
            </w:pPr>
            <w:r>
              <w:rPr>
                <w:rFonts w:ascii="Calibri" w:cs="Calibri" w:eastAsia="Calibri" w:hAnsi="Calibri"/>
                <w:b w:val="false"/>
                <w:bCs w:val="false"/>
                <w:color w:val="1C1917"/>
                <w:sz w:val="18"/>
                <w:szCs w:val="18"/>
              </w:rPr>
              <w:t xml:space="preserve">• Demande croissante pour la donnée alternative de crédit en Afrique</w:t>
            </w:r>
          </w:p>
          <w:p>
            <w:pPr>
              <w:spacing w:after="0"/>
            </w:pPr>
            <w:r>
              <w:rPr>
                <w:rFonts w:ascii="Calibri" w:cs="Calibri" w:eastAsia="Calibri" w:hAnsi="Calibri"/>
                <w:b w:val="false"/>
                <w:bCs w:val="false"/>
                <w:color w:val="1C1917"/>
                <w:sz w:val="18"/>
                <w:szCs w:val="18"/>
              </w:rPr>
              <w:t xml:space="preserve">• Réseau du fondateur (Orange Corners NL, Techstars) pour mentorat et visibilité</w:t>
            </w:r>
          </w:p>
          <w:p>
            <w:pPr>
              <w:spacing w:after="0"/>
            </w:pPr>
            <w:r>
              <w:rPr>
                <w:rFonts w:ascii="Calibri" w:cs="Calibri" w:eastAsia="Calibri" w:hAnsi="Calibri"/>
                <w:b w:val="false"/>
                <w:bCs w:val="false"/>
                <w:color w:val="1C1917"/>
                <w:sz w:val="18"/>
                <w:szCs w:val="18"/>
              </w:rPr>
              <w:t xml:space="preserve">• Réplicabilité du modèle vers d'autres pays CEDEAO</w:t>
            </w:r>
          </w:p>
        </w:tc>
        <w:tc>
          <w:tcPr>
            <w:tcW w:type="dxa" w:w="4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8"/>
                <w:szCs w:val="18"/>
              </w:rPr>
              <w:t xml:space="preserve">• Instabilité réglementaire possible sur les paiements mobiles/affacturage</w:t>
            </w:r>
          </w:p>
          <w:p>
            <w:pPr>
              <w:spacing w:after="0"/>
            </w:pPr>
            <w:r>
              <w:rPr>
                <w:rFonts w:ascii="Calibri" w:cs="Calibri" w:eastAsia="Calibri" w:hAnsi="Calibri"/>
                <w:b w:val="false"/>
                <w:bCs w:val="false"/>
                <w:color w:val="1C1917"/>
                <w:sz w:val="18"/>
                <w:szCs w:val="18"/>
              </w:rPr>
              <w:t xml:space="preserve">• Entrée d'un acteur mieux capitalisé sur le même positionnement</w:t>
            </w:r>
          </w:p>
          <w:p>
            <w:pPr>
              <w:spacing w:after="0"/>
            </w:pPr>
            <w:r>
              <w:rPr>
                <w:rFonts w:ascii="Calibri" w:cs="Calibri" w:eastAsia="Calibri" w:hAnsi="Calibri"/>
                <w:b w:val="false"/>
                <w:bCs w:val="false"/>
                <w:color w:val="1C1917"/>
                <w:sz w:val="18"/>
                <w:szCs w:val="18"/>
              </w:rPr>
              <w:t xml:space="preserve">• Adoption plus lente que prévu en zone rurale</w:t>
            </w:r>
          </w:p>
          <w:p>
            <w:pPr>
              <w:spacing w:after="0"/>
            </w:pPr>
            <w:r>
              <w:rPr>
                <w:rFonts w:ascii="Calibri" w:cs="Calibri" w:eastAsia="Calibri" w:hAnsi="Calibri"/>
                <w:b w:val="false"/>
                <w:bCs w:val="false"/>
                <w:color w:val="1C1917"/>
                <w:sz w:val="18"/>
                <w:szCs w:val="18"/>
              </w:rPr>
              <w:t xml:space="preserve">• Dépendance de l'affacturage à un partenaire financier externe</w:t>
            </w:r>
          </w:p>
          <w:p>
            <w:pPr>
              <w:spacing w:after="0"/>
            </w:pPr>
            <w:r>
              <w:rPr>
                <w:rFonts w:ascii="Calibri" w:cs="Calibri" w:eastAsia="Calibri" w:hAnsi="Calibri"/>
                <w:b w:val="false"/>
                <w:bCs w:val="false"/>
                <w:color w:val="1C1917"/>
                <w:sz w:val="18"/>
                <w:szCs w:val="18"/>
              </w:rPr>
              <w:t xml:space="preserve">• Risques climatiques affectant l'activité des producteurs eux-mêmes</w:t>
            </w:r>
          </w:p>
        </w:tc>
      </w:tr>
    </w:tbl>
    <w:p>
      <w:pPr>
        <w:pStyle w:val="Heading1"/>
        <w:pBdr>
          <w:bottom w:val="single" w:color="1F5C2E" w:sz="8" w:space="4"/>
        </w:pBdr>
        <w:spacing w:after="200" w:before="400"/>
      </w:pPr>
      <w:r>
        <w:rPr>
          <w:rFonts w:ascii="Calibri" w:cs="Calibri" w:eastAsia="Calibri" w:hAnsi="Calibri"/>
          <w:b/>
          <w:bCs/>
          <w:color w:val="1F5C2E"/>
          <w:sz w:val="30"/>
          <w:szCs w:val="30"/>
        </w:rPr>
        <w:t xml:space="preserve">IV. La stratégie</w:t>
      </w:r>
    </w:p>
    <w:p>
      <w:pPr>
        <w:spacing w:after="120" w:before="0"/>
        <w:jc w:val="left"/>
      </w:pPr>
      <w:r>
        <w:rPr>
          <w:rFonts w:ascii="Calibri" w:cs="Calibri" w:eastAsia="Calibri" w:hAnsi="Calibri"/>
          <w:b/>
          <w:bCs/>
          <w:i w:val="false"/>
          <w:iCs w:val="false"/>
          <w:color w:val="1C1917"/>
          <w:sz w:val="21"/>
          <w:szCs w:val="21"/>
        </w:rPr>
        <w:t xml:space="preserve">Notre stratégie pour les 12 prochains mois est volontairement resserrée : prioriser deux sources de revenu que nous maîtrisons entièrement (commissions et abonnements), plutôt que de disperser l'effort sur l'affacturage automatisé — dont la mise en œuvre dépend d'un partenaire financier externe encore à sécuriser.</w:t>
      </w:r>
    </w:p>
    <w:p>
      <w:pPr>
        <w:pStyle w:val="Heading2"/>
        <w:spacing w:after="160" w:before="320"/>
      </w:pPr>
      <w:r>
        <w:rPr>
          <w:rFonts w:ascii="Calibri" w:cs="Calibri" w:eastAsia="Calibri" w:hAnsi="Calibri"/>
          <w:b/>
          <w:bCs/>
          <w:color w:val="1F5C2E"/>
          <w:sz w:val="25"/>
          <w:szCs w:val="25"/>
        </w:rPr>
        <w:t xml:space="preserve">1. Avantage concurrentiel</w:t>
      </w:r>
    </w:p>
    <w:p>
      <w:pPr>
        <w:spacing w:after="120" w:before="0"/>
        <w:jc w:val="left"/>
      </w:pPr>
      <w:r>
        <w:rPr>
          <w:rFonts w:ascii="Calibri" w:cs="Calibri" w:eastAsia="Calibri" w:hAnsi="Calibri"/>
          <w:b w:val="false"/>
          <w:bCs w:val="false"/>
          <w:i w:val="false"/>
          <w:iCs w:val="false"/>
          <w:color w:val="1C1917"/>
          <w:sz w:val="21"/>
          <w:szCs w:val="21"/>
        </w:rPr>
        <w:t xml:space="preserve">Notre avantage concurrentiel repose sur la combinaison, dans un seul produit, du commerce, de la protection de paiement (Smart Escrow) et d'un score de confiance construit selon des critères bancaires reconnus (5 C du crédit) — une architecture que la plupart des marketplaces agricoles africaines n'ont pas, faute d'avoir pensé la donnée comme un actif financier dès la conception. Cet avantage est renforcé par une équipe technique senior déjà engagée (Makan Diabate, Responsable Technique) et par un ancrage terrain vérifiable (SIDONOBIEL).</w:t>
      </w:r>
    </w:p>
    <w:p>
      <w:pPr>
        <w:pStyle w:val="Heading2"/>
        <w:spacing w:after="160" w:before="320"/>
      </w:pPr>
      <w:r>
        <w:rPr>
          <w:rFonts w:ascii="Calibri" w:cs="Calibri" w:eastAsia="Calibri" w:hAnsi="Calibri"/>
          <w:b/>
          <w:bCs/>
          <w:color w:val="1F5C2E"/>
          <w:sz w:val="25"/>
          <w:szCs w:val="25"/>
        </w:rPr>
        <w:t xml:space="preserve">2. Déclinaison des stratégies</w:t>
      </w:r>
    </w:p>
    <w:p>
      <w:pPr>
        <w:pStyle w:val="Heading3"/>
        <w:spacing w:after="120" w:before="240"/>
      </w:pPr>
      <w:r>
        <w:rPr>
          <w:rFonts w:ascii="Calibri" w:cs="Calibri" w:eastAsia="Calibri" w:hAnsi="Calibri"/>
          <w:b/>
          <w:bCs/>
          <w:color w:val="C27D10"/>
          <w:sz w:val="22"/>
          <w:szCs w:val="22"/>
        </w:rPr>
        <w:t xml:space="preserve">a) Stratégie de l'offre</w:t>
      </w:r>
    </w:p>
    <w:p>
      <w:pPr>
        <w:spacing w:after="120" w:before="0"/>
        <w:jc w:val="left"/>
      </w:pPr>
      <w:r>
        <w:rPr>
          <w:rFonts w:ascii="Calibri" w:cs="Calibri" w:eastAsia="Calibri" w:hAnsi="Calibri"/>
          <w:b w:val="false"/>
          <w:bCs w:val="false"/>
          <w:i w:val="false"/>
          <w:iCs w:val="false"/>
          <w:color w:val="1C1917"/>
          <w:sz w:val="21"/>
          <w:szCs w:val="21"/>
        </w:rPr>
        <w:t xml:space="preserve">GWA opère l'intégralité de la plateforme technologique en propre (pas de sous-traitance du cœur produit) ; seule l'infrastructure cloud et les services de paiement/notification sont externalisés auprès de prestataires spécialisés (Feexpay, Supabase, OneSignal). La politique de prix repose sur une commission différenciée selon le canal (0 à 8%) et des paliers d'abonnement accessibles, alignés sur la capacité contributive réelle des producteurs et coopératives ivoiriens.</w:t>
      </w:r>
    </w:p>
    <w:p>
      <w:pPr>
        <w:pStyle w:val="Heading3"/>
        <w:spacing w:after="120" w:before="240"/>
      </w:pPr>
      <w:r>
        <w:rPr>
          <w:rFonts w:ascii="Calibri" w:cs="Calibri" w:eastAsia="Calibri" w:hAnsi="Calibri"/>
          <w:b/>
          <w:bCs/>
          <w:color w:val="C27D10"/>
          <w:sz w:val="22"/>
          <w:szCs w:val="22"/>
        </w:rPr>
        <w:t xml:space="preserve">b) Stratégie commerciale</w:t>
      </w:r>
    </w:p>
    <w:p>
      <w:pPr>
        <w:spacing w:after="120" w:before="0"/>
        <w:jc w:val="left"/>
      </w:pPr>
      <w:r>
        <w:rPr>
          <w:rFonts w:ascii="Calibri" w:cs="Calibri" w:eastAsia="Calibri" w:hAnsi="Calibri"/>
          <w:b w:val="false"/>
          <w:bCs w:val="false"/>
          <w:i w:val="false"/>
          <w:iCs w:val="false"/>
          <w:color w:val="1C1917"/>
          <w:sz w:val="21"/>
          <w:szCs w:val="21"/>
        </w:rPr>
        <w:t xml:space="preserve">Positionnement B2B2C : nous acquérons prioritairement via les coopératives structurées (un partenariat coopérative apporte des dizaines de producteurs déjà organisés) plutôt que via le producteur individuel isolé. Complété par une acquisition directe des acheteurs/transformateurs déjà en recherche de volumes fiables.</w:t>
      </w:r>
    </w:p>
    <w:p>
      <w:pPr>
        <w:pStyle w:val="Heading3"/>
        <w:spacing w:after="120" w:before="240"/>
      </w:pPr>
      <w:r>
        <w:rPr>
          <w:rFonts w:ascii="Calibri" w:cs="Calibri" w:eastAsia="Calibri" w:hAnsi="Calibri"/>
          <w:b/>
          <w:bCs/>
          <w:color w:val="C27D10"/>
          <w:sz w:val="22"/>
          <w:szCs w:val="22"/>
        </w:rPr>
        <w:t xml:space="preserve">c) Partenariats stratégiques</w:t>
      </w:r>
    </w:p>
    <w:p>
      <w:pPr>
        <w:spacing w:after="120" w:before="0"/>
        <w:jc w:val="left"/>
      </w:pPr>
      <w:r>
        <w:rPr>
          <w:rFonts w:ascii="Calibri" w:cs="Calibri" w:eastAsia="Calibri" w:hAnsi="Calibri"/>
          <w:b w:val="false"/>
          <w:bCs w:val="false"/>
          <w:i/>
          <w:iCs/>
          <w:color w:val="1C1917"/>
          <w:sz w:val="21"/>
          <w:szCs w:val="21"/>
        </w:rPr>
        <w:t xml:space="preserve">Nos partenariats prioritaires et déjà engagés : la coopérative SIDONOBIEL (1 300+ producteurs) comme partenaire d'ancrage terrain, l'INP-HB comme vivier de recrutement technique (convention de stage signée), et Feexpay comme partenaire de paiement exclusif. Nous ne présentons dans ce document que des partenariats effectivement engagés ou en discussion avancée, à l'exclusion de toute opportunité non confirmée.</w:t>
      </w:r>
    </w:p>
    <w:p>
      <w:pPr>
        <w:pStyle w:val="Heading3"/>
        <w:spacing w:after="120" w:before="240"/>
      </w:pPr>
      <w:r>
        <w:rPr>
          <w:rFonts w:ascii="Calibri" w:cs="Calibri" w:eastAsia="Calibri" w:hAnsi="Calibri"/>
          <w:b/>
          <w:bCs/>
          <w:color w:val="C27D10"/>
          <w:sz w:val="22"/>
          <w:szCs w:val="22"/>
        </w:rPr>
        <w:t xml:space="preserve">d) Stratégie de distribution</w:t>
      </w:r>
    </w:p>
    <w:p>
      <w:pPr>
        <w:spacing w:after="120" w:before="0"/>
        <w:jc w:val="left"/>
      </w:pPr>
      <w:r>
        <w:rPr>
          <w:rFonts w:ascii="Calibri" w:cs="Calibri" w:eastAsia="Calibri" w:hAnsi="Calibri"/>
          <w:b w:val="false"/>
          <w:bCs w:val="false"/>
          <w:i w:val="false"/>
          <w:iCs w:val="false"/>
          <w:color w:val="1C1917"/>
          <w:sz w:val="21"/>
          <w:szCs w:val="21"/>
        </w:rPr>
        <w:t xml:space="preserve">Distribution exclusivement numérique via l'application mobile (Android en priorité) et le web (PWA), complétée par un accompagnement terrain direct pour l'onboarding des coopératives — pas de réseau de distribution physique ni de point de vente.</w:t>
      </w:r>
    </w:p>
    <w:p>
      <w:pPr>
        <w:pStyle w:val="Heading3"/>
        <w:spacing w:after="120" w:before="240"/>
      </w:pPr>
      <w:r>
        <w:rPr>
          <w:rFonts w:ascii="Calibri" w:cs="Calibri" w:eastAsia="Calibri" w:hAnsi="Calibri"/>
          <w:b/>
          <w:bCs/>
          <w:color w:val="C27D10"/>
          <w:sz w:val="22"/>
          <w:szCs w:val="22"/>
        </w:rPr>
        <w:t xml:space="preserve">e) Stratégie marketing / communication</w:t>
      </w:r>
    </w:p>
    <w:p>
      <w:pPr>
        <w:spacing w:after="120" w:before="0"/>
        <w:jc w:val="left"/>
      </w:pPr>
      <w:r>
        <w:rPr>
          <w:rFonts w:ascii="Calibri" w:cs="Calibri" w:eastAsia="Calibri" w:hAnsi="Calibri"/>
          <w:b w:val="false"/>
          <w:bCs w:val="false"/>
          <w:i w:val="false"/>
          <w:iCs w:val="false"/>
          <w:color w:val="1C1917"/>
          <w:sz w:val="21"/>
          <w:szCs w:val="21"/>
        </w:rPr>
        <w:t xml:space="preserve">Communication ciblée et progressive plutôt que campagne de masse : démonstration terrain directe auprès des coopératives partenaires (comme la visite déjà réalisée à Aboisso/SIDONOBIEL), bouche-à-oreille via les réseaux coopératifs, présence sur les réseaux sociaux et contenus pédagogiques sur l'usage de l'escrow et du SCG, appuyée par le canal institutionnel (ANADER, FIRCA) pour la crédibilité. Le budget de communication est dimensionné progressivement en fonction des revenus réels générés par les commissions et abonnements, pas anticipé sur un financement non confirmé.</w:t>
      </w:r>
    </w:p>
    <w:p>
      <w:pPr>
        <w:pStyle w:val="Heading3"/>
        <w:spacing w:after="120" w:before="240"/>
      </w:pPr>
      <w:r>
        <w:rPr>
          <w:rFonts w:ascii="Calibri" w:cs="Calibri" w:eastAsia="Calibri" w:hAnsi="Calibri"/>
          <w:b/>
          <w:bCs/>
          <w:color w:val="C27D10"/>
          <w:sz w:val="22"/>
          <w:szCs w:val="22"/>
        </w:rPr>
        <w:t xml:space="preserve">f) Étapes de développement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6900"/>
      </w:tblGrid>
      <w:tr>
        <w:trPr>
          <w:tblHeader/>
        </w:trPr>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Période</w:t>
            </w:r>
          </w:p>
        </w:tc>
        <w:tc>
          <w:tcPr>
            <w:tcW w:type="dxa" w:w="6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Étapes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Sept. 2026</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Go-live public de la bêta (F1-F6) — activation commerciale des commissions et des paliers d'abonnement</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Oct. 2026 – Mars 2027 (M+1 à M+6)</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Exécution du backlog produit validé, montée en charge de l'onboarding coopératives, suivi actif de la conversion vers les abonnements payants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Avr. – Sept. 2027 (M+7 à M+12)</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Consolidation des revenus commissions + abonnements, premières discussions avec un partenaire financier pour l'affacturage, bilan 12 mois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Au-delà de 12 mois</w:t>
            </w:r>
          </w:p>
        </w:tc>
        <w:tc>
          <w:tcPr>
            <w:tcW w:type="dxa" w:w="6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Automatisation de l'affacturage (sous réserve de partenariat signé), réplication géographique conditionnée aux résultats du marché domestique</w:t>
            </w:r>
          </w:p>
        </w:tc>
      </w:tr>
    </w:tbl>
    <w:p>
      <w:pPr>
        <w:pStyle w:val="Heading3"/>
        <w:spacing w:after="120" w:before="240"/>
      </w:pPr>
      <w:r>
        <w:rPr>
          <w:rFonts w:ascii="Calibri" w:cs="Calibri" w:eastAsia="Calibri" w:hAnsi="Calibri"/>
          <w:b/>
          <w:bCs/>
          <w:color w:val="C27D10"/>
          <w:sz w:val="22"/>
          <w:szCs w:val="22"/>
        </w:rPr>
        <w:t xml:space="preserve">g) Risques (cartographie et réponses anticipées)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200"/>
      </w:tblGrid>
      <w:tr>
        <w:trPr>
          <w:tblHeader/>
        </w:trPr>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Nature</w:t>
            </w:r>
          </w:p>
        </w:tc>
        <w:tc>
          <w:tcPr>
            <w:tcW w:type="dxa" w:w="3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Caractéristique</w:t>
            </w:r>
          </w:p>
        </w:tc>
        <w:tc>
          <w:tcPr>
            <w:tcW w:type="dxa" w:w="1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Probabilité</w:t>
            </w:r>
          </w:p>
        </w:tc>
        <w:tc>
          <w:tcPr>
            <w:tcW w:type="dxa" w:w="3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Réponse anticipée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Institutionnel</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Évolution du cadre réglementaire sur les paiements mobiles</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Faible à 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Veille réglementaire continue, conseil juridique local avant toute automatisation financière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Concurrentiel</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Entrée d'un acteur mieux capitalisé répliquant le concept</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Accélération de l'ancrage coopérative et de la profondeur SCG, difficiles à répliquer rapidement</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Financement</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Levée de fonds plus longue ou plus faible que la cible</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Modèle d'équipe capital-efficient déjà en place (equity plutôt que cash) ; priorité aux revenus commissions/abonnements pour réduire la dépendance au financement externe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Équipe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Effectif encore réduit face à l'ambition du projet</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Renfort par les stagiaires INP-HB, recrutement complémentaire conditionné à la levée de fonds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Adoption</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Adoption plus lente que prévue en zone rurale</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Onboarding terrain direct via coopératives déjà structurées, Digest audio pour réduire la friction d'usage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Approvisionnement / production</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Aléas climatiques affectant les volumes vendus par les producteurs partenaires</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Diversification des filières et des coopératives partenaires, pas de dépendance à une seule culture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Partenariat</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Retard ou échec de la signature d'un partenaire financier pour l'affacturage</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L'affacturage n'est pas la priorité de revenu des 12 premiers mois (voir §VI) ; aucune dépendance immédiate</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Technique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Incident de sécurité ou indisponibilité de la plateforme en production</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Faible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Audit de sécurité régulier, monitoring /api/health, Row Level Security sur toutes les tables sensibles</w:t>
            </w:r>
          </w:p>
        </w:tc>
      </w:tr>
      <w:tr>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Change / macroéconomique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Fluctuation du pouvoir d'achat affectant la conversion vers les paliers payants</w:t>
            </w:r>
          </w:p>
        </w:tc>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Faible à moyenne</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Palier FREE d'entrée sans friction, paliers payants alignés sur la valeur perçue réelle</w:t>
            </w:r>
          </w:p>
        </w:tc>
      </w:tr>
    </w:tbl>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V. Mise en œuvre opérationnelle</w:t>
      </w:r>
    </w:p>
    <w:p>
      <w:pPr>
        <w:pStyle w:val="Heading2"/>
        <w:spacing w:after="160" w:before="320"/>
      </w:pPr>
      <w:r>
        <w:rPr>
          <w:rFonts w:ascii="Calibri" w:cs="Calibri" w:eastAsia="Calibri" w:hAnsi="Calibri"/>
          <w:b/>
          <w:bCs/>
          <w:color w:val="1F5C2E"/>
          <w:sz w:val="25"/>
          <w:szCs w:val="25"/>
        </w:rPr>
        <w:t xml:space="preserve">1. Plan de développement</w:t>
      </w:r>
    </w:p>
    <w:p>
      <w:pPr>
        <w:spacing w:after="120" w:before="0"/>
        <w:jc w:val="left"/>
      </w:pPr>
      <w:r>
        <w:rPr>
          <w:rFonts w:ascii="Calibri" w:cs="Calibri" w:eastAsia="Calibri" w:hAnsi="Calibri"/>
          <w:b w:val="false"/>
          <w:bCs w:val="false"/>
          <w:i w:val="false"/>
          <w:iCs w:val="false"/>
          <w:color w:val="1C1917"/>
          <w:sz w:val="21"/>
          <w:szCs w:val="21"/>
        </w:rPr>
        <w:t xml:space="preserve">Le développement produit suit le cahier des charges technique déjà verrouillé (F1 à F6 pour la bêta, 17 modules pour l'horizon 12/24 mois). Aucun développement supplémentaire n'est engagé sans validation explicite du périmètre, pour protéger la trajectoire vers l'activation des revenus commissions et abonnements dans les délais.</w:t>
      </w:r>
    </w:p>
    <w:p>
      <w:pPr>
        <w:pStyle w:val="Heading2"/>
        <w:spacing w:after="160" w:before="320"/>
      </w:pPr>
      <w:r>
        <w:rPr>
          <w:rFonts w:ascii="Calibri" w:cs="Calibri" w:eastAsia="Calibri" w:hAnsi="Calibri"/>
          <w:b/>
          <w:bCs/>
          <w:color w:val="1F5C2E"/>
          <w:sz w:val="25"/>
          <w:szCs w:val="25"/>
        </w:rPr>
        <w:t xml:space="preserve">2. Stratégie commerciale et de distribution</w:t>
      </w:r>
    </w:p>
    <w:p>
      <w:pPr>
        <w:spacing w:after="120" w:before="0"/>
        <w:jc w:val="left"/>
      </w:pPr>
      <w:r>
        <w:rPr>
          <w:rFonts w:ascii="Calibri" w:cs="Calibri" w:eastAsia="Calibri" w:hAnsi="Calibri"/>
          <w:b w:val="false"/>
          <w:bCs w:val="false"/>
          <w:i w:val="false"/>
          <w:iCs w:val="false"/>
          <w:color w:val="1C1917"/>
          <w:sz w:val="21"/>
          <w:szCs w:val="21"/>
        </w:rPr>
        <w:t xml:space="preserve">Voir §IV.2.b et d — acquisition B2B2C par les coopératives, distribution 100% numérique.</w:t>
      </w:r>
    </w:p>
    <w:p>
      <w:pPr>
        <w:pStyle w:val="Heading2"/>
        <w:spacing w:after="160" w:before="320"/>
      </w:pPr>
      <w:r>
        <w:rPr>
          <w:rFonts w:ascii="Calibri" w:cs="Calibri" w:eastAsia="Calibri" w:hAnsi="Calibri"/>
          <w:b/>
          <w:bCs/>
          <w:color w:val="1F5C2E"/>
          <w:sz w:val="25"/>
          <w:szCs w:val="25"/>
        </w:rPr>
        <w:t xml:space="preserve">3. Plan marketing et communication</w:t>
      </w:r>
    </w:p>
    <w:p>
      <w:pPr>
        <w:pStyle w:val="Heading3"/>
        <w:spacing w:after="120" w:before="240"/>
      </w:pPr>
      <w:r>
        <w:rPr>
          <w:rFonts w:ascii="Calibri" w:cs="Calibri" w:eastAsia="Calibri" w:hAnsi="Calibri"/>
          <w:b/>
          <w:bCs/>
          <w:color w:val="C27D10"/>
          <w:sz w:val="22"/>
          <w:szCs w:val="22"/>
        </w:rPr>
        <w:t xml:space="preserve">a) Positionnement</w:t>
      </w:r>
    </w:p>
    <w:p>
      <w:pPr>
        <w:spacing w:after="120" w:before="0"/>
        <w:jc w:val="left"/>
      </w:pPr>
      <w:r>
        <w:rPr>
          <w:rFonts w:ascii="Calibri" w:cs="Calibri" w:eastAsia="Calibri" w:hAnsi="Calibri"/>
          <w:b w:val="false"/>
          <w:bCs w:val="false"/>
          <w:i w:val="false"/>
          <w:iCs w:val="false"/>
          <w:color w:val="1C1917"/>
          <w:sz w:val="21"/>
          <w:szCs w:val="21"/>
        </w:rPr>
        <w:t xml:space="preserve">GWA se positionne comme la plateforme qui paie de façon garantie et qui construit, en retour, un accès au financement — pas comme une simple marketplace de plus.</w:t>
      </w:r>
    </w:p>
    <w:p>
      <w:pPr>
        <w:pStyle w:val="Heading3"/>
        <w:spacing w:after="120" w:before="240"/>
      </w:pPr>
      <w:r>
        <w:rPr>
          <w:rFonts w:ascii="Calibri" w:cs="Calibri" w:eastAsia="Calibri" w:hAnsi="Calibri"/>
          <w:b/>
          <w:bCs/>
          <w:color w:val="C27D10"/>
          <w:sz w:val="22"/>
          <w:szCs w:val="22"/>
        </w:rPr>
        <w:t xml:space="preserve">b) Image de marque</w:t>
      </w:r>
    </w:p>
    <w:p>
      <w:pPr>
        <w:spacing w:after="120" w:before="0"/>
        <w:jc w:val="left"/>
      </w:pPr>
      <w:r>
        <w:rPr>
          <w:rFonts w:ascii="Calibri" w:cs="Calibri" w:eastAsia="Calibri" w:hAnsi="Calibri"/>
          <w:b w:val="false"/>
          <w:bCs w:val="false"/>
          <w:i w:val="false"/>
          <w:iCs w:val="false"/>
          <w:color w:val="1C1917"/>
          <w:sz w:val="21"/>
          <w:szCs w:val="21"/>
        </w:rPr>
        <w:t xml:space="preserve">Identité locale et accessible (« ɡwa », marché en langue Anoh), rassurante sur la sécurité du paiement, pédagogique sur la construction du score de confiance.</w:t>
      </w:r>
    </w:p>
    <w:p>
      <w:pPr>
        <w:pStyle w:val="Heading3"/>
        <w:spacing w:after="120" w:before="240"/>
      </w:pPr>
      <w:r>
        <w:rPr>
          <w:rFonts w:ascii="Calibri" w:cs="Calibri" w:eastAsia="Calibri" w:hAnsi="Calibri"/>
          <w:b/>
          <w:bCs/>
          <w:color w:val="C27D10"/>
          <w:sz w:val="22"/>
          <w:szCs w:val="22"/>
        </w:rPr>
        <w:t xml:space="preserve">c) Politique de prix</w:t>
      </w:r>
    </w:p>
    <w:p>
      <w:pPr>
        <w:spacing w:after="120" w:before="0"/>
        <w:jc w:val="left"/>
      </w:pPr>
      <w:r>
        <w:rPr>
          <w:rFonts w:ascii="Calibri" w:cs="Calibri" w:eastAsia="Calibri" w:hAnsi="Calibri"/>
          <w:b w:val="false"/>
          <w:bCs w:val="false"/>
          <w:i w:val="false"/>
          <w:iCs w:val="false"/>
          <w:color w:val="1C1917"/>
          <w:sz w:val="21"/>
          <w:szCs w:val="21"/>
        </w:rPr>
        <w:t xml:space="preserve">Commission différenciée selon le canal (0 à 8%) combinée à des abonnements accessibles (voir §VI.1) — aucun coût d'entrée pour le premier usage (palier FREE et première vente à 0% de commission), afin de maximiser l'adoption avant la monétisation.</w:t>
      </w:r>
    </w:p>
    <w:p>
      <w:pPr>
        <w:pStyle w:val="Heading3"/>
        <w:spacing w:after="120" w:before="240"/>
      </w:pPr>
      <w:r>
        <w:rPr>
          <w:rFonts w:ascii="Calibri" w:cs="Calibri" w:eastAsia="Calibri" w:hAnsi="Calibri"/>
          <w:b/>
          <w:bCs/>
          <w:color w:val="C27D10"/>
          <w:sz w:val="22"/>
          <w:szCs w:val="22"/>
        </w:rPr>
        <w:t xml:space="preserve">d) Plan de communication</w:t>
      </w:r>
    </w:p>
    <w:p>
      <w:pPr>
        <w:spacing w:after="120" w:before="0"/>
        <w:jc w:val="left"/>
      </w:pPr>
      <w:r>
        <w:rPr>
          <w:rFonts w:ascii="Calibri" w:cs="Calibri" w:eastAsia="Calibri" w:hAnsi="Calibri"/>
          <w:b w:val="false"/>
          <w:bCs w:val="false"/>
          <w:i w:val="false"/>
          <w:iCs w:val="false"/>
          <w:color w:val="1C1917"/>
          <w:sz w:val="21"/>
          <w:szCs w:val="21"/>
        </w:rPr>
        <w:t xml:space="preserve">Démonstration terrain directe, contenus pédagogiques sur les réseaux sociaux, relais institutionnels (ANADER, FIRCA) — budget alloué progressivement selon les revenus réellement générés.</w:t>
      </w:r>
    </w:p>
    <w:p>
      <w:pPr>
        <w:pStyle w:val="Heading2"/>
        <w:spacing w:after="160" w:before="320"/>
      </w:pPr>
      <w:r>
        <w:rPr>
          <w:rFonts w:ascii="Calibri" w:cs="Calibri" w:eastAsia="Calibri" w:hAnsi="Calibri"/>
          <w:b/>
          <w:bCs/>
          <w:color w:val="1F5C2E"/>
          <w:sz w:val="25"/>
          <w:szCs w:val="25"/>
        </w:rPr>
        <w:t xml:space="preserve">4. Plan de recrutement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00"/>
      </w:tblGrid>
      <w:tr>
        <w:trPr>
          <w:tblHeader/>
        </w:trPr>
        <w:tc>
          <w:tcPr>
            <w:tcW w:type="dxa" w:w="2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Horizon</w:t>
            </w:r>
          </w:p>
        </w:tc>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Effectif visé</w:t>
            </w:r>
          </w:p>
        </w:tc>
        <w:tc>
          <w:tcPr>
            <w:tcW w:type="dxa" w:w="3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Profils</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Immédiat</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 fondateur + 1 Responsable Technique (contrat suspendu) + 2 stagiaires INP-HB</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Déjà identifiés et engagés (voir §I.4)</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Post-levée (seuil 50 M FCFA)</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Activation du contrat de la Responsable Technique</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Reprise effective du salaire selon les termes déjà contractualisés</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M+6 à M+12</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 à 2</w:t>
            </w:r>
          </w:p>
        </w:tc>
        <w:tc>
          <w:tcPr>
            <w:tcW w:type="dxa" w:w="3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Chargé de croissance / onboarding coopératives, support client</w:t>
            </w:r>
          </w:p>
        </w:tc>
      </w:tr>
    </w:tbl>
    <w:p>
      <w:pPr>
        <w:pStyle w:val="Heading2"/>
        <w:spacing w:after="160" w:before="320"/>
      </w:pPr>
      <w:r>
        <w:rPr>
          <w:rFonts w:ascii="Calibri" w:cs="Calibri" w:eastAsia="Calibri" w:hAnsi="Calibri"/>
          <w:b/>
          <w:bCs/>
          <w:color w:val="1F5C2E"/>
          <w:sz w:val="25"/>
          <w:szCs w:val="25"/>
        </w:rPr>
        <w:t xml:space="preserve">5. Ressources clés</w:t>
      </w:r>
    </w:p>
    <w:p>
      <w:pPr>
        <w:pStyle w:val="ListParagraph"/>
        <w:numPr>
          <w:ilvl w:val="0"/>
          <w:numId w:val="2"/>
        </w:numPr>
        <w:spacing w:after="80"/>
      </w:pPr>
      <w:r>
        <w:rPr>
          <w:rFonts w:ascii="Calibri" w:cs="Calibri" w:eastAsia="Calibri" w:hAnsi="Calibri"/>
          <w:b w:val="false"/>
          <w:bCs w:val="false"/>
          <w:color w:val="1C1917"/>
          <w:sz w:val="21"/>
          <w:szCs w:val="21"/>
        </w:rPr>
        <w:t xml:space="preserve">Base de code et infrastructure déjà opérationnelles (≈61 pages, ≈56 routes API, 46 migrations, ≈117 tests).</w:t>
      </w:r>
    </w:p>
    <w:p>
      <w:pPr>
        <w:pStyle w:val="ListParagraph"/>
        <w:numPr>
          <w:ilvl w:val="0"/>
          <w:numId w:val="2"/>
        </w:numPr>
        <w:spacing w:after="80"/>
      </w:pPr>
      <w:r>
        <w:rPr>
          <w:rFonts w:ascii="Calibri" w:cs="Calibri" w:eastAsia="Calibri" w:hAnsi="Calibri"/>
          <w:b w:val="false"/>
          <w:bCs w:val="false"/>
          <w:color w:val="1C1917"/>
          <w:sz w:val="21"/>
          <w:szCs w:val="21"/>
        </w:rPr>
        <w:t xml:space="preserve">Partenariat coopératif ancré (SIDONOBIEL) et convention de stage INP-HB.</w:t>
      </w:r>
    </w:p>
    <w:p>
      <w:pPr>
        <w:pStyle w:val="ListParagraph"/>
        <w:numPr>
          <w:ilvl w:val="0"/>
          <w:numId w:val="2"/>
        </w:numPr>
        <w:spacing w:after="80"/>
      </w:pPr>
      <w:r>
        <w:rPr>
          <w:rFonts w:ascii="Calibri" w:cs="Calibri" w:eastAsia="Calibri" w:hAnsi="Calibri"/>
          <w:b w:val="false"/>
          <w:bCs w:val="false"/>
          <w:color w:val="1C1917"/>
          <w:sz w:val="21"/>
          <w:szCs w:val="21"/>
        </w:rPr>
        <w:t xml:space="preserve">Équipe technique senior sécurisée par un montage capital-efficient (equity plutôt que salaire immédiat).</w:t>
      </w:r>
    </w:p>
    <w:p>
      <w:pPr>
        <w:pStyle w:val="Heading2"/>
        <w:spacing w:after="160" w:before="320"/>
      </w:pPr>
      <w:r>
        <w:rPr>
          <w:rFonts w:ascii="Calibri" w:cs="Calibri" w:eastAsia="Calibri" w:hAnsi="Calibri"/>
          <w:b/>
          <w:bCs/>
          <w:color w:val="1F5C2E"/>
          <w:sz w:val="25"/>
          <w:szCs w:val="25"/>
        </w:rPr>
        <w:t xml:space="preserve">6. Fournisseurs / partenariats</w:t>
      </w:r>
    </w:p>
    <w:p>
      <w:pPr>
        <w:spacing w:after="120" w:before="0"/>
        <w:jc w:val="left"/>
      </w:pPr>
      <w:r>
        <w:rPr>
          <w:rFonts w:ascii="Calibri" w:cs="Calibri" w:eastAsia="Calibri" w:hAnsi="Calibri"/>
          <w:b w:val="false"/>
          <w:bCs w:val="false"/>
          <w:i w:val="false"/>
          <w:iCs w:val="false"/>
          <w:color w:val="1C1917"/>
          <w:sz w:val="21"/>
          <w:szCs w:val="21"/>
        </w:rPr>
        <w:t xml:space="preserve">Voir §III.3 pour le détail des prestataires technologiques (Feexpay, Supabase/Vercel, OneSignal/Africa's Talking). Aucun partenariat financier ou institutionnel non confirmé n'est mentionné dans ce document.</w:t>
      </w:r>
    </w:p>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VI. Le plan financier</w:t>
      </w:r>
    </w:p>
    <w:p>
      <w:pPr>
        <w:spacing w:after="120" w:before="0"/>
        <w:jc w:val="left"/>
      </w:pPr>
      <w:r>
        <w:rPr>
          <w:rFonts w:ascii="Calibri" w:cs="Calibri" w:eastAsia="Calibri" w:hAnsi="Calibri"/>
          <w:b w:val="false"/>
          <w:bCs w:val="false"/>
          <w:i/>
          <w:iCs/>
          <w:color w:val="666666"/>
          <w:sz w:val="21"/>
          <w:szCs w:val="21"/>
        </w:rPr>
        <w:t xml:space="preserve">Les chiffres ci-dessous sont des hypothèses de travail explicites, construites à partir de la grille de commission et des paliers d'abonnement déjà définis. Ils doivent être validés avec un expert-comptable avant toute présentation formelle — ce document ne constitue pas un avis financier.</w:t>
      </w:r>
    </w:p>
    <w:p>
      <w:pPr>
        <w:pStyle w:val="Heading2"/>
        <w:spacing w:after="160" w:before="320"/>
      </w:pPr>
      <w:r>
        <w:rPr>
          <w:rFonts w:ascii="Calibri" w:cs="Calibri" w:eastAsia="Calibri" w:hAnsi="Calibri"/>
          <w:b/>
          <w:bCs/>
          <w:color w:val="1F5C2E"/>
          <w:sz w:val="25"/>
          <w:szCs w:val="25"/>
        </w:rPr>
        <w:t xml:space="preserve">I. HYPOTHESES</w:t>
      </w:r>
    </w:p>
    <w:p>
      <w:pPr>
        <w:pStyle w:val="Heading3"/>
        <w:spacing w:after="120" w:before="240"/>
      </w:pPr>
      <w:r>
        <w:rPr>
          <w:rFonts w:ascii="Calibri" w:cs="Calibri" w:eastAsia="Calibri" w:hAnsi="Calibri"/>
          <w:b/>
          <w:bCs/>
          <w:color w:val="C27D10"/>
          <w:sz w:val="22"/>
          <w:szCs w:val="22"/>
        </w:rPr>
        <w:t xml:space="preserve">Sources de revenu prioritaires (12 mois)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800"/>
      </w:tblGrid>
      <w:tr>
        <w:trPr>
          <w:tblHeader/>
        </w:trPr>
        <w:tc>
          <w:tcPr>
            <w:tcW w:type="dxa" w:w="2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Source</w:t>
            </w:r>
          </w:p>
        </w:tc>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Mécanisme</w:t>
            </w:r>
          </w:p>
        </w:tc>
        <w:tc>
          <w:tcPr>
            <w:tcW w:type="dxa" w:w="3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Priorité</w:t>
            </w:r>
          </w:p>
        </w:tc>
      </w:tr>
      <w:tr>
        <w:tc>
          <w:tcPr>
            <w:tcW w:type="dxa" w:w="2000"/>
            <w:shd w:fill="EAF3EC"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Commissions marketplace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 première vente · 4% coopérative RCCM vérifiée · 5% virement · 6% Mobile Money · 8% export EUDR</w:t>
            </w:r>
          </w:p>
        </w:tc>
        <w:tc>
          <w:tcPr>
            <w:tcW w:type="dxa" w:w="3800"/>
            <w:shd w:fill="EAF3EC" w:val="clear"/>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Priorité n°1 — revenu principal dès le go-live</w:t>
            </w:r>
          </w:p>
        </w:tc>
      </w:tr>
      <w:tr>
        <w:tc>
          <w:tcPr>
            <w:tcW w:type="dxa" w:w="2000"/>
            <w:shd w:fill="EAF3EC" w:val="clear"/>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Abonnements SaaS</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Paliers FREE / STARTER / PRO / ENTERPRISE — fonctionnalité déjà codée dans la plateforme, à activer commercialement</w:t>
            </w:r>
          </w:p>
        </w:tc>
        <w:tc>
          <w:tcPr>
            <w:tcW w:type="dxa" w:w="3800"/>
            <w:shd w:fill="EAF3EC" w:val="clear"/>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Priorité n°2 — revenu récurrent complémentaire, activé dès M+1</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Affacturage digital</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Avance sur facture, décaissement semi-manuel en bêta</w:t>
            </w:r>
          </w:p>
        </w:tc>
        <w:tc>
          <w:tcPr>
            <w:tcW w:type="dxa" w:w="3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Non prioritaire en revenu sur 12 mois — reste un levier de rétention et de donnée, automatisation et monétisation au-delà de M+12</w:t>
            </w:r>
          </w:p>
        </w:tc>
      </w:tr>
    </w:tbl>
    <w:p>
      <w:pPr>
        <w:pStyle w:val="Heading3"/>
        <w:spacing w:after="120" w:before="240"/>
      </w:pPr>
      <w:r>
        <w:rPr>
          <w:rFonts w:ascii="Calibri" w:cs="Calibri" w:eastAsia="Calibri" w:hAnsi="Calibri"/>
          <w:b/>
          <w:bCs/>
          <w:color w:val="C27D10"/>
          <w:sz w:val="22"/>
          <w:szCs w:val="22"/>
        </w:rPr>
        <w:t xml:space="preserve">Paliers d'abonnement — détail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400"/>
      </w:tblGrid>
      <w:tr>
        <w:trPr>
          <w:tblHeader/>
        </w:trPr>
        <w:tc>
          <w:tcPr>
            <w:tcW w:type="dxa" w:w="1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Palier</w:t>
            </w:r>
          </w:p>
        </w:tc>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Prix indicatif</w:t>
            </w:r>
          </w:p>
        </w:tc>
        <w:tc>
          <w:tcPr>
            <w:tcW w:type="dxa" w:w="54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Contenu</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FREE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Catalogue limité, commission standard, accès de base au SCG</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STARTER</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3 000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Annonces illimitées, visibilité renforcée, commission légèrement réduite</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10 000 FCFA/mois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Coopératives et producteurs à volume : commission réduite (4%), tableau de bord SCG avancé, badge vérifié, accès prioritaire à l'affacturage</w:t>
            </w:r>
          </w:p>
        </w:tc>
      </w:tr>
      <w:tr>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ENTERPRISE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Sur devis</w:t>
            </w:r>
          </w:p>
        </w:tc>
        <w:tc>
          <w:tcPr>
            <w:tcW w:type="dxa" w:w="54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Acheteurs/exportateurs institutionnels : accès API, rapports personnalisés, gestion multi-utilisateurs</w:t>
            </w:r>
          </w:p>
        </w:tc>
      </w:tr>
    </w:tbl>
    <w:p>
      <w:pPr>
        <w:pStyle w:val="Heading3"/>
        <w:spacing w:after="120" w:before="240"/>
      </w:pPr>
      <w:r>
        <w:rPr>
          <w:rFonts w:ascii="Calibri" w:cs="Calibri" w:eastAsia="Calibri" w:hAnsi="Calibri"/>
          <w:b/>
          <w:bCs/>
          <w:color w:val="C27D10"/>
          <w:sz w:val="22"/>
          <w:szCs w:val="22"/>
        </w:rPr>
        <w:t xml:space="preserve">Détail mensuel — Année 1 (Sept. 2026 – Août 2027)</w:t>
      </w:r>
    </w:p>
    <w:p>
      <w:pPr>
        <w:spacing w:after="120" w:before="0"/>
        <w:jc w:val="left"/>
      </w:pPr>
      <w:r>
        <w:rPr>
          <w:rFonts w:ascii="Calibri" w:cs="Calibri" w:eastAsia="Calibri" w:hAnsi="Calibri"/>
          <w:b w:val="false"/>
          <w:bCs w:val="false"/>
          <w:i w:val="false"/>
          <w:iCs w:val="false"/>
          <w:color w:val="1C1917"/>
          <w:sz w:val="21"/>
          <w:szCs w:val="21"/>
        </w:rPr>
        <w:t xml:space="preserve">Cette vue mensuelle affine l'estimation annuelle simplifiée en modélisant explicitement le moment où la levée de fonds active les charges salariales (hypothèse : seuil de 50 M FCFA atteint autour du mois 7, mars 2027). Elle remplace, par sa granularité, toute lecture purement annuelle du besoin de trésorerie.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1500"/>
        <w:gridCol w:w="1600"/>
      </w:tblGrid>
      <w:tr>
        <w:trPr>
          <w:tblHeader/>
        </w:trPr>
        <w:tc>
          <w:tcPr>
            <w:tcW w:type="dxa" w:w="1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Mois</w:t>
            </w:r>
          </w:p>
        </w:tc>
        <w:tc>
          <w:tcPr>
            <w:tcW w:type="dxa" w:w="1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GMV</w:t>
            </w:r>
          </w:p>
        </w:tc>
        <w:tc>
          <w:tcPr>
            <w:tcW w:type="dxa" w:w="1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Commissions</w:t>
            </w:r>
          </w:p>
        </w:tc>
        <w:tc>
          <w:tcPr>
            <w:tcW w:type="dxa" w:w="1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Abonnements</w:t>
            </w:r>
          </w:p>
        </w:tc>
        <w:tc>
          <w:tcPr>
            <w:tcW w:type="dxa" w:w="15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OPEX</w:t>
            </w:r>
          </w:p>
        </w:tc>
        <w:tc>
          <w:tcPr>
            <w:tcW w:type="dxa" w:w="1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Résultat</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M1</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0,15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0,10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1,8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-1,55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M2</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0,25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0,15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1,9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-1,50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M3</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8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0,40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0,25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2,0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-1,35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M4</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12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0,60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0,35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2,1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-1,15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M5</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16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0,80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0,45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2,2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-0,95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M6</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1,00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0,55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2,3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-0,75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M7 (levée activée)</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24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1,20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0,65 M</w:t>
            </w:r>
          </w:p>
        </w:tc>
        <w:tc>
          <w:tcPr>
            <w:tcW w:type="dxa" w:w="15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4,5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-2,65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M8</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28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1,40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0,75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4,7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-2,55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M9</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32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1,60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0,85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4,9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-2,45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M10</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36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1,80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0,95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5,0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-2,25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M11</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40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2,00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1,05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5,2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-2,15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M12</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45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2,25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1,20 M</w:t>
            </w:r>
          </w:p>
        </w:tc>
        <w:tc>
          <w:tcPr>
            <w:tcW w:type="dxa" w:w="15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5,4 M</w:t>
            </w:r>
          </w:p>
        </w:tc>
        <w:tc>
          <w:tcPr>
            <w:tcW w:type="dxa" w:w="1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-1,95 M</w:t>
            </w:r>
          </w:p>
        </w:tc>
      </w:tr>
      <w:tr>
        <w:tc>
          <w:tcPr>
            <w:tcW w:type="dxa" w:w="1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TOTAL Année 1</w:t>
            </w:r>
          </w:p>
        </w:tc>
        <w:tc>
          <w:tcPr>
            <w:tcW w:type="dxa" w:w="15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269 M</w:t>
            </w:r>
          </w:p>
        </w:tc>
        <w:tc>
          <w:tcPr>
            <w:tcW w:type="dxa" w:w="15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13,45 M</w:t>
            </w:r>
          </w:p>
        </w:tc>
        <w:tc>
          <w:tcPr>
            <w:tcW w:type="dxa" w:w="15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7,85 M</w:t>
            </w:r>
          </w:p>
        </w:tc>
        <w:tc>
          <w:tcPr>
            <w:tcW w:type="dxa" w:w="15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43,9 M</w:t>
            </w:r>
          </w:p>
        </w:tc>
        <w:tc>
          <w:tcPr>
            <w:tcW w:type="dxa" w:w="1600"/>
            <w:tcMar>
              <w:top w:type="dxa" w:w="80"/>
              <w:left w:type="dxa" w:w="100"/>
              <w:bottom w:type="dxa" w:w="80"/>
              <w:right w:type="dxa" w:w="100"/>
            </w:tcMar>
            <w:vAlign w:val="center"/>
          </w:tcPr>
          <w:p>
            <w:pPr>
              <w:spacing w:after="0"/>
            </w:pPr>
            <w:r>
              <w:rPr>
                <w:rFonts w:ascii="Calibri" w:cs="Calibri" w:eastAsia="Calibri" w:hAnsi="Calibri"/>
                <w:b/>
                <w:bCs/>
                <w:color w:val="B3261E"/>
                <w:sz w:val="19"/>
                <w:szCs w:val="19"/>
              </w:rPr>
              <w:t xml:space="preserve">≈ -21,3 M</w:t>
            </w:r>
          </w:p>
        </w:tc>
      </w:tr>
    </w:tbl>
    <w:p>
      <w:pPr>
        <w:spacing w:after="120" w:before="0"/>
        <w:jc w:val="left"/>
      </w:pPr>
      <w:r>
        <w:rPr>
          <w:rFonts w:ascii="Calibri" w:cs="Calibri" w:eastAsia="Calibri" w:hAnsi="Calibri"/>
          <w:b w:val="false"/>
          <w:bCs w:val="false"/>
          <w:i/>
          <w:iCs/>
          <w:color w:val="1C1917"/>
          <w:sz w:val="21"/>
          <w:szCs w:val="21"/>
        </w:rPr>
        <w:t xml:space="preserve">Lecture : le besoin de trésorerie réel n'est pas linéaire — il se creuse au moment de l'activation salariale (M7) puis se réduit mois après mois grâce à la croissance des commissions et surtout des abonnements, qui progressent plus vite en proportion car ils ne dépendent pas du volume de transactions.</w:t>
      </w:r>
    </w:p>
    <w:p>
      <w:pPr>
        <w:pStyle w:val="Heading3"/>
        <w:spacing w:after="120" w:before="240"/>
      </w:pPr>
      <w:r>
        <w:rPr>
          <w:rFonts w:ascii="Calibri" w:cs="Calibri" w:eastAsia="Calibri" w:hAnsi="Calibri"/>
          <w:b/>
          <w:bCs/>
          <w:color w:val="C27D10"/>
          <w:sz w:val="22"/>
          <w:szCs w:val="22"/>
        </w:rPr>
        <w:t xml:space="preserve">Unité économique (unit economics)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000"/>
      </w:tblGrid>
      <w:tr>
        <w:trPr>
          <w:tblHeader/>
        </w:trPr>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Indicateur</w:t>
            </w:r>
          </w:p>
        </w:tc>
        <w:tc>
          <w:tcPr>
            <w:tcW w:type="dxa" w:w="3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Hypothèse de travail</w:t>
            </w:r>
          </w:p>
        </w:tc>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Commentaire</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Coût d'acquisition (CAC) par producteur</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Quasi nul en acquisition directe (onboarding coopérative) — coût principalement en temps équipe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Le CAC réel sera mesuré dès les premiers mois de bêta publique (voir §III.3)</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Valeur vie client (LTV) — palier PRO</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120 000 FCFA/an (abonnement 10 000 FCFA/mois × 12) + commissions générées sur son volume de vente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Hypothèse construite sur le prix catalogue du palier PRO, à confirmer par la donnée réelle</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Ratio LTV/CAC visé</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Très favorable en Année 1 grâce à l'acquisition à coût quasi nul</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À surveiller de près lorsque l'acquisition s'étendra au-delà du premier cercle coopératif</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Délai de récupération (payback)</w:t>
            </w:r>
          </w:p>
        </w:tc>
        <w:tc>
          <w:tcPr>
            <w:tcW w:type="dxa" w:w="3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Immédiat à quelques mois pour un abonné PRO, compte tenu du CAC très faible</w:t>
            </w:r>
          </w:p>
        </w:tc>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Indicateur à consolider avec les données réelles de conversion FREE → payant</w:t>
            </w:r>
          </w:p>
        </w:tc>
      </w:tr>
    </w:tbl>
    <w:p>
      <w:pPr>
        <w:pStyle w:val="Heading3"/>
        <w:spacing w:after="120" w:before="240"/>
      </w:pPr>
      <w:r>
        <w:rPr>
          <w:rFonts w:ascii="Calibri" w:cs="Calibri" w:eastAsia="Calibri" w:hAnsi="Calibri"/>
          <w:b/>
          <w:bCs/>
          <w:color w:val="C27D10"/>
          <w:sz w:val="22"/>
          <w:szCs w:val="22"/>
        </w:rPr>
        <w:t xml:space="preserve">Scénarios — Année 1 (prudent / médian / optimiste)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Indicateur (Année 1)</w:t>
            </w:r>
          </w:p>
        </w:tc>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Prudent</w:t>
            </w:r>
          </w:p>
        </w:tc>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Médian (retenu)</w:t>
            </w:r>
          </w:p>
        </w:tc>
        <w:tc>
          <w:tcPr>
            <w:tcW w:type="dxa" w:w="22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Optimiste</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GMV annuelle</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180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269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350 M FCFA</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Revenu total</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13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21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30 M FCFA</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Taux de conversion vers abonnement payant</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5-6%</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8%</w:t>
            </w:r>
          </w:p>
        </w:tc>
      </w:tr>
      <w:tr>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Résultat net</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-30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-21 M FCFA</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-12 M FCFA</w:t>
            </w:r>
          </w:p>
        </w:tc>
      </w:tr>
    </w:tbl>
    <w:p>
      <w:pPr>
        <w:spacing w:after="120" w:before="0"/>
        <w:jc w:val="left"/>
      </w:pPr>
      <w:r>
        <w:rPr>
          <w:rFonts w:ascii="Calibri" w:cs="Calibri" w:eastAsia="Calibri" w:hAnsi="Calibri"/>
          <w:b w:val="false"/>
          <w:bCs w:val="false"/>
          <w:i/>
          <w:iCs/>
          <w:color w:val="1C1917"/>
          <w:sz w:val="21"/>
          <w:szCs w:val="21"/>
        </w:rPr>
        <w:t xml:space="preserve">Le scénario médian est celui retenu pour le dimensionnement du besoin de financement (§ ci-après) ; le scénario prudent reste finançable dans l'enveloppe Seed cible de 150 M FCFA compte tenu de la marge de sécurité intégrée.</w:t>
      </w:r>
    </w:p>
    <w:p>
      <w:pPr>
        <w:pStyle w:val="Heading3"/>
        <w:spacing w:after="120" w:before="240"/>
      </w:pPr>
      <w:r>
        <w:rPr>
          <w:rFonts w:ascii="Calibri" w:cs="Calibri" w:eastAsia="Calibri" w:hAnsi="Calibri"/>
          <w:b/>
          <w:bCs/>
          <w:color w:val="C27D10"/>
          <w:sz w:val="22"/>
          <w:szCs w:val="22"/>
        </w:rPr>
        <w:t xml:space="preserve">Chiffre d'affaires et résultats prévisionnels (3 ans)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100"/>
      </w:tblGrid>
      <w:tr>
        <w:trPr>
          <w:tblHeader/>
        </w:trPr>
        <w:tc>
          <w:tcPr>
            <w:tcW w:type="dxa" w:w="26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Poste (FCFA)</w:t>
            </w:r>
          </w:p>
        </w:tc>
        <w:tc>
          <w:tcPr>
            <w:tcW w:type="dxa" w:w="21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Année 1</w:t>
            </w:r>
          </w:p>
        </w:tc>
        <w:tc>
          <w:tcPr>
            <w:tcW w:type="dxa" w:w="21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Année 2</w:t>
            </w:r>
          </w:p>
        </w:tc>
        <w:tc>
          <w:tcPr>
            <w:tcW w:type="dxa" w:w="21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Année 3</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GMV annuelle (volume transactionnel)</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269 M (détail mensuel ci-dessus)</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900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2,0 Md</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Revenu commissions</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13,5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55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140 M</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Revenu abonnements</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7,9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25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70 M</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Revenu affacturage &amp; autres (non prioritaire An.1)</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0-1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5 M</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20 M</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Revenu total</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21 M</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85 M</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 230 M</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Charges opérationnelles</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44 M (dont activation salariale à M7, voir détail mensuel)</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120 M (post-levée, salaires en année pleine)</w:t>
            </w:r>
          </w:p>
        </w:tc>
        <w:tc>
          <w:tcPr>
            <w:tcW w:type="dxa" w:w="21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 200 M</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Résultat net (EBITDA simplifié)</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B3261E"/>
                <w:sz w:val="19"/>
                <w:szCs w:val="19"/>
              </w:rPr>
              <w:t xml:space="preserve">≈ -23 M</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B3261E"/>
                <w:sz w:val="19"/>
                <w:szCs w:val="19"/>
              </w:rPr>
              <w:t xml:space="preserve">≈ -35 M</w:t>
            </w:r>
          </w:p>
        </w:tc>
        <w:tc>
          <w:tcPr>
            <w:tcW w:type="dxa" w:w="2100"/>
            <w:tcMar>
              <w:top w:type="dxa" w:w="80"/>
              <w:left w:type="dxa" w:w="100"/>
              <w:bottom w:type="dxa" w:w="80"/>
              <w:right w:type="dxa" w:w="100"/>
            </w:tcMar>
            <w:vAlign w:val="center"/>
          </w:tcPr>
          <w:p>
            <w:pPr>
              <w:spacing w:after="0"/>
            </w:pPr>
            <w:r>
              <w:rPr>
                <w:rFonts w:ascii="Calibri" w:cs="Calibri" w:eastAsia="Calibri" w:hAnsi="Calibri"/>
                <w:b/>
                <w:bCs/>
                <w:color w:val="1F5C2E"/>
                <w:sz w:val="19"/>
                <w:szCs w:val="19"/>
              </w:rPr>
              <w:t xml:space="preserve">≈ +30 M</w:t>
            </w:r>
          </w:p>
        </w:tc>
      </w:tr>
    </w:tbl>
    <w:p>
      <w:pPr>
        <w:spacing w:after="120" w:before="0"/>
        <w:jc w:val="left"/>
      </w:pPr>
      <w:r>
        <w:rPr>
          <w:rFonts w:ascii="Calibri" w:cs="Calibri" w:eastAsia="Calibri" w:hAnsi="Calibri"/>
          <w:b w:val="false"/>
          <w:bCs w:val="false"/>
          <w:i w:val="false"/>
          <w:iCs w:val="false"/>
          <w:color w:val="1C1917"/>
          <w:sz w:val="21"/>
          <w:szCs w:val="21"/>
        </w:rPr>
        <w:t xml:space="preserve">Lecture : la perte de l'Année 1, précisée mois par mois ci-dessus, reste maîtrisée grâce au montage d'équipe capital-efficient (la Responsable Technique est rémunérée en equity tant que le contrat est suspendu, avant M7). L'Année 2 absorbe le coût de l'activation salariale en année pleine et de la montée en équipe ; l'Année 3 montre une trajectoire vers la rentabilité portée par la base d'abonnements récurrents et la croissance des commissions.</w:t>
      </w:r>
    </w:p>
    <w:p>
      <w:pPr>
        <w:pStyle w:val="Heading3"/>
        <w:spacing w:after="120" w:before="240"/>
      </w:pPr>
      <w:r>
        <w:rPr>
          <w:rFonts w:ascii="Calibri" w:cs="Calibri" w:eastAsia="Calibri" w:hAnsi="Calibri"/>
          <w:b/>
          <w:bCs/>
          <w:color w:val="C27D10"/>
          <w:sz w:val="22"/>
          <w:szCs w:val="22"/>
        </w:rPr>
        <w:t xml:space="preserve">Besoin de financement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rPr>
          <w:tblHeader/>
        </w:trPr>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Seuil</w:t>
            </w:r>
          </w:p>
        </w:tc>
        <w:tc>
          <w:tcPr>
            <w:tcW w:type="dxa" w:w="2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Montant</w:t>
            </w:r>
          </w:p>
        </w:tc>
        <w:tc>
          <w:tcPr>
            <w:tcW w:type="dxa" w:w="2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Effet</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Seuil plancher</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50 M FCFA</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Déclenche l'activation contractuelle de la Responsable Technique (tel que défini dans son contrat de travail) et le début du plan de vesting</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bCs/>
                <w:color w:val="1C1917"/>
                <w:sz w:val="19"/>
                <w:szCs w:val="19"/>
              </w:rPr>
              <w:t xml:space="preserve">Cible Seed</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150 M FCFA (≈ 228 000 €)</w:t>
            </w:r>
          </w:p>
        </w:tc>
        <w:tc>
          <w:tcPr>
            <w:tcW w:type="dxa" w:w="2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Finance 18 mois d'exécution produit et commerciale avec marge de sécurité</w:t>
            </w:r>
          </w:p>
        </w:tc>
      </w:tr>
    </w:tbl>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900"/>
      </w:tblGrid>
      <w:tr>
        <w:trPr>
          <w:tblHeader/>
        </w:trPr>
        <w:tc>
          <w:tcPr>
            <w:tcW w:type="dxa" w:w="30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Poste d'utilisation</w:t>
            </w:r>
          </w:p>
        </w:tc>
        <w:tc>
          <w:tcPr>
            <w:tcW w:type="dxa" w:w="18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 de l'enveloppe</w:t>
            </w:r>
          </w:p>
        </w:tc>
        <w:tc>
          <w:tcPr>
            <w:tcW w:type="dxa" w:w="3900"/>
            <w:shd w:fill="1F5C2E"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Détail</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Produit &amp; technologie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30%</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Exécution du backlog, automatisation progressive du SCG</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Équipe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35%</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Activation du contrat de la Responsable Technique, recrutements complémentaires (§V.4)</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Acquisition &amp; terrain</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20%</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Onboarding de nouvelles coopératives, accompagnement terrain</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Conformité &amp; partenariats</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10%</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Structuration juridique des futurs partenariats financiers, veille réglementaire</w:t>
            </w:r>
          </w:p>
        </w:tc>
      </w:tr>
      <w:tr>
        <w:tc>
          <w:tcPr>
            <w:tcW w:type="dxa" w:w="30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Réserve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5%</w:t>
            </w:r>
          </w:p>
        </w:tc>
        <w:tc>
          <w:tcPr>
            <w:tcW w:type="dxa" w:w="3900"/>
            <w:tcMar>
              <w:top w:type="dxa" w:w="80"/>
              <w:left w:type="dxa" w:w="100"/>
              <w:bottom w:type="dxa" w:w="80"/>
              <w:right w:type="dxa" w:w="100"/>
            </w:tcMar>
            <w:vAlign w:val="center"/>
          </w:tcPr>
          <w:p>
            <w:pPr>
              <w:spacing w:after="0"/>
            </w:pPr>
            <w:r>
              <w:rPr>
                <w:rFonts w:ascii="Calibri" w:cs="Calibri" w:eastAsia="Calibri" w:hAnsi="Calibri"/>
                <w:b w:val="false"/>
                <w:bCs w:val="false"/>
                <w:color w:val="1C1917"/>
                <w:sz w:val="19"/>
                <w:szCs w:val="19"/>
              </w:rPr>
              <w:t xml:space="preserve">Aléas et ajustements de trajectoire</w:t>
            </w:r>
          </w:p>
        </w:tc>
      </w:tr>
    </w:tbl>
    <w:p>
      <w:pPr>
        <w:spacing w:after="120" w:before="0"/>
        <w:jc w:val="left"/>
      </w:pPr>
      <w:r>
        <w:rPr>
          <w:rFonts w:ascii="Calibri" w:cs="Calibri" w:eastAsia="Calibri" w:hAnsi="Calibri"/>
          <w:b w:val="false"/>
          <w:bCs w:val="false"/>
          <w:i/>
          <w:iCs/>
          <w:color w:val="1C1917"/>
          <w:sz w:val="21"/>
          <w:szCs w:val="21"/>
        </w:rPr>
        <w:t xml:space="preserve">Nous ne mentionnons, à ce stade, aucun autre dispositif de financement non dilutif tant qu'il n'est pas formellement confirmé — ce document se limite à la levée en fonds propres décrite ci-dessus, seule piste actuellement engageable avec certitude.</w:t>
      </w:r>
    </w:p>
    <w:p>
      <w:r>
        <w:br w:type="page"/>
      </w:r>
    </w:p>
    <w:p>
      <w:pPr>
        <w:pStyle w:val="Heading1"/>
        <w:pBdr>
          <w:bottom w:val="single" w:color="1F5C2E" w:sz="8" w:space="4"/>
        </w:pBdr>
        <w:spacing w:after="200" w:before="400"/>
      </w:pPr>
      <w:r>
        <w:rPr>
          <w:rFonts w:ascii="Calibri" w:cs="Calibri" w:eastAsia="Calibri" w:hAnsi="Calibri"/>
          <w:b/>
          <w:bCs/>
          <w:color w:val="1F5C2E"/>
          <w:sz w:val="30"/>
          <w:szCs w:val="30"/>
        </w:rPr>
        <w:t xml:space="preserve">Conclusion</w:t>
      </w:r>
    </w:p>
    <w:p>
      <w:pPr>
        <w:spacing w:after="120" w:before="0"/>
        <w:jc w:val="left"/>
      </w:pPr>
      <w:r>
        <w:rPr>
          <w:rFonts w:ascii="Calibri" w:cs="Calibri" w:eastAsia="Calibri" w:hAnsi="Calibri"/>
          <w:b w:val="false"/>
          <w:bCs w:val="false"/>
          <w:i w:val="false"/>
          <w:iCs w:val="false"/>
          <w:color w:val="1C1917"/>
          <w:sz w:val="21"/>
          <w:szCs w:val="21"/>
        </w:rPr>
        <w:t xml:space="preserve">GWA n'est pas un pari sur un futur produit : c'est une bêta avancée, déjà en production, ancrée sur un partenariat coopératif réel (SIDONOBIEL) et portée par une équipe technique senior déjà engagée dans le projet — y compris financièrement, via un mécanisme d'equity qui aligne ses intérêts sur ceux des investisseurs dès le premier jour.</w:t>
      </w:r>
    </w:p>
    <w:p>
      <w:pPr>
        <w:spacing w:after="120" w:before="0"/>
        <w:jc w:val="left"/>
      </w:pPr>
      <w:r>
        <w:rPr>
          <w:rFonts w:ascii="Calibri" w:cs="Calibri" w:eastAsia="Calibri" w:hAnsi="Calibri"/>
          <w:b w:val="false"/>
          <w:bCs w:val="false"/>
          <w:i w:val="false"/>
          <w:iCs w:val="false"/>
          <w:color w:val="1C1917"/>
          <w:sz w:val="21"/>
          <w:szCs w:val="21"/>
        </w:rPr>
        <w:t xml:space="preserve">Notre stratégie pour les 12 prochains mois est délibérément resserrée sur deux sources de revenu que nous maîtrisons entièrement — les commissions marketplace et les abonnements SaaS — plutôt que de dépendre d'un partenariat financier externe encore à sécuriser pour l'affacturage. C'est un choix de discipline, pas un manque d'ambition : l'affacturage reste au cœur de notre différenciation à moyen terme.</w:t>
      </w:r>
    </w:p>
    <w:p>
      <w:pPr>
        <w:spacing w:after="120" w:before="0"/>
        <w:jc w:val="left"/>
      </w:pPr>
      <w:r>
        <w:rPr>
          <w:rFonts w:ascii="Calibri" w:cs="Calibri" w:eastAsia="Calibri" w:hAnsi="Calibri"/>
          <w:b w:val="false"/>
          <w:bCs w:val="false"/>
          <w:i w:val="false"/>
          <w:iCs w:val="false"/>
          <w:color w:val="1C1917"/>
          <w:sz w:val="21"/>
          <w:szCs w:val="21"/>
        </w:rPr>
        <w:t xml:space="preserve">Ce que nous attendons de nos interlocuteurs : un financement en fonds propres compris entre 50 et 150 M FCFA pour activer pleinement notre équipe et accélérer l'exécution déjà engagée. Nous savons que les 12 prochains mois se jouent sur l'exécution, pas sur la promesse — et notre produit, déjà vivant, en est la meilleure preuve.</w:t>
      </w:r>
    </w:p>
    <w:p>
      <w:pPr>
        <w:pStyle w:val="Heading1"/>
        <w:pBdr>
          <w:bottom w:val="single" w:color="1F5C2E" w:sz="8" w:space="4"/>
        </w:pBdr>
        <w:spacing w:after="200" w:before="400"/>
      </w:pPr>
      <w:r>
        <w:rPr>
          <w:rFonts w:ascii="Calibri" w:cs="Calibri" w:eastAsia="Calibri" w:hAnsi="Calibri"/>
          <w:b/>
          <w:bCs/>
          <w:color w:val="1F5C2E"/>
          <w:sz w:val="30"/>
          <w:szCs w:val="30"/>
        </w:rPr>
        <w:t xml:space="preserve">Annexes</w:t>
      </w:r>
    </w:p>
    <w:p>
      <w:pPr>
        <w:pStyle w:val="ListParagraph"/>
        <w:numPr>
          <w:ilvl w:val="0"/>
          <w:numId w:val="2"/>
        </w:numPr>
        <w:spacing w:after="80"/>
      </w:pPr>
      <w:r>
        <w:rPr>
          <w:rFonts w:ascii="Calibri" w:cs="Calibri" w:eastAsia="Calibri" w:hAnsi="Calibri"/>
          <w:b w:val="false"/>
          <w:bCs w:val="false"/>
          <w:color w:val="1C1917"/>
          <w:sz w:val="21"/>
          <w:szCs w:val="21"/>
        </w:rPr>
        <w:t xml:space="preserve">Cahier des charges technique complet (spécifications F1-F6, architecture, sécurité).</w:t>
      </w:r>
    </w:p>
    <w:p>
      <w:pPr>
        <w:pStyle w:val="ListParagraph"/>
        <w:numPr>
          <w:ilvl w:val="0"/>
          <w:numId w:val="2"/>
        </w:numPr>
        <w:spacing w:after="80"/>
      </w:pPr>
      <w:r>
        <w:rPr>
          <w:rFonts w:ascii="Calibri" w:cs="Calibri" w:eastAsia="Calibri" w:hAnsi="Calibri"/>
          <w:b w:val="false"/>
          <w:bCs w:val="false"/>
          <w:color w:val="1C1917"/>
          <w:sz w:val="21"/>
          <w:szCs w:val="21"/>
        </w:rPr>
        <w:t xml:space="preserve">Cahier des charges — Objectifs 12/24 mois (17 modules détaillés, schéma d'architecture).</w:t>
      </w:r>
    </w:p>
    <w:p>
      <w:pPr>
        <w:pStyle w:val="ListParagraph"/>
        <w:numPr>
          <w:ilvl w:val="0"/>
          <w:numId w:val="2"/>
        </w:numPr>
        <w:spacing w:after="80"/>
      </w:pPr>
      <w:r>
        <w:rPr>
          <w:rFonts w:ascii="Calibri" w:cs="Calibri" w:eastAsia="Calibri" w:hAnsi="Calibri"/>
          <w:b w:val="false"/>
          <w:bCs w:val="false"/>
          <w:color w:val="1C1917"/>
          <w:sz w:val="21"/>
          <w:szCs w:val="21"/>
        </w:rPr>
        <w:t xml:space="preserve">Grille de scoring SCG détaillée (5 C du crédit, 13 sous-critères pondérés).</w:t>
      </w:r>
    </w:p>
    <w:p>
      <w:pPr>
        <w:pStyle w:val="ListParagraph"/>
        <w:numPr>
          <w:ilvl w:val="0"/>
          <w:numId w:val="2"/>
        </w:numPr>
        <w:spacing w:after="80"/>
      </w:pPr>
      <w:r>
        <w:rPr>
          <w:rFonts w:ascii="Calibri" w:cs="Calibri" w:eastAsia="Calibri" w:hAnsi="Calibri"/>
          <w:b w:val="false"/>
          <w:bCs w:val="false"/>
          <w:color w:val="1C1917"/>
          <w:sz w:val="21"/>
          <w:szCs w:val="21"/>
        </w:rPr>
        <w:t xml:space="preserve">Statuts de KOUAME Corporation SASU et RCCM.</w:t>
      </w:r>
    </w:p>
    <w:p>
      <w:pPr>
        <w:pStyle w:val="ListParagraph"/>
        <w:numPr>
          <w:ilvl w:val="0"/>
          <w:numId w:val="2"/>
        </w:numPr>
        <w:spacing w:after="80"/>
      </w:pPr>
      <w:r>
        <w:rPr>
          <w:rFonts w:ascii="Calibri" w:cs="Calibri" w:eastAsia="Calibri" w:hAnsi="Calibri"/>
          <w:b w:val="false"/>
          <w:bCs w:val="false"/>
          <w:color w:val="1C1917"/>
          <w:sz w:val="21"/>
          <w:szCs w:val="21"/>
        </w:rPr>
        <w:t xml:space="preserve">Contrat de travail de la Responsable Technique du Projet GWA (Makan Diabate) — structure d'equity et conditions d'activation.</w:t>
      </w:r>
    </w:p>
    <w:p>
      <w:pPr>
        <w:pStyle w:val="ListParagraph"/>
        <w:numPr>
          <w:ilvl w:val="0"/>
          <w:numId w:val="2"/>
        </w:numPr>
        <w:spacing w:after="80"/>
      </w:pPr>
      <w:r>
        <w:rPr>
          <w:rFonts w:ascii="Calibri" w:cs="Calibri" w:eastAsia="Calibri" w:hAnsi="Calibri"/>
          <w:b w:val="false"/>
          <w:bCs w:val="false"/>
          <w:color w:val="1C1917"/>
          <w:sz w:val="21"/>
          <w:szCs w:val="21"/>
        </w:rPr>
        <w:t xml:space="preserve">CV de l'équipe fondatrice et technique.</w:t>
      </w:r>
    </w:p>
    <w:p>
      <w:pPr>
        <w:pStyle w:val="ListParagraph"/>
        <w:numPr>
          <w:ilvl w:val="0"/>
          <w:numId w:val="2"/>
        </w:numPr>
        <w:spacing w:after="80"/>
      </w:pPr>
      <w:r>
        <w:rPr>
          <w:rFonts w:ascii="Calibri" w:cs="Calibri" w:eastAsia="Calibri" w:hAnsi="Calibri"/>
          <w:b w:val="false"/>
          <w:bCs w:val="false"/>
          <w:color w:val="1C1917"/>
          <w:sz w:val="21"/>
          <w:szCs w:val="21"/>
        </w:rPr>
        <w:t xml:space="preserve">Lettres d'intention et documentation de partenariat avec la coopérative SIDONOBIEL.</w:t>
      </w:r>
    </w:p>
    <w:p>
      <w:pPr>
        <w:pStyle w:val="ListParagraph"/>
        <w:numPr>
          <w:ilvl w:val="0"/>
          <w:numId w:val="2"/>
        </w:numPr>
        <w:spacing w:after="80"/>
      </w:pPr>
      <w:r>
        <w:rPr>
          <w:rFonts w:ascii="Calibri" w:cs="Calibri" w:eastAsia="Calibri" w:hAnsi="Calibri"/>
          <w:b w:val="false"/>
          <w:bCs w:val="false"/>
          <w:color w:val="1C1917"/>
          <w:sz w:val="21"/>
          <w:szCs w:val="21"/>
        </w:rPr>
        <w:t xml:space="preserve">Modèle financier complet (fichier Excel, hypothèses détaillées).</w:t>
      </w:r>
    </w:p>
    <w:p>
      <w:pPr>
        <w:pBdr>
          <w:top w:val="single" w:color="D9D9D9" w:sz="4" w:space="8"/>
        </w:pBdr>
        <w:spacing w:before="500"/>
      </w:pPr>
      <w:r>
        <w:rPr>
          <w:rFonts w:ascii="Calibri" w:cs="Calibri" w:eastAsia="Calibri" w:hAnsi="Calibri"/>
          <w:i/>
          <w:iCs/>
          <w:color w:val="666666"/>
          <w:sz w:val="16"/>
          <w:szCs w:val="16"/>
        </w:rPr>
        <w:t xml:space="preserve">KOUAME Corporation — Abidjan-Cocody Angré, lot 1232 · kouamecorporation@gmail.com · +225 05 85 82 79 37</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KOUAME Corporation — GWA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Calibri" w:cs="Calibri" w:eastAsia="Calibri" w:hAnsi="Calibri"/>
        <w:color w:val="666666"/>
        <w:sz w:val="16"/>
        <w:szCs w:val="16"/>
      </w:rPr>
      <w:t xml:space="preserve">GWA · KOUAME CORPORATION</w:t>
    </w:r>
    <w:ptab w:alignment="right" w:relativeTo="margin" w:leader="none"/>
    <w:r>
      <w:rPr>
        <w:rFonts w:ascii="Calibri" w:cs="Calibri" w:eastAsia="Calibri" w:hAnsi="Calibri"/>
        <w:color w:val="666666"/>
        <w:sz w:val="16"/>
        <w:szCs w:val="16"/>
      </w:rPr>
      <w:t xml:space="preserve">Business Plan — Strictement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5C2E"/>
      </w:rPr>
    </w:lvl>
    <w:lvl w:ilvl="1" w15:tentative="1">
      <w:start w:val="1"/>
      <w:numFmt w:val="bullet"/>
      <w:lvlText w:val="○"/>
      <w:lvlJc w:val="left"/>
      <w:pPr>
        <w:ind w:left="680" w:hanging="220"/>
      </w:pPr>
      <w:rPr>
        <w:color w:val="C27D1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2026-07-27T20:52:22.971Z</dcterms:created>
  <dcterms:modified xsi:type="dcterms:W3CDTF">2026-07-27T20:52:22.984Z</dcterms:modified>
</cp:coreProperties>
</file>

<file path=docProps/custom.xml><?xml version="1.0" encoding="utf-8"?>
<Properties xmlns="http://schemas.openxmlformats.org/officeDocument/2006/custom-properties" xmlns:vt="http://schemas.openxmlformats.org/officeDocument/2006/docPropsVTypes"/>
</file>