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X1 product performance approval</w:t>
      </w:r>
    </w:p>
    <w:p>
      <w:pPr>
        <w:pStyle w:val="Subtitle"/>
      </w:pPr>
      <w:r>
        <w:t>Review the proposed budgets, then complete and sign page 2.</w:t>
      </w:r>
    </w:p>
    <w:p>
      <w:pPr>
        <w:pStyle w:val="Formmetadata"/>
      </w:pPr>
      <w:r>
        <w:rPr>
          <w:b/>
        </w:rPr>
        <w:t xml:space="preserve">Form reference: </w:t>
      </w:r>
      <w:r>
        <w:t>X1-PRODUCT-FORM-20260905-v2  |  Prepared 05 September 2026</w:t>
      </w:r>
    </w:p>
    <w:p>
      <w:pPr>
        <w:pStyle w:val="Formmetadata"/>
      </w:pPr>
      <w:r>
        <w:rPr>
          <w:b/>
        </w:rPr>
        <w:t xml:space="preserve">Status: </w:t>
      </w:r>
      <w:r>
        <w:t>Prepared for signature; no decision has been recorded.</w:t>
      </w:r>
    </w:p>
    <w:p>
      <w:pPr>
        <w:pStyle w:val="Formmetadata"/>
      </w:pPr>
      <w:r>
        <w:rPr>
          <w:b/>
        </w:rPr>
        <w:t xml:space="preserve">Scope: </w:t>
      </w:r>
      <w:r>
        <w:t>X1-finance-accounting-performance-budgets  |  Budget contract v1</w:t>
      </w:r>
    </w:p>
    <w:p>
      <w:r>
        <w:t>This form records the product authority's decision on the targets below for Stoquify's X1 finance/accounting workflow. It becomes an approval only through the authorized decision and verified signed record described on pages 2 and 3.</w:t>
      </w:r>
    </w:p>
    <w:p>
      <w:pPr>
        <w:pStyle w:val="Heading1"/>
      </w:pPr>
      <w:r>
        <w:t>Proposed engineering budgets</w:t>
      </w:r>
    </w:p>
    <w:tbl>
      <w:tblPr>
        <w:tblW w:type="dxa" w:w="9360"/>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800"/>
        <w:gridCol w:w="6560"/>
      </w:tblGrid>
      <w:tr>
        <w:trPr>
          <w:cantSplit/>
          <w:tblHeader/>
        </w:trPr>
        <w:tc>
          <w:tcPr>
            <w:tcW w:type="dxa" w:w="2800"/>
            <w:tcMar>
              <w:top w:w="80" w:type="dxa"/>
              <w:bottom w:w="80" w:type="dxa"/>
              <w:start w:w="120" w:type="dxa"/>
              <w:end w:w="120" w:type="dxa"/>
            </w:tcMar>
            <w:shd w:fill="F2F4F7"/>
          </w:tcPr>
          <w:p>
            <w:pPr>
              <w:pStyle w:val="Budgetheader"/>
            </w:pPr>
            <w:r>
              <w:t>Signal</w:t>
            </w:r>
          </w:p>
        </w:tc>
        <w:tc>
          <w:tcPr>
            <w:tcW w:type="dxa" w:w="6560"/>
            <w:tcMar>
              <w:top w:w="80" w:type="dxa"/>
              <w:bottom w:w="80" w:type="dxa"/>
              <w:start w:w="120" w:type="dxa"/>
              <w:end w:w="120" w:type="dxa"/>
            </w:tcMar>
            <w:shd w:fill="F2F4F7"/>
          </w:tcPr>
          <w:p>
            <w:pPr>
              <w:pStyle w:val="Budgetheader"/>
            </w:pPr>
            <w:r>
              <w:t>Target proposed for approval</w:t>
            </w:r>
          </w:p>
        </w:tc>
      </w:tr>
      <w:tr>
        <w:trPr>
          <w:cantSplit/>
        </w:trPr>
        <w:tc>
          <w:tcPr>
            <w:tcW w:type="dxa" w:w="2800"/>
            <w:tcMar>
              <w:top w:w="80" w:type="dxa"/>
              <w:bottom w:w="80" w:type="dxa"/>
              <w:start w:w="120" w:type="dxa"/>
              <w:end w:w="120" w:type="dxa"/>
            </w:tcMar>
          </w:tcPr>
          <w:p>
            <w:pPr>
              <w:pStyle w:val="Budgetcell"/>
            </w:pPr>
            <w:r>
              <w:t>Local sort / filter</w:t>
            </w:r>
          </w:p>
        </w:tc>
        <w:tc>
          <w:tcPr>
            <w:tcW w:type="dxa" w:w="6560"/>
            <w:tcMar>
              <w:top w:w="80" w:type="dxa"/>
              <w:bottom w:w="80" w:type="dxa"/>
              <w:start w:w="120" w:type="dxa"/>
              <w:end w:w="120" w:type="dxa"/>
            </w:tcMar>
          </w:tcPr>
          <w:p>
            <w:pPr>
              <w:pStyle w:val="Budgetcell"/>
            </w:pPr>
            <w:r>
              <w:t>Interaction response under 100 ms on p75 test hardware, using a bounded client dataset.</w:t>
            </w:r>
          </w:p>
        </w:tc>
      </w:tr>
      <w:tr>
        <w:trPr>
          <w:cantSplit/>
        </w:trPr>
        <w:tc>
          <w:tcPr>
            <w:tcW w:type="dxa" w:w="2800"/>
            <w:tcMar>
              <w:top w:w="80" w:type="dxa"/>
              <w:bottom w:w="80" w:type="dxa"/>
              <w:start w:w="120" w:type="dxa"/>
              <w:end w:w="120" w:type="dxa"/>
            </w:tcMar>
          </w:tcPr>
          <w:p>
            <w:pPr>
              <w:pStyle w:val="Budgetcell"/>
            </w:pPr>
            <w:r>
              <w:t>Server filter / sort</w:t>
            </w:r>
          </w:p>
        </w:tc>
        <w:tc>
          <w:tcPr>
            <w:tcW w:type="dxa" w:w="6560"/>
            <w:tcMar>
              <w:top w:w="80" w:type="dxa"/>
              <w:bottom w:w="80" w:type="dxa"/>
              <w:start w:w="120" w:type="dxa"/>
              <w:end w:w="120" w:type="dxa"/>
            </w:tcMar>
          </w:tcPr>
          <w:p>
            <w:pPr>
              <w:pStyle w:val="Budgetcell"/>
            </w:pPr>
            <w:r>
              <w:t>Loading indication under 150 ms; useful result under 1,000 ms at p75.</w:t>
            </w:r>
          </w:p>
        </w:tc>
      </w:tr>
      <w:tr>
        <w:trPr>
          <w:cantSplit/>
        </w:trPr>
        <w:tc>
          <w:tcPr>
            <w:tcW w:type="dxa" w:w="2800"/>
            <w:tcMar>
              <w:top w:w="80" w:type="dxa"/>
              <w:bottom w:w="80" w:type="dxa"/>
              <w:start w:w="120" w:type="dxa"/>
              <w:end w:w="120" w:type="dxa"/>
            </w:tcMar>
          </w:tcPr>
          <w:p>
            <w:pPr>
              <w:pStyle w:val="Budgetcell"/>
            </w:pPr>
            <w:r>
              <w:t>Page navigation</w:t>
            </w:r>
          </w:p>
        </w:tc>
        <w:tc>
          <w:tcPr>
            <w:tcW w:type="dxa" w:w="6560"/>
            <w:tcMar>
              <w:top w:w="80" w:type="dxa"/>
              <w:bottom w:w="80" w:type="dxa"/>
              <w:start w:w="120" w:type="dxa"/>
              <w:end w:w="120" w:type="dxa"/>
            </w:tcMar>
          </w:tcPr>
          <w:p>
            <w:pPr>
              <w:pStyle w:val="Budgetcell"/>
            </w:pPr>
            <w:r>
              <w:t>Useful rows under 750 ms at p75 after a cached shell.</w:t>
            </w:r>
          </w:p>
        </w:tc>
      </w:tr>
      <w:tr>
        <w:trPr>
          <w:cantSplit/>
        </w:trPr>
        <w:tc>
          <w:tcPr>
            <w:tcW w:type="dxa" w:w="2800"/>
            <w:tcMar>
              <w:top w:w="80" w:type="dxa"/>
              <w:bottom w:w="80" w:type="dxa"/>
              <w:start w:w="120" w:type="dxa"/>
              <w:end w:w="120" w:type="dxa"/>
            </w:tcMar>
          </w:tcPr>
          <w:p>
            <w:pPr>
              <w:pStyle w:val="Budgetcell"/>
            </w:pPr>
            <w:r>
              <w:t>Bulk action acknowledgement</w:t>
            </w:r>
          </w:p>
        </w:tc>
        <w:tc>
          <w:tcPr>
            <w:tcW w:type="dxa" w:w="6560"/>
            <w:tcMar>
              <w:top w:w="80" w:type="dxa"/>
              <w:bottom w:w="80" w:type="dxa"/>
              <w:start w:w="120" w:type="dxa"/>
              <w:end w:w="120" w:type="dxa"/>
            </w:tcMar>
          </w:tcPr>
          <w:p>
            <w:pPr>
              <w:pStyle w:val="Budgetcell"/>
            </w:pPr>
            <w:r>
              <w:t>Immediate job receipt, with progress and partial-result handling.</w:t>
            </w:r>
          </w:p>
        </w:tc>
      </w:tr>
      <w:tr>
        <w:trPr>
          <w:cantSplit/>
        </w:trPr>
        <w:tc>
          <w:tcPr>
            <w:tcW w:type="dxa" w:w="2800"/>
            <w:tcMar>
              <w:top w:w="80" w:type="dxa"/>
              <w:bottom w:w="80" w:type="dxa"/>
              <w:start w:w="120" w:type="dxa"/>
              <w:end w:w="120" w:type="dxa"/>
            </w:tcMar>
          </w:tcPr>
          <w:p>
            <w:pPr>
              <w:pStyle w:val="Budgetcell"/>
            </w:pPr>
            <w:r>
              <w:t>Preference / view hydration</w:t>
            </w:r>
          </w:p>
        </w:tc>
        <w:tc>
          <w:tcPr>
            <w:tcW w:type="dxa" w:w="6560"/>
            <w:tcMar>
              <w:top w:w="80" w:type="dxa"/>
              <w:bottom w:w="80" w:type="dxa"/>
              <w:start w:w="120" w:type="dxa"/>
              <w:end w:w="120" w:type="dxa"/>
            </w:tcMar>
          </w:tcPr>
          <w:p>
            <w:pPr>
              <w:pStyle w:val="Budgetcell"/>
            </w:pPr>
            <w:r>
              <w:t>No visible column-layout flash after the initial shell.</w:t>
            </w:r>
          </w:p>
        </w:tc>
      </w:tr>
      <w:tr>
        <w:trPr>
          <w:cantSplit/>
        </w:trPr>
        <w:tc>
          <w:tcPr>
            <w:tcW w:type="dxa" w:w="2800"/>
            <w:tcMar>
              <w:top w:w="80" w:type="dxa"/>
              <w:bottom w:w="80" w:type="dxa"/>
              <w:start w:w="120" w:type="dxa"/>
              <w:end w:w="120" w:type="dxa"/>
            </w:tcMar>
          </w:tcPr>
          <w:p>
            <w:pPr>
              <w:pStyle w:val="Budgetcell"/>
            </w:pPr>
            <w:r>
              <w:t>Browser row DOM</w:t>
            </w:r>
          </w:p>
        </w:tc>
        <w:tc>
          <w:tcPr>
            <w:tcW w:type="dxa" w:w="6560"/>
            <w:tcMar>
              <w:top w:w="80" w:type="dxa"/>
              <w:bottom w:w="80" w:type="dxa"/>
              <w:start w:w="120" w:type="dxa"/>
              <w:end w:w="120" w:type="dxa"/>
            </w:tcMar>
          </w:tcPr>
          <w:p>
            <w:pPr>
              <w:pStyle w:val="Budgetcell"/>
            </w:pPr>
            <w:r>
              <w:t>Bounded by pagination or a proven virtualization strategy.</w:t>
            </w:r>
          </w:p>
        </w:tc>
      </w:tr>
      <w:tr>
        <w:trPr>
          <w:cantSplit/>
        </w:trPr>
        <w:tc>
          <w:tcPr>
            <w:tcW w:type="dxa" w:w="2800"/>
            <w:tcMar>
              <w:top w:w="80" w:type="dxa"/>
              <w:bottom w:w="80" w:type="dxa"/>
              <w:start w:w="120" w:type="dxa"/>
              <w:end w:w="120" w:type="dxa"/>
            </w:tcMar>
          </w:tcPr>
          <w:p>
            <w:pPr>
              <w:pStyle w:val="Budgetcell"/>
            </w:pPr>
            <w:r>
              <w:t>Export duration</w:t>
            </w:r>
          </w:p>
        </w:tc>
        <w:tc>
          <w:tcPr>
            <w:tcW w:type="dxa" w:w="6560"/>
            <w:tcMar>
              <w:top w:w="80" w:type="dxa"/>
              <w:bottom w:w="80" w:type="dxa"/>
              <w:start w:w="120" w:type="dxa"/>
              <w:end w:w="120" w:type="dxa"/>
            </w:tcMar>
          </w:tcPr>
          <w:p>
            <w:pPr>
              <w:pStyle w:val="Budgetcell"/>
            </w:pPr>
            <w:r>
              <w:t>Measured and retained by dataset tier and export format.</w:t>
            </w:r>
          </w:p>
        </w:tc>
      </w:tr>
    </w:tbl>
    <w:p>
      <w:pPr>
        <w:pStyle w:val="Tablecitation"/>
      </w:pPr>
      <w:r>
        <w:t>Source: current next-phase-contracts.ts and the X1 approval/evidence handoff, preserved in the review bundle identified on page 3.</w:t>
      </w:r>
    </w:p>
    <w:p>
      <w:pPr>
        <w:pStyle w:val="Heading2"/>
      </w:pPr>
      <w:r>
        <w:t>Measurement and scope</w:t>
      </w:r>
    </w:p>
    <w:p>
      <w:r>
        <w:t>The September 5 local run produced all 42 EN/FR screenshots after accessibility and mobile-observation fixes. Its 43 checks passed. This demonstrates local route coverage; performance-budget acceptance still requires the specified measurements. Route timings exclude audit and screenshot overhead and remain development-server observations.</w:t>
      </w:r>
    </w:p>
    <w:p>
      <w:pPr>
        <w:pStyle w:val="Formnote"/>
      </w:pPr>
      <w:r>
        <w:t>Scope: non-production; database stoquify_replay_next_20260830; tenant rds_org_001; isolation probe rds_org_002. Seven finance/accounting routes are covered in English and French on desktop, tablet, and mobile. Product approval does not itself authorize credential use, data capture, or release.</w:t>
      </w:r>
    </w:p>
    <w:p>
      <w:r>
        <w:br w:type="page"/>
      </w:r>
    </w:p>
    <w:p>
      <w:pPr>
        <w:pStyle w:val="Title"/>
      </w:pPr>
      <w:r>
        <w:t>Decision and signature</w:t>
      </w:r>
    </w:p>
    <w:p>
      <w:pPr>
        <w:pStyle w:val="Subtitle"/>
      </w:pPr>
      <w:r>
        <w:t>Complete this page as the appointed product authority.</w:t>
      </w:r>
    </w:p>
    <w:p>
      <w:pPr>
        <w:pStyle w:val="Formmetadata"/>
      </w:pPr>
      <w:r>
        <w:rPr>
          <w:b/>
        </w:rPr>
        <w:t xml:space="preserve">Form reference: </w:t>
      </w:r>
      <w:r>
        <w:t>X1-PRODUCT-FORM-20260905-v2</w:t>
      </w:r>
    </w:p>
    <w:p>
      <w:pPr>
        <w:pStyle w:val="Formfield"/>
      </w:pPr>
      <w:r>
        <w:t>Select exactly one decision:</w:t>
      </w:r>
    </w:p>
    <w:p>
      <w:pPr>
        <w:pStyle w:val="Formfield"/>
      </w:pPr>
      <w:r>
        <w:t>[  ] APPROVE as written     [  ] REJECT     [  ] REVISE</w:t>
      </w:r>
    </w:p>
    <w:p>
      <w:r>
        <w:t>By selecting APPROVE and signing below, I approve budget contract version 1 and the scope stated in this form, including the exact review bundle on page 3. I confirm that I hold the product decision authority identified below. Approval authorizes evaluation against these budgets; it does not establish that the implementation meets them.</w:t>
      </w:r>
    </w:p>
    <w:p>
      <w:pPr>
        <w:pStyle w:val="Formnote"/>
      </w:pPr>
      <w:r>
        <w:t>Proposed validity: 900 calendar days from the actual signed decision, carried forward from the unsigned September 3 form. Confirm or revise before signing. Approval ends earlier on revocation or a material change to the contract, routes, fixture scope, targets, or measurement method.</w:t>
      </w:r>
    </w:p>
    <w:p>
      <w:pPr>
        <w:pStyle w:val="Formfield"/>
      </w:pPr>
      <w:r>
        <w:rPr>
          <w:b/>
        </w:rPr>
        <w:t xml:space="preserve">Full legal / professional name: </w:t>
      </w:r>
      <w:r>
        <w:t>________________________________________________</w:t>
      </w:r>
    </w:p>
    <w:p>
      <w:pPr>
        <w:pStyle w:val="Formfield"/>
      </w:pPr>
      <w:r>
        <w:rPr>
          <w:b/>
        </w:rPr>
        <w:t xml:space="preserve">Organization and title: </w:t>
      </w:r>
      <w:r>
        <w:t>________________________________________________</w:t>
      </w:r>
    </w:p>
    <w:p>
      <w:pPr>
        <w:pStyle w:val="Formfield"/>
      </w:pPr>
      <w:r>
        <w:rPr>
          <w:b/>
        </w:rPr>
        <w:t xml:space="preserve">Product authority appointment / delegation reference: </w:t>
      </w:r>
      <w:r>
        <w:t>________________________________________________</w:t>
      </w:r>
    </w:p>
    <w:p>
      <w:pPr>
        <w:pStyle w:val="Formfield"/>
      </w:pPr>
      <w:r>
        <w:rPr>
          <w:b/>
        </w:rPr>
        <w:t xml:space="preserve">Approving user ID / identity mapping: </w:t>
      </w:r>
      <w:r>
        <w:t>________________________________________________</w:t>
      </w:r>
    </w:p>
    <w:p>
      <w:pPr>
        <w:pStyle w:val="Formnote"/>
      </w:pPr>
      <w:r>
        <w:t>The approving identity must be verified for the product_approver role when binding the manifest. A seeded persona name or role assignment alone does not establish your authority.</w:t>
      </w:r>
    </w:p>
    <w:p>
      <w:pPr>
        <w:pStyle w:val="Formfield"/>
      </w:pPr>
      <w:r>
        <w:rPr>
          <w:b/>
        </w:rPr>
        <w:t xml:space="preserve">Actual signed decision timestamp: </w:t>
      </w:r>
      <w:r>
        <w:t>____________________________  (ISO-8601 with timezone)</w:t>
      </w:r>
    </w:p>
    <w:p>
      <w:pPr>
        <w:pStyle w:val="Formnote"/>
      </w:pPr>
      <w:r>
        <w:t>Copy the authenticated signing event time. For an accepted manual-signature process, the register must retain verification of the actual signing time.</w:t>
      </w:r>
    </w:p>
    <w:p>
      <w:pPr>
        <w:pStyle w:val="Formfield"/>
      </w:pPr>
      <w:r>
        <w:rPr>
          <w:b/>
        </w:rPr>
        <w:t xml:space="preserve">Signature: </w:t>
      </w:r>
      <w:r>
        <w:t>________________________________________________</w:t>
      </w:r>
    </w:p>
    <w:p>
      <w:pPr>
        <w:pStyle w:val="Formnote"/>
      </w:pPr>
      <w:r>
        <w:t>Use the accepted electronic-signature workflow, or a manual signature with the verification required by your organization's controlled approval register.</w:t>
      </w:r>
    </w:p>
    <w:p>
      <w:pPr>
        <w:pStyle w:val="Formfield"/>
      </w:pPr>
      <w:r>
        <w:rPr>
          <w:b/>
        </w:rPr>
        <w:t xml:space="preserve">Reason for REJECT / REVISE, if applicable: </w:t>
      </w:r>
      <w:r>
        <w:t>________________________________________________</w:t>
      </w:r>
    </w:p>
    <w:p>
      <w:pPr>
        <w:pStyle w:val="Formfield"/>
      </w:pPr>
      <w:r>
        <w:t>____________________________________________________________________</w:t>
      </w:r>
    </w:p>
    <w:p>
      <w:pPr>
        <w:pStyle w:val="Formnote"/>
      </w:pPr>
      <w:r>
        <w:t>For REVISE, issue revised controlled text for a new decision. No option selected, an unverified signer, or an unsigned form leaves the product approval pending.</w:t>
      </w:r>
    </w:p>
    <w:p>
      <w:r>
        <w:br w:type="page"/>
      </w:r>
    </w:p>
    <w:p>
      <w:pPr>
        <w:pStyle w:val="Title"/>
      </w:pPr>
      <w:r>
        <w:t>Register the signed record</w:t>
      </w:r>
    </w:p>
    <w:p>
      <w:pPr>
        <w:pStyle w:val="Subtitle"/>
      </w:pPr>
      <w:r>
        <w:t>For the document controller or approver after signing.</w:t>
      </w:r>
    </w:p>
    <w:p>
      <w:r>
        <w:t>A particular commercial approval platform is not prescribed here. Your organization must recognize the register and its signature-verification process. A saved file or shared-folder link alone does not establish authenticated approval.</w:t>
      </w:r>
    </w:p>
    <w:p>
      <w:pPr>
        <w:pStyle w:val="Formfield"/>
      </w:pPr>
      <w:r>
        <w:rPr>
          <w:b/>
        </w:rPr>
        <w:t xml:space="preserve">Approval register / controlled system: </w:t>
      </w:r>
      <w:r>
        <w:t>________________________________________________</w:t>
      </w:r>
    </w:p>
    <w:p>
      <w:pPr>
        <w:pStyle w:val="Formfield"/>
      </w:pPr>
      <w:r>
        <w:rPr>
          <w:b/>
        </w:rPr>
        <w:t xml:space="preserve">Issued approval record ID: </w:t>
      </w:r>
      <w:r>
        <w:t>________________________________________________</w:t>
      </w:r>
    </w:p>
    <w:p>
      <w:pPr>
        <w:pStyle w:val="Formfield"/>
      </w:pPr>
      <w:r>
        <w:rPr>
          <w:b/>
        </w:rPr>
        <w:t xml:space="preserve">Signature verification / event / certificate reference: </w:t>
      </w:r>
      <w:r>
        <w:t>________________________________________________</w:t>
      </w:r>
    </w:p>
    <w:p>
      <w:pPr>
        <w:pStyle w:val="Formfield"/>
      </w:pPr>
      <w:r>
        <w:rPr>
          <w:b/>
        </w:rPr>
        <w:t xml:space="preserve">Permanent signed-record URI: </w:t>
      </w:r>
      <w:r>
        <w:t>________________________________________________</w:t>
      </w:r>
    </w:p>
    <w:p>
      <w:pPr>
        <w:pStyle w:val="Formnote"/>
      </w:pPr>
      <w:r>
        <w:t>The URI is the reviewer-accessible link to the completed signed record and its verification evidence. Retain the approved version, its signing history, and any later revocation. Store the final signed PDF and compute its hash after signing; editing it afterwards changes that hash.</w:t>
      </w:r>
    </w:p>
    <w:p>
      <w:pPr>
        <w:pStyle w:val="Heading2"/>
      </w:pPr>
      <w:r>
        <w:t>Copy into the existing X1 intake</w:t>
      </w:r>
    </w:p>
    <w:tbl>
      <w:tblPr>
        <w:tblW w:type="dxa" w:w="9360"/>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250"/>
        <w:gridCol w:w="6110"/>
      </w:tblGrid>
      <w:tr>
        <w:trPr>
          <w:cantSplit/>
          <w:tblHeader/>
        </w:trPr>
        <w:tc>
          <w:tcPr>
            <w:tcW w:type="dxa" w:w="3250"/>
            <w:tcMar>
              <w:top w:w="80" w:type="dxa"/>
              <w:bottom w:w="80" w:type="dxa"/>
              <w:start w:w="120" w:type="dxa"/>
              <w:end w:w="120" w:type="dxa"/>
            </w:tcMar>
            <w:shd w:fill="F2F4F7"/>
          </w:tcPr>
          <w:p>
            <w:pPr>
              <w:pStyle w:val="Budgetheader"/>
            </w:pPr>
            <w:r>
              <w:t>Intake field</w:t>
            </w:r>
          </w:p>
        </w:tc>
        <w:tc>
          <w:tcPr>
            <w:tcW w:type="dxa" w:w="6110"/>
            <w:tcMar>
              <w:top w:w="80" w:type="dxa"/>
              <w:bottom w:w="80" w:type="dxa"/>
              <w:start w:w="120" w:type="dxa"/>
              <w:end w:w="120" w:type="dxa"/>
            </w:tcMar>
            <w:shd w:fill="F2F4F7"/>
          </w:tcPr>
          <w:p>
            <w:pPr>
              <w:pStyle w:val="Budgetheader"/>
            </w:pPr>
            <w:r>
              <w:t>Value to copy</w:t>
            </w:r>
          </w:p>
        </w:tc>
      </w:tr>
      <w:tr>
        <w:trPr>
          <w:cantSplit/>
        </w:trPr>
        <w:tc>
          <w:tcPr>
            <w:tcW w:type="dxa" w:w="3250"/>
            <w:tcMar>
              <w:top w:w="80" w:type="dxa"/>
              <w:bottom w:w="80" w:type="dxa"/>
              <w:start w:w="120" w:type="dxa"/>
              <w:end w:w="120" w:type="dxa"/>
            </w:tcMar>
          </w:tcPr>
          <w:p>
            <w:pPr>
              <w:pStyle w:val="Budgetcell"/>
            </w:pPr>
            <w:r>
              <w:t>1. Product decision</w:t>
            </w:r>
          </w:p>
        </w:tc>
        <w:tc>
          <w:tcPr>
            <w:tcW w:type="dxa" w:w="6110"/>
            <w:tcMar>
              <w:top w:w="80" w:type="dxa"/>
              <w:bottom w:w="80" w:type="dxa"/>
              <w:start w:w="120" w:type="dxa"/>
              <w:end w:w="120" w:type="dxa"/>
            </w:tcMar>
          </w:tcPr>
          <w:p>
            <w:pPr>
              <w:pStyle w:val="Budgetcell"/>
            </w:pPr>
            <w:r>
              <w:t>The selected decision from page 2.</w:t>
            </w:r>
          </w:p>
        </w:tc>
      </w:tr>
      <w:tr>
        <w:trPr>
          <w:cantSplit/>
        </w:trPr>
        <w:tc>
          <w:tcPr>
            <w:tcW w:type="dxa" w:w="3250"/>
            <w:tcMar>
              <w:top w:w="80" w:type="dxa"/>
              <w:bottom w:w="80" w:type="dxa"/>
              <w:start w:w="120" w:type="dxa"/>
              <w:end w:w="120" w:type="dxa"/>
            </w:tcMar>
          </w:tcPr>
          <w:p>
            <w:pPr>
              <w:pStyle w:val="Budgetcell"/>
            </w:pPr>
            <w:r>
              <w:t>2. Product approval reference</w:t>
            </w:r>
          </w:p>
        </w:tc>
        <w:tc>
          <w:tcPr>
            <w:tcW w:type="dxa" w:w="6110"/>
            <w:tcMar>
              <w:top w:w="80" w:type="dxa"/>
              <w:bottom w:w="80" w:type="dxa"/>
              <w:start w:w="120" w:type="dxa"/>
              <w:end w:w="120" w:type="dxa"/>
            </w:tcMar>
          </w:tcPr>
          <w:p>
            <w:pPr>
              <w:pStyle w:val="Budgetcell"/>
            </w:pPr>
            <w:r>
              <w:t>The actual record ID issued by the recognized approval register.</w:t>
            </w:r>
          </w:p>
        </w:tc>
      </w:tr>
      <w:tr>
        <w:trPr>
          <w:cantSplit/>
        </w:trPr>
        <w:tc>
          <w:tcPr>
            <w:tcW w:type="dxa" w:w="3250"/>
            <w:tcMar>
              <w:top w:w="80" w:type="dxa"/>
              <w:bottom w:w="80" w:type="dxa"/>
              <w:start w:w="120" w:type="dxa"/>
              <w:end w:w="120" w:type="dxa"/>
            </w:tcMar>
          </w:tcPr>
          <w:p>
            <w:pPr>
              <w:pStyle w:val="Budgetcell"/>
            </w:pPr>
            <w:r>
              <w:t>3. Product approval timestamp</w:t>
            </w:r>
          </w:p>
        </w:tc>
        <w:tc>
          <w:tcPr>
            <w:tcW w:type="dxa" w:w="6110"/>
            <w:tcMar>
              <w:top w:w="80" w:type="dxa"/>
              <w:bottom w:w="80" w:type="dxa"/>
              <w:start w:w="120" w:type="dxa"/>
              <w:end w:w="120" w:type="dxa"/>
            </w:tcMar>
          </w:tcPr>
          <w:p>
            <w:pPr>
              <w:pStyle w:val="Budgetcell"/>
            </w:pPr>
            <w:r>
              <w:t>The actual verified signing timestamp, including timezone.</w:t>
            </w:r>
          </w:p>
        </w:tc>
      </w:tr>
      <w:tr>
        <w:trPr>
          <w:cantSplit/>
        </w:trPr>
        <w:tc>
          <w:tcPr>
            <w:tcW w:type="dxa" w:w="3250"/>
            <w:tcMar>
              <w:top w:w="80" w:type="dxa"/>
              <w:bottom w:w="80" w:type="dxa"/>
              <w:start w:w="120" w:type="dxa"/>
              <w:end w:w="120" w:type="dxa"/>
            </w:tcMar>
          </w:tcPr>
          <w:p>
            <w:pPr>
              <w:pStyle w:val="Budgetcell"/>
            </w:pPr>
            <w:r>
              <w:t>4. Product signature reference</w:t>
            </w:r>
          </w:p>
        </w:tc>
        <w:tc>
          <w:tcPr>
            <w:tcW w:type="dxa" w:w="6110"/>
            <w:tcMar>
              <w:top w:w="80" w:type="dxa"/>
              <w:bottom w:w="80" w:type="dxa"/>
              <w:start w:w="120" w:type="dxa"/>
              <w:end w:w="120" w:type="dxa"/>
            </w:tcMar>
          </w:tcPr>
          <w:p>
            <w:pPr>
              <w:pStyle w:val="Budgetcell"/>
            </w:pPr>
            <w:r>
              <w:t>The issued signature-verification, event, or certificate reference.</w:t>
            </w:r>
          </w:p>
        </w:tc>
      </w:tr>
    </w:tbl>
    <w:p>
      <w:pPr>
        <w:pStyle w:val="Formnote"/>
      </w:pPr>
      <w:r>
        <w:t>For each SOURCE RECORD URI, use the permanent link above if that record exposes the corresponding value and verification evidence. Use a separate audit/certificate link where needed. This draft form reference is not a substitute for the issued approval ID.</w:t>
      </w:r>
    </w:p>
    <w:p>
      <w:pPr>
        <w:pStyle w:val="Heading2"/>
      </w:pPr>
      <w:r>
        <w:t>Exact material submitted for review</w:t>
      </w:r>
    </w:p>
    <w:p>
      <w:pPr>
        <w:pStyle w:val="Formmetadata"/>
      </w:pPr>
      <w:r>
        <w:t>X1_PRODUCT_APPROVAL_REVIEW_BUNDLE_2026-09-05.zip</w:t>
      </w:r>
    </w:p>
    <w:p>
      <w:pPr>
        <w:pStyle w:val="Technicalhash"/>
      </w:pPr>
      <w:r>
        <w:t>SHA-256: 7f662d12912865564abcbd9600e52c7a0a13ce5d25a7a8016a576aa997945cf8</w:t>
      </w:r>
    </w:p>
    <w:p>
      <w:pPr>
        <w:pStyle w:val="Formnote"/>
      </w:pPr>
      <w:r>
        <w:t>This bundle freezes the contracts, current accessibility fixes, capture definitions, investigation, and September 5 local evidence manifest. Register this form and bundle together. The September 3 form is preserved as historical input; its incomplete decision does not apply to this revised package.</w:t>
      </w:r>
    </w:p>
    <w:p>
      <w:pPr>
        <w:pStyle w:val="Formnote"/>
      </w:pPr>
      <w:r>
        <w:t>After verified product approval, the separate credential / tenant / seeded-data authorization, fresh authenticated evidence, remaining performance measurements, and independent review must still pass. Missing or failed evidence keeps X1 blocked.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X1-PRODUCT-FORM-20260905-v2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STOQUIFY  /  X1 PRODUCT DECISION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111111"/>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b w:val="0"/>
      <w:color w:val="555555"/>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b w:val="0"/>
      <w:color w:val="55555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before="0"/>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64" w:lineRule="auto"/>
    </w:pPr>
    <w:rPr>
      <w:rFonts w:asciiTheme="majorHAnsi" w:eastAsiaTheme="majorEastAsia" w:hAnsiTheme="majorHAnsi" w:cstheme="majorBidi" w:ascii="Calibri" w:hAnsi="Calibri"/>
      <w:b w:val="0"/>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metadata">
    <w:name w:val="Form metadata"/>
    <w:pPr>
      <w:widowControl/>
      <w:spacing w:before="0" w:after="60" w:line="264" w:lineRule="auto"/>
    </w:pPr>
    <w:rPr>
      <w:rFonts w:ascii="Calibri" w:hAnsi="Calibri"/>
      <w:b w:val="0"/>
      <w:color w:val="555555"/>
      <w:sz w:val="20"/>
    </w:rPr>
  </w:style>
  <w:style w:type="paragraph" w:customStyle="1" w:styleId="Formfield">
    <w:name w:val="Form field"/>
    <w:pPr>
      <w:widowControl/>
      <w:spacing w:before="0" w:after="240" w:line="264" w:lineRule="auto"/>
    </w:pPr>
    <w:rPr>
      <w:rFonts w:ascii="Calibri" w:hAnsi="Calibri"/>
      <w:b w:val="0"/>
      <w:color w:val="111111"/>
      <w:sz w:val="22"/>
    </w:rPr>
  </w:style>
  <w:style w:type="paragraph" w:customStyle="1" w:styleId="Formnote">
    <w:name w:val="Form note"/>
    <w:pPr>
      <w:widowControl/>
      <w:spacing w:before="0" w:after="120" w:line="264" w:lineRule="auto"/>
    </w:pPr>
    <w:rPr>
      <w:rFonts w:ascii="Calibri" w:hAnsi="Calibri"/>
      <w:b w:val="0"/>
      <w:color w:val="555555"/>
      <w:sz w:val="19"/>
    </w:rPr>
  </w:style>
  <w:style w:type="paragraph" w:customStyle="1" w:styleId="Budgetcell">
    <w:name w:val="Budget cell"/>
    <w:pPr>
      <w:widowControl/>
      <w:spacing w:before="0" w:after="60" w:line="252" w:lineRule="auto"/>
    </w:pPr>
    <w:rPr>
      <w:rFonts w:ascii="Calibri" w:hAnsi="Calibri"/>
      <w:b w:val="0"/>
      <w:color w:val="111111"/>
      <w:sz w:val="20"/>
    </w:rPr>
  </w:style>
  <w:style w:type="paragraph" w:customStyle="1" w:styleId="Budgetheader">
    <w:name w:val="Budget header"/>
    <w:pPr>
      <w:widowControl/>
      <w:spacing w:before="0" w:after="60" w:line="252" w:lineRule="auto"/>
    </w:pPr>
    <w:rPr>
      <w:rFonts w:ascii="Calibri" w:hAnsi="Calibri"/>
      <w:b/>
      <w:color w:val="17365D"/>
      <w:sz w:val="20"/>
    </w:rPr>
  </w:style>
  <w:style w:type="paragraph" w:customStyle="1" w:styleId="Tablecitation">
    <w:name w:val="Table citation"/>
    <w:pPr>
      <w:widowControl/>
      <w:spacing w:before="80" w:after="80" w:line="264" w:lineRule="auto"/>
    </w:pPr>
    <w:rPr>
      <w:rFonts w:ascii="Calibri" w:hAnsi="Calibri"/>
      <w:b w:val="0"/>
      <w:color w:val="555555"/>
      <w:sz w:val="18"/>
    </w:rPr>
  </w:style>
  <w:style w:type="paragraph" w:customStyle="1" w:styleId="Technicalhash">
    <w:name w:val="Technical hash"/>
    <w:pPr>
      <w:widowControl/>
      <w:spacing w:before="0" w:after="120" w:line="264" w:lineRule="auto"/>
    </w:pPr>
    <w:rPr>
      <w:rFonts w:ascii="Consolas" w:hAnsi="Consolas"/>
      <w:b w:val="0"/>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Stoquify X1 Product Performance Approval</dc:title>
  <dc:subject>Unsigned decision form for product approval; no approval or signature is inferred</dc:subject>
  <dc:creator>Stoquify</dc:creator>
  <cp:keywords/>
  <dc:description>standard_business_brief; memo_masthead; named Form/Budget/Technical styles are explicit form overrides.</dc:description>
  <cp:lastModifiedBy/>
  <cp:revision>1</cp:revision>
  <dcterms:created xsi:type="dcterms:W3CDTF">2013-12-23T23:15:00Z</dcterms:created>
  <dcterms:modified xsi:type="dcterms:W3CDTF">2013-12-23T23:15:00Z</dcterms:modified>
  <cp:category/>
</cp:coreProperties>
</file>