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Calibri" w:hAnsi="Calibri"/>
          <w:b/>
          <w:i w:val="0"/>
          <w:color w:val="0B2545"/>
          <w:sz w:val="46"/>
        </w:rPr>
        <w:t>DRAFT STOQUIFY X1 AUTOMATION DELEGATION POLICY PACK</w:t>
      </w:r>
    </w:p>
    <w:p>
      <w:pPr>
        <w:spacing w:after="320"/>
      </w:pPr>
      <w:r>
        <w:rPr>
          <w:rFonts w:ascii="Calibri" w:hAnsi="Calibri"/>
          <w:b w:val="0"/>
          <w:i w:val="0"/>
          <w:color w:val="5F6B78"/>
          <w:sz w:val="26"/>
        </w:rPr>
        <w:t>Draft governance instruments for controlled automation; human approval is still required</w:t>
      </w:r>
    </w:p>
    <w:p>
      <w:pPr>
        <w:spacing w:before="0" w:after="40" w:line="240" w:lineRule="auto"/>
      </w:pPr>
      <w:r>
        <w:rPr>
          <w:rFonts w:ascii="Calibri" w:hAnsi="Calibri"/>
          <w:b/>
          <w:i w:val="0"/>
          <w:color w:val="0B2545"/>
          <w:sz w:val="20"/>
        </w:rPr>
        <w:t xml:space="preserve">Organization: </w:t>
      </w:r>
      <w:r>
        <w:rPr>
          <w:rFonts w:ascii="Calibri" w:hAnsi="Calibri"/>
          <w:b w:val="0"/>
          <w:i w:val="0"/>
          <w:color w:val="1F2933"/>
          <w:sz w:val="20"/>
        </w:rPr>
        <w:t>Stoquify</w:t>
      </w:r>
    </w:p>
    <w:p>
      <w:pPr>
        <w:spacing w:before="0" w:after="40" w:line="240" w:lineRule="auto"/>
      </w:pPr>
      <w:r>
        <w:rPr>
          <w:rFonts w:ascii="Calibri" w:hAnsi="Calibri"/>
          <w:b/>
          <w:i w:val="0"/>
          <w:color w:val="0B2545"/>
          <w:sz w:val="20"/>
        </w:rPr>
        <w:t xml:space="preserve">Date: </w:t>
      </w:r>
      <w:r>
        <w:rPr>
          <w:rFonts w:ascii="Calibri" w:hAnsi="Calibri"/>
          <w:b w:val="0"/>
          <w:i w:val="0"/>
          <w:color w:val="1F2933"/>
          <w:sz w:val="20"/>
        </w:rPr>
        <w:t>31 August 2026</w:t>
      </w:r>
    </w:p>
    <w:p>
      <w:pPr>
        <w:spacing w:before="0" w:after="40" w:line="240" w:lineRule="auto"/>
      </w:pPr>
      <w:r>
        <w:rPr>
          <w:rFonts w:ascii="Calibri" w:hAnsi="Calibri"/>
          <w:b/>
          <w:i w:val="0"/>
          <w:color w:val="0B2545"/>
          <w:sz w:val="20"/>
        </w:rPr>
        <w:t xml:space="preserve">Status: </w:t>
      </w:r>
      <w:r>
        <w:rPr>
          <w:rFonts w:ascii="Calibri" w:hAnsi="Calibri"/>
          <w:b w:val="0"/>
          <w:i w:val="0"/>
          <w:color w:val="9B1C1C"/>
          <w:sz w:val="20"/>
        </w:rPr>
        <w:t>DRAFT - UNSIGNED - NOT EFFECTIVE</w:t>
      </w:r>
    </w:p>
    <w:p>
      <w:pPr>
        <w:spacing w:before="0" w:after="40" w:line="240" w:lineRule="auto"/>
      </w:pPr>
      <w:r>
        <w:rPr>
          <w:rFonts w:ascii="Calibri" w:hAnsi="Calibri"/>
          <w:b/>
          <w:i w:val="0"/>
          <w:color w:val="0B2545"/>
          <w:sz w:val="20"/>
        </w:rPr>
        <w:t xml:space="preserve">Controlled source: </w:t>
      </w:r>
      <w:r>
        <w:rPr>
          <w:rFonts w:ascii="Calibri" w:hAnsi="Calibri"/>
          <w:b w:val="0"/>
          <w:i w:val="0"/>
          <w:color w:val="1F2933"/>
          <w:sz w:val="20"/>
        </w:rPr>
        <w:t>E:/ohada saas/Focused projects/stoquify/docs/credentials-blockers/DRAFT_STOQUIFY_X1_AUTOMATION_DELEGATION_POLICY_PACK_2026-08-31.md</w:t>
      </w:r>
    </w:p>
    <w:p>
      <w:pPr>
        <w:spacing w:before="200" w:after="240"/>
        <w:pBdr>
          <w:bottom w:val="single" w:sz="14" w:space="1" w:color="2E74B5"/>
        </w:pBdr>
      </w:pPr>
    </w:p>
    <w:p>
      <w:r>
        <w:rPr>
          <w:rFonts w:ascii="Calibri" w:hAnsi="Calibri"/>
          <w:b w:val="0"/>
          <w:i w:val="0"/>
          <w:color w:val="1F2933"/>
        </w:rPr>
        <w:t xml:space="preserve">Date: 2026-08-31 Version: 1.0-draft Status: </w:t>
      </w:r>
      <w:r>
        <w:rPr>
          <w:rFonts w:ascii="Consolas" w:hAnsi="Consolas"/>
          <w:b w:val="0"/>
          <w:i w:val="0"/>
          <w:color w:val="1F4D78"/>
        </w:rPr>
        <w:t>DRAFT_UNSIGNED</w:t>
      </w:r>
      <w:r>
        <w:rPr>
          <w:rFonts w:ascii="Calibri" w:hAnsi="Calibri"/>
          <w:b w:val="0"/>
          <w:i w:val="0"/>
          <w:color w:val="1F2933"/>
        </w:rPr>
        <w:t xml:space="preserve"> Effect: None until approved, signed, hash-bound, registered and activated by the named authorities</w:t>
      </w:r>
    </w:p>
    <w:p>
      <w:pPr>
        <w:pStyle w:val="Heading2"/>
      </w:pPr>
      <w:r>
        <w:rPr>
          <w:rFonts w:ascii="Calibri" w:hAnsi="Calibri"/>
          <w:b w:val="0"/>
          <w:i w:val="0"/>
          <w:color w:val="2E74B5"/>
        </w:rPr>
        <w:t>Important status notice</w:t>
      </w:r>
    </w:p>
    <w:p>
      <w:r>
        <w:rPr>
          <w:rFonts w:ascii="Calibri" w:hAnsi="Calibri"/>
          <w:b w:val="0"/>
          <w:i w:val="0"/>
          <w:color w:val="1F2933"/>
        </w:rPr>
        <w:t>No executed, signed X1 policy was found that currently delegates product, security or release authority to automation. Existing Stoquify governance material requires independent release authority, separates application roles from decision authority, requires approvals to bind exact artifact hashes, and rejects single-team self-certification.</w:t>
      </w:r>
    </w:p>
    <w:p>
      <w:r>
        <w:rPr>
          <w:rFonts w:ascii="Calibri" w:hAnsi="Calibri"/>
          <w:b w:val="0"/>
          <w:i w:val="0"/>
          <w:color w:val="1F2933"/>
        </w:rPr>
        <w:t xml:space="preserve">This policy pack is a review-ready draft. It does not approve the X1 budgets, authorize credentials, release X1, grant production access or create certification. The automation must reject this pack while its status is </w:t>
      </w:r>
      <w:r>
        <w:rPr>
          <w:rFonts w:ascii="Consolas" w:hAnsi="Consolas"/>
          <w:b w:val="0"/>
          <w:i w:val="0"/>
          <w:color w:val="1F4D78"/>
        </w:rPr>
        <w:t>DRAFT_UNSIGNED</w:t>
      </w:r>
      <w:r>
        <w:rPr>
          <w:rFonts w:ascii="Calibri" w:hAnsi="Calibri"/>
          <w:b w:val="0"/>
          <w:i w:val="0"/>
          <w:color w:val="1F2933"/>
        </w:rPr>
        <w:t>.</w:t>
      </w:r>
    </w:p>
    <w:p>
      <w:pPr>
        <w:pStyle w:val="Heading2"/>
      </w:pPr>
      <w:r>
        <w:rPr>
          <w:rFonts w:ascii="Calibri" w:hAnsi="Calibri"/>
          <w:b w:val="0"/>
          <w:i w:val="0"/>
          <w:color w:val="2E74B5"/>
        </w:rPr>
        <w:t>Governing principles carried into this draft</w:t>
      </w:r>
    </w:p>
    <w:p>
      <w:pPr>
        <w:numPr>
          <w:ilvl w:val="0"/>
          <w:numId w:val="11"/>
        </w:numPr>
        <w:spacing w:before="0" w:after="160" w:line="280" w:lineRule="auto"/>
      </w:pPr>
      <w:r>
        <w:rPr>
          <w:rFonts w:ascii="Calibri" w:hAnsi="Calibri"/>
          <w:b w:val="0"/>
          <w:i w:val="0"/>
          <w:color w:val="1F2933"/>
        </w:rPr>
        <w:t>Identity identifies the user or service principal.</w:t>
      </w:r>
    </w:p>
    <w:p>
      <w:pPr>
        <w:numPr>
          <w:ilvl w:val="0"/>
          <w:numId w:val="11"/>
        </w:numPr>
        <w:spacing w:before="0" w:after="160" w:line="280" w:lineRule="auto"/>
      </w:pPr>
      <w:r>
        <w:rPr>
          <w:rFonts w:ascii="Calibri" w:hAnsi="Calibri"/>
          <w:b w:val="0"/>
          <w:i w:val="0"/>
          <w:color w:val="1F2933"/>
        </w:rPr>
        <w:t>An application role grants application permissions but does not create decision authority.</w:t>
      </w:r>
    </w:p>
    <w:p>
      <w:pPr>
        <w:numPr>
          <w:ilvl w:val="0"/>
          <w:numId w:val="11"/>
        </w:numPr>
        <w:spacing w:before="0" w:after="160" w:line="280" w:lineRule="auto"/>
      </w:pPr>
      <w:r>
        <w:rPr>
          <w:rFonts w:ascii="Calibri" w:hAnsi="Calibri"/>
          <w:b w:val="0"/>
          <w:i w:val="0"/>
          <w:color w:val="1F2933"/>
        </w:rPr>
        <w:t>Authority must be formally appointed or delegated for an exact tenant, scope and time period.</w:t>
      </w:r>
    </w:p>
    <w:p>
      <w:pPr>
        <w:numPr>
          <w:ilvl w:val="0"/>
          <w:numId w:val="11"/>
        </w:numPr>
        <w:spacing w:before="0" w:after="160" w:line="280" w:lineRule="auto"/>
      </w:pPr>
      <w:r>
        <w:rPr>
          <w:rFonts w:ascii="Calibri" w:hAnsi="Calibri"/>
          <w:b w:val="0"/>
          <w:i w:val="0"/>
          <w:color w:val="1F2933"/>
        </w:rPr>
        <w:t>Approval must be a deliberate approve or reject decision on exact hash-bound content.</w:t>
      </w:r>
    </w:p>
    <w:p>
      <w:pPr>
        <w:numPr>
          <w:ilvl w:val="0"/>
          <w:numId w:val="11"/>
        </w:numPr>
        <w:spacing w:before="0" w:after="160" w:line="280" w:lineRule="auto"/>
      </w:pPr>
      <w:r>
        <w:rPr>
          <w:rFonts w:ascii="Calibri" w:hAnsi="Calibri"/>
          <w:b w:val="0"/>
          <w:i w:val="0"/>
          <w:color w:val="1F2933"/>
        </w:rPr>
        <w:t>Evidence producers cannot self-certify their own work.</w:t>
      </w:r>
    </w:p>
    <w:p>
      <w:pPr>
        <w:numPr>
          <w:ilvl w:val="0"/>
          <w:numId w:val="11"/>
        </w:numPr>
        <w:spacing w:before="0" w:after="160" w:line="280" w:lineRule="auto"/>
      </w:pPr>
      <w:r>
        <w:rPr>
          <w:rFonts w:ascii="Calibri" w:hAnsi="Calibri"/>
          <w:b w:val="0"/>
          <w:i w:val="0"/>
          <w:color w:val="1F2933"/>
        </w:rPr>
        <w:t>Material artifact, policy, code, fixture or scope changes invalidate affected approvals.</w:t>
      </w:r>
    </w:p>
    <w:p>
      <w:pPr>
        <w:numPr>
          <w:ilvl w:val="0"/>
          <w:numId w:val="11"/>
        </w:numPr>
        <w:spacing w:before="0" w:after="160" w:line="280" w:lineRule="auto"/>
      </w:pPr>
      <w:r>
        <w:rPr>
          <w:rFonts w:ascii="Calibri" w:hAnsi="Calibri"/>
          <w:b w:val="0"/>
          <w:i w:val="0"/>
          <w:color w:val="1F2933"/>
        </w:rPr>
        <w:t>Delegation must be bounded, time-limited, auditable and immediately revocable.</w:t>
      </w:r>
    </w:p>
    <w:p>
      <w:pPr>
        <w:numPr>
          <w:ilvl w:val="0"/>
          <w:numId w:val="11"/>
        </w:numPr>
        <w:spacing w:before="0" w:after="160" w:line="280" w:lineRule="auto"/>
      </w:pPr>
      <w:r>
        <w:rPr>
          <w:rFonts w:ascii="Calibri" w:hAnsi="Calibri"/>
          <w:b w:val="0"/>
          <w:i w:val="0"/>
          <w:color w:val="1F2933"/>
        </w:rPr>
        <w:t>Tenant isolation, unauthorized access, false completion and financial-truth failures are non-waivable.</w:t>
      </w:r>
    </w:p>
    <w:p>
      <w:pPr>
        <w:numPr>
          <w:ilvl w:val="0"/>
          <w:numId w:val="11"/>
        </w:numPr>
        <w:spacing w:before="0" w:after="160" w:line="280" w:lineRule="auto"/>
      </w:pPr>
      <w:r>
        <w:rPr>
          <w:rFonts w:ascii="Calibri" w:hAnsi="Calibri"/>
          <w:b w:val="0"/>
          <w:i w:val="0"/>
          <w:color w:val="1F2933"/>
        </w:rPr>
        <w:t>Automation may assemble and validate evidence but may not claim legal, accounting, security, accessibility or production certification.</w:t>
      </w:r>
    </w:p>
    <w:p>
      <w:pPr>
        <w:numPr>
          <w:ilvl w:val="0"/>
          <w:numId w:val="11"/>
        </w:numPr>
        <w:spacing w:before="0" w:after="160" w:line="280" w:lineRule="auto"/>
      </w:pPr>
      <w:r>
        <w:rPr>
          <w:rFonts w:ascii="Calibri" w:hAnsi="Calibri"/>
          <w:b w:val="0"/>
          <w:i w:val="0"/>
          <w:color w:val="1F2933"/>
        </w:rPr>
        <w:t>Final production authorization remains with the independent enterprise release authority.</w:t>
      </w:r>
    </w:p>
    <w:p>
      <w:pPr>
        <w:pStyle w:val="Heading2"/>
      </w:pPr>
      <w:r>
        <w:rPr>
          <w:rFonts w:ascii="Calibri" w:hAnsi="Calibri"/>
          <w:b w:val="0"/>
          <w:i w:val="0"/>
          <w:color w:val="2E74B5"/>
        </w:rPr>
        <w:t>Policy pack objective</w:t>
      </w:r>
    </w:p>
    <w:p>
      <w:r>
        <w:rPr>
          <w:rFonts w:ascii="Calibri" w:hAnsi="Calibri"/>
          <w:b w:val="0"/>
          <w:i w:val="0"/>
          <w:color w:val="1F2933"/>
        </w:rPr>
        <w:t>When all three policies below are properly completed and signed, Stoquify may run the X1 finance/accounting technical evidence workflow without interactive intervention. The automation may advance the bounded X1 technical gate only when every deterministic condition passes and the signed delegation remains valid.</w:t>
      </w:r>
    </w:p>
    <w:p>
      <w:r>
        <w:rPr>
          <w:rFonts w:ascii="Calibri" w:hAnsi="Calibri"/>
          <w:b w:val="0"/>
          <w:i w:val="0"/>
          <w:color w:val="1F2933"/>
        </w:rPr>
        <w:t>This pack does not authorize production deployment. It authorizes only the specific X1 technical evidence and internal promotion workflow described below.</w:t>
      </w:r>
    </w:p>
    <w:p>
      <w:pPr>
        <w:pStyle w:val="Heading2"/>
      </w:pPr>
      <w:r>
        <w:rPr>
          <w:rFonts w:ascii="Calibri" w:hAnsi="Calibri"/>
          <w:b w:val="0"/>
          <w:i w:val="0"/>
          <w:color w:val="2E74B5"/>
        </w:rPr>
        <w:t>Common scope</w:t>
      </w:r>
    </w:p>
    <w:tbl>
      <w:tblPr>
        <w:tblW w:type="dxa" w:w="9360"/>
        <w:tblLayout w:type="fixed"/>
        <w:tblLook w:firstColumn="1" w:firstRow="1" w:lastColumn="0" w:lastRow="0" w:noHBand="0" w:noVBand="1" w:val="04A0"/>
        <w:jc w:val="left"/>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Ind w:w="120" w:type="dxa"/>
      </w:tblPr>
      <w:tblGrid>
        <w:gridCol w:w="4680"/>
        <w:gridCol w:w="4680"/>
      </w:tblGrid>
      <w:tr>
        <w:trPr>
          <w:cantSplit/>
          <w:trHeight w:hRule="atLeast"/>
          <w:tblHeader w:val="true"/>
        </w:trPr>
        <w:tc>
          <w:tcPr>
            <w:tcW w:type="dxa" w:w="4680"/>
            <w:tcMar>
              <w:top w:w="80" w:type="dxa"/>
              <w:start w:w="120" w:type="dxa"/>
              <w:bottom w:w="80" w:type="dxa"/>
              <w:end w:w="120" w:type="dxa"/>
            </w:tcMar>
            <w:vAlign w:val="center"/>
            <w:shd w:fill="F2F4F7"/>
          </w:tcPr>
          <w:p>
            <w:pPr>
              <w:keepNext/>
              <w:spacing w:before="0" w:after="40" w:line="240" w:lineRule="auto"/>
            </w:pPr>
            <w:r>
              <w:rPr>
                <w:rFonts w:ascii="Calibri" w:hAnsi="Calibri"/>
                <w:b/>
                <w:i w:val="0"/>
                <w:color w:val="0B2545"/>
                <w:sz w:val="17"/>
              </w:rPr>
              <w:t>Field</w:t>
            </w:r>
          </w:p>
        </w:tc>
        <w:tc>
          <w:tcPr>
            <w:tcW w:type="dxa" w:w="4680"/>
            <w:tcMar>
              <w:top w:w="80" w:type="dxa"/>
              <w:start w:w="120" w:type="dxa"/>
              <w:bottom w:w="80" w:type="dxa"/>
              <w:end w:w="120" w:type="dxa"/>
            </w:tcMar>
            <w:vAlign w:val="center"/>
            <w:shd w:fill="F2F4F7"/>
          </w:tcPr>
          <w:p>
            <w:pPr>
              <w:keepNext/>
              <w:spacing w:before="0" w:after="40" w:line="240" w:lineRule="auto"/>
            </w:pPr>
            <w:r>
              <w:rPr>
                <w:rFonts w:ascii="Calibri" w:hAnsi="Calibri"/>
                <w:b/>
                <w:i w:val="0"/>
                <w:color w:val="0B2545"/>
                <w:sz w:val="17"/>
              </w:rPr>
              <w:t>Draft value</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Program</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X1 finance/accounting table harmonization</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Table contract version</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Current X1 contract, hash to be recorded at signature</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Budget contract version</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1</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Environment</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Non-production only</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Candidate database</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stoquify_replay_next_20260830</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Authorized fixture tenant candidate</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rds_org_001</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Foreign isolation-probe tenant candidate</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rds_org_002</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Required persona</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external_accountant</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Candidate persona</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Carine Manga</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Candidate user ID</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rds_org_001_compliance_user_external_accountant</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Required routes</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Seven canonical X1 routes</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Required matrix</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EN/FR x desktop/tablet/mobile x seven routes</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Required artifacts</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42 screenshots plus fragments, manifest and validation report</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Production authority</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Explicitly excluded</w:t>
            </w:r>
          </w:p>
        </w:tc>
      </w:tr>
    </w:tbl>
    <w:p>
      <w:pPr>
        <w:spacing w:before="80" w:after="80"/>
      </w:pPr>
    </w:p>
    <w:p>
      <w:r>
        <w:rPr>
          <w:rFonts w:ascii="Calibri" w:hAnsi="Calibri"/>
          <w:b w:val="0"/>
          <w:i w:val="0"/>
          <w:color w:val="1F2933"/>
        </w:rPr>
        <w:t>Before signature, each candidate value must be reconfirmed from authoritative current state and replaced with the approved value if different.</w:t>
      </w:r>
    </w:p>
    <w:p>
      <w:pPr>
        <w:pStyle w:val="Heading1"/>
      </w:pPr>
      <w:r>
        <w:rPr>
          <w:rFonts w:ascii="Calibri" w:hAnsi="Calibri"/>
          <w:b w:val="0"/>
          <w:i w:val="0"/>
          <w:color w:val="2E74B5"/>
        </w:rPr>
        <w:t>Policy 1: X1 Product Performance Budget Standing Approval and Automation Delegation</w:t>
      </w:r>
    </w:p>
    <w:p>
      <w:r>
        <w:rPr>
          <w:rFonts w:ascii="Calibri" w:hAnsi="Calibri"/>
          <w:b w:val="0"/>
          <w:i w:val="0"/>
          <w:color w:val="1F2933"/>
        </w:rPr>
        <w:t xml:space="preserve">Policy ID: </w:t>
      </w:r>
      <w:r>
        <w:rPr>
          <w:rFonts w:ascii="Consolas" w:hAnsi="Consolas"/>
          <w:b w:val="0"/>
          <w:i w:val="0"/>
          <w:color w:val="1F4D78"/>
        </w:rPr>
        <w:t>STOQ-X1-POL-001</w:t>
      </w:r>
      <w:r>
        <w:rPr>
          <w:rFonts w:ascii="Calibri" w:hAnsi="Calibri"/>
          <w:b w:val="0"/>
          <w:i w:val="0"/>
          <w:color w:val="1F2933"/>
        </w:rPr>
        <w:t xml:space="preserve"> Status: </w:t>
      </w:r>
      <w:r>
        <w:rPr>
          <w:rFonts w:ascii="Consolas" w:hAnsi="Consolas"/>
          <w:b w:val="0"/>
          <w:i w:val="0"/>
          <w:color w:val="1F4D78"/>
        </w:rPr>
        <w:t>DRAFT_UNSIGNED</w:t>
      </w:r>
    </w:p>
    <w:p>
      <w:pPr>
        <w:pStyle w:val="Heading2"/>
      </w:pPr>
      <w:r>
        <w:rPr>
          <w:rFonts w:ascii="Calibri" w:hAnsi="Calibri"/>
          <w:b w:val="0"/>
          <w:i w:val="0"/>
          <w:color w:val="2E74B5"/>
        </w:rPr>
        <w:t>Purpose</w:t>
      </w:r>
    </w:p>
    <w:p>
      <w:r>
        <w:rPr>
          <w:rFonts w:ascii="Calibri" w:hAnsi="Calibri"/>
          <w:b w:val="0"/>
          <w:i w:val="0"/>
          <w:color w:val="1F2933"/>
        </w:rPr>
        <w:t>This policy records the product authority's decision on X1 engineering performance budgets and delegates deterministic evaluation of those budgets to the X1 automation service for a bounded period.</w:t>
      </w:r>
    </w:p>
    <w:p>
      <w:pPr>
        <w:pStyle w:val="Heading2"/>
      </w:pPr>
      <w:r>
        <w:rPr>
          <w:rFonts w:ascii="Calibri" w:hAnsi="Calibri"/>
          <w:b w:val="0"/>
          <w:i w:val="0"/>
          <w:color w:val="2E74B5"/>
        </w:rPr>
        <w:t>Proposed budgets subject to decision</w:t>
      </w:r>
    </w:p>
    <w:tbl>
      <w:tblPr>
        <w:tblW w:type="dxa" w:w="9360"/>
        <w:tblLayout w:type="fixed"/>
        <w:tblLook w:firstColumn="1" w:firstRow="1" w:lastColumn="0" w:lastRow="0" w:noHBand="0" w:noVBand="1" w:val="04A0"/>
        <w:jc w:val="left"/>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Ind w:w="120" w:type="dxa"/>
      </w:tblPr>
      <w:tblGrid>
        <w:gridCol w:w="4680"/>
        <w:gridCol w:w="4680"/>
      </w:tblGrid>
      <w:tr>
        <w:trPr>
          <w:cantSplit/>
          <w:trHeight w:hRule="atLeast"/>
          <w:tblHeader w:val="true"/>
        </w:trPr>
        <w:tc>
          <w:tcPr>
            <w:tcW w:type="dxa" w:w="4680"/>
            <w:tcMar>
              <w:top w:w="80" w:type="dxa"/>
              <w:start w:w="120" w:type="dxa"/>
              <w:bottom w:w="80" w:type="dxa"/>
              <w:end w:w="120" w:type="dxa"/>
            </w:tcMar>
            <w:vAlign w:val="center"/>
            <w:shd w:fill="F2F4F7"/>
          </w:tcPr>
          <w:p>
            <w:pPr>
              <w:keepNext/>
              <w:spacing w:before="0" w:after="40" w:line="240" w:lineRule="auto"/>
            </w:pPr>
            <w:r>
              <w:rPr>
                <w:rFonts w:ascii="Calibri" w:hAnsi="Calibri"/>
                <w:b/>
                <w:i w:val="0"/>
                <w:color w:val="0B2545"/>
                <w:sz w:val="17"/>
              </w:rPr>
              <w:t>Signal</w:t>
            </w:r>
          </w:p>
        </w:tc>
        <w:tc>
          <w:tcPr>
            <w:tcW w:type="dxa" w:w="4680"/>
            <w:tcMar>
              <w:top w:w="80" w:type="dxa"/>
              <w:start w:w="120" w:type="dxa"/>
              <w:bottom w:w="80" w:type="dxa"/>
              <w:end w:w="120" w:type="dxa"/>
            </w:tcMar>
            <w:vAlign w:val="center"/>
            <w:shd w:fill="F2F4F7"/>
          </w:tcPr>
          <w:p>
            <w:pPr>
              <w:keepNext/>
              <w:spacing w:before="0" w:after="40" w:line="240" w:lineRule="auto"/>
            </w:pPr>
            <w:r>
              <w:rPr>
                <w:rFonts w:ascii="Calibri" w:hAnsi="Calibri"/>
                <w:b/>
                <w:i w:val="0"/>
                <w:color w:val="0B2545"/>
                <w:sz w:val="17"/>
              </w:rPr>
              <w:t>Proposed threshold</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Local sort/filter on bounded client data</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Under 100 ms on p75 test hardware</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Server loading indication</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Under 150 ms</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Server useful result</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Under 1,000 ms at p75</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Page navigation</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Useful rows under 750 ms at p75 after cached shell</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Bulk-action acknowledgement</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Immediate job receipt with progress and partial-result handling</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Preference/view hydration</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No visible column-layout flash after the initial shell</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Browser row DOM</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Bounded by pagination or a proven virtualization strategy</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Export duration</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Measured and retained by result tier and format</w:t>
            </w:r>
          </w:p>
        </w:tc>
      </w:tr>
    </w:tbl>
    <w:p>
      <w:pPr>
        <w:spacing w:before="80" w:after="80"/>
      </w:pPr>
    </w:p>
    <w:p>
      <w:r>
        <w:rPr>
          <w:rFonts w:ascii="Calibri" w:hAnsi="Calibri"/>
          <w:b w:val="0"/>
          <w:i w:val="0"/>
          <w:color w:val="1F2933"/>
        </w:rPr>
        <w:t>These are engineering budgets and are not customer-facing service-level agreements.</w:t>
      </w:r>
    </w:p>
    <w:p>
      <w:pPr>
        <w:pStyle w:val="Heading2"/>
      </w:pPr>
      <w:r>
        <w:rPr>
          <w:rFonts w:ascii="Calibri" w:hAnsi="Calibri"/>
          <w:b w:val="0"/>
          <w:i w:val="0"/>
          <w:color w:val="2E74B5"/>
        </w:rPr>
        <w:t>Draft policy statement</w:t>
      </w:r>
    </w:p>
    <w:p>
      <w:r>
        <w:rPr>
          <w:rFonts w:ascii="Calibri" w:hAnsi="Calibri"/>
          <w:b w:val="0"/>
          <w:i w:val="0"/>
          <w:color w:val="1F2933"/>
        </w:rPr>
        <w:t>The authorized product approver approves budget contract version 1 for the bounded X1 non-production evidence workflow. The automation service may evaluate measured evidence against these thresholds and may mark the budget condition passed only when all required measurements are present, current, attributable to the approved run and within the approved thresholds.</w:t>
      </w:r>
    </w:p>
    <w:p>
      <w:pPr>
        <w:pStyle w:val="Heading2"/>
      </w:pPr>
      <w:r>
        <w:rPr>
          <w:rFonts w:ascii="Calibri" w:hAnsi="Calibri"/>
          <w:b w:val="0"/>
          <w:i w:val="0"/>
          <w:color w:val="2E74B5"/>
        </w:rPr>
        <w:t>Delegated automation actions</w:t>
      </w:r>
    </w:p>
    <w:p>
      <w:pPr>
        <w:numPr>
          <w:ilvl w:val="0"/>
          <w:numId w:val="10"/>
        </w:numPr>
        <w:spacing w:before="0" w:after="160" w:line="280" w:lineRule="auto"/>
      </w:pPr>
      <w:r>
        <w:rPr>
          <w:rFonts w:ascii="Calibri" w:hAnsi="Calibri"/>
          <w:b w:val="0"/>
          <w:i w:val="0"/>
          <w:color w:val="1F2933"/>
        </w:rPr>
        <w:t>Read the signed policy record and validate its signature, content hash, scope, effective dates and revocation status.</w:t>
      </w:r>
    </w:p>
    <w:p>
      <w:pPr>
        <w:numPr>
          <w:ilvl w:val="0"/>
          <w:numId w:val="10"/>
        </w:numPr>
        <w:spacing w:before="0" w:after="160" w:line="280" w:lineRule="auto"/>
      </w:pPr>
      <w:r>
        <w:rPr>
          <w:rFonts w:ascii="Calibri" w:hAnsi="Calibri"/>
          <w:b w:val="0"/>
          <w:i w:val="0"/>
          <w:color w:val="1F2933"/>
        </w:rPr>
        <w:t>Collect performance measurements from the approved Playwright run.</w:t>
      </w:r>
    </w:p>
    <w:p>
      <w:pPr>
        <w:numPr>
          <w:ilvl w:val="0"/>
          <w:numId w:val="10"/>
        </w:numPr>
        <w:spacing w:before="0" w:after="160" w:line="280" w:lineRule="auto"/>
      </w:pPr>
      <w:r>
        <w:rPr>
          <w:rFonts w:ascii="Calibri" w:hAnsi="Calibri"/>
          <w:b w:val="0"/>
          <w:i w:val="0"/>
          <w:color w:val="1F2933"/>
        </w:rPr>
        <w:t>Compare measurements to budget contract version 1.</w:t>
      </w:r>
    </w:p>
    <w:p>
      <w:pPr>
        <w:numPr>
          <w:ilvl w:val="0"/>
          <w:numId w:val="10"/>
        </w:numPr>
        <w:spacing w:before="0" w:after="160" w:line="280" w:lineRule="auto"/>
      </w:pPr>
      <w:r>
        <w:rPr>
          <w:rFonts w:ascii="Calibri" w:hAnsi="Calibri"/>
          <w:b w:val="0"/>
          <w:i w:val="0"/>
          <w:color w:val="1F2933"/>
        </w:rPr>
        <w:t>Record pass or fail for each signal.</w:t>
      </w:r>
    </w:p>
    <w:p>
      <w:pPr>
        <w:numPr>
          <w:ilvl w:val="0"/>
          <w:numId w:val="10"/>
        </w:numPr>
        <w:spacing w:before="0" w:after="160" w:line="280" w:lineRule="auto"/>
      </w:pPr>
      <w:r>
        <w:rPr>
          <w:rFonts w:ascii="Calibri" w:hAnsi="Calibri"/>
          <w:b w:val="0"/>
          <w:i w:val="0"/>
          <w:color w:val="1F2933"/>
        </w:rPr>
        <w:t>Block X1 promotion if any mandatory signal fails or is missing.</w:t>
      </w:r>
    </w:p>
    <w:p>
      <w:pPr>
        <w:numPr>
          <w:ilvl w:val="0"/>
          <w:numId w:val="10"/>
        </w:numPr>
        <w:spacing w:before="0" w:after="160" w:line="280" w:lineRule="auto"/>
      </w:pPr>
      <w:r>
        <w:rPr>
          <w:rFonts w:ascii="Calibri" w:hAnsi="Calibri"/>
          <w:b w:val="0"/>
          <w:i w:val="0"/>
          <w:color w:val="1F2933"/>
        </w:rPr>
        <w:t>Create a remediation record automatically.</w:t>
      </w:r>
    </w:p>
    <w:p>
      <w:pPr>
        <w:pStyle w:val="Heading2"/>
      </w:pPr>
      <w:r>
        <w:rPr>
          <w:rFonts w:ascii="Calibri" w:hAnsi="Calibri"/>
          <w:b w:val="0"/>
          <w:i w:val="0"/>
          <w:color w:val="2E74B5"/>
        </w:rPr>
        <w:t>Actions not delegated</w:t>
      </w:r>
    </w:p>
    <w:p>
      <w:pPr>
        <w:numPr>
          <w:ilvl w:val="0"/>
          <w:numId w:val="10"/>
        </w:numPr>
        <w:spacing w:before="0" w:after="160" w:line="280" w:lineRule="auto"/>
      </w:pPr>
      <w:r>
        <w:rPr>
          <w:rFonts w:ascii="Calibri" w:hAnsi="Calibri"/>
          <w:b w:val="0"/>
          <w:i w:val="0"/>
          <w:color w:val="1F2933"/>
        </w:rPr>
        <w:t>Changing thresholds.</w:t>
      </w:r>
    </w:p>
    <w:p>
      <w:pPr>
        <w:numPr>
          <w:ilvl w:val="0"/>
          <w:numId w:val="10"/>
        </w:numPr>
        <w:spacing w:before="0" w:after="160" w:line="280" w:lineRule="auto"/>
      </w:pPr>
      <w:r>
        <w:rPr>
          <w:rFonts w:ascii="Calibri" w:hAnsi="Calibri"/>
          <w:b w:val="0"/>
          <w:i w:val="0"/>
          <w:color w:val="1F2933"/>
        </w:rPr>
        <w:t>Treating the budgets as contractual SLAs.</w:t>
      </w:r>
    </w:p>
    <w:p>
      <w:pPr>
        <w:numPr>
          <w:ilvl w:val="0"/>
          <w:numId w:val="10"/>
        </w:numPr>
        <w:spacing w:before="0" w:after="160" w:line="280" w:lineRule="auto"/>
      </w:pPr>
      <w:r>
        <w:rPr>
          <w:rFonts w:ascii="Calibri" w:hAnsi="Calibri"/>
          <w:b w:val="0"/>
          <w:i w:val="0"/>
          <w:color w:val="1F2933"/>
        </w:rPr>
        <w:t>Waiving a failed threshold.</w:t>
      </w:r>
    </w:p>
    <w:p>
      <w:pPr>
        <w:numPr>
          <w:ilvl w:val="0"/>
          <w:numId w:val="10"/>
        </w:numPr>
        <w:spacing w:before="0" w:after="160" w:line="280" w:lineRule="auto"/>
      </w:pPr>
      <w:r>
        <w:rPr>
          <w:rFonts w:ascii="Calibri" w:hAnsi="Calibri"/>
          <w:b w:val="0"/>
          <w:i w:val="0"/>
          <w:color w:val="1F2933"/>
        </w:rPr>
        <w:t>Approving a different contract version.</w:t>
      </w:r>
    </w:p>
    <w:p>
      <w:pPr>
        <w:numPr>
          <w:ilvl w:val="0"/>
          <w:numId w:val="10"/>
        </w:numPr>
        <w:spacing w:before="0" w:after="160" w:line="280" w:lineRule="auto"/>
      </w:pPr>
      <w:r>
        <w:rPr>
          <w:rFonts w:ascii="Calibri" w:hAnsi="Calibri"/>
          <w:b w:val="0"/>
          <w:i w:val="0"/>
          <w:color w:val="1F2933"/>
        </w:rPr>
        <w:t>Authorizing production deployment.</w:t>
      </w:r>
    </w:p>
    <w:p>
      <w:pPr>
        <w:numPr>
          <w:ilvl w:val="0"/>
          <w:numId w:val="10"/>
        </w:numPr>
        <w:spacing w:before="0" w:after="160" w:line="280" w:lineRule="auto"/>
      </w:pPr>
      <w:r>
        <w:rPr>
          <w:rFonts w:ascii="Calibri" w:hAnsi="Calibri"/>
          <w:b w:val="0"/>
          <w:i w:val="0"/>
          <w:color w:val="1F2933"/>
        </w:rPr>
        <w:t>Certifying accessibility, security, accounting or legal compliance.</w:t>
      </w:r>
    </w:p>
    <w:p>
      <w:pPr>
        <w:pStyle w:val="Heading2"/>
      </w:pPr>
      <w:r>
        <w:rPr>
          <w:rFonts w:ascii="Calibri" w:hAnsi="Calibri"/>
          <w:b w:val="0"/>
          <w:i w:val="0"/>
          <w:color w:val="2E74B5"/>
        </w:rPr>
        <w:t>Mandatory activation fields</w:t>
      </w:r>
    </w:p>
    <w:tbl>
      <w:tblPr>
        <w:tblW w:type="dxa" w:w="9360"/>
        <w:tblLayout w:type="fixed"/>
        <w:tblLook w:firstColumn="1" w:firstRow="1" w:lastColumn="0" w:lastRow="0" w:noHBand="0" w:noVBand="1" w:val="04A0"/>
        <w:jc w:val="left"/>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Ind w:w="120" w:type="dxa"/>
      </w:tblPr>
      <w:tblGrid>
        <w:gridCol w:w="4680"/>
        <w:gridCol w:w="4680"/>
      </w:tblGrid>
      <w:tr>
        <w:trPr>
          <w:cantSplit/>
          <w:trHeight w:hRule="atLeast"/>
          <w:tblHeader w:val="true"/>
        </w:trPr>
        <w:tc>
          <w:tcPr>
            <w:tcW w:type="dxa" w:w="4680"/>
            <w:tcMar>
              <w:top w:w="80" w:type="dxa"/>
              <w:start w:w="120" w:type="dxa"/>
              <w:bottom w:w="80" w:type="dxa"/>
              <w:end w:w="120" w:type="dxa"/>
            </w:tcMar>
            <w:vAlign w:val="center"/>
            <w:shd w:fill="F2F4F7"/>
          </w:tcPr>
          <w:p>
            <w:pPr>
              <w:keepNext/>
              <w:spacing w:before="0" w:after="40" w:line="240" w:lineRule="auto"/>
            </w:pPr>
            <w:r>
              <w:rPr>
                <w:rFonts w:ascii="Calibri" w:hAnsi="Calibri"/>
                <w:b/>
                <w:i w:val="0"/>
                <w:color w:val="0B2545"/>
                <w:sz w:val="17"/>
              </w:rPr>
              <w:t>Field</w:t>
            </w:r>
          </w:p>
        </w:tc>
        <w:tc>
          <w:tcPr>
            <w:tcW w:type="dxa" w:w="4680"/>
            <w:tcMar>
              <w:top w:w="80" w:type="dxa"/>
              <w:start w:w="120" w:type="dxa"/>
              <w:bottom w:w="80" w:type="dxa"/>
              <w:end w:w="120" w:type="dxa"/>
            </w:tcMar>
            <w:vAlign w:val="center"/>
            <w:shd w:fill="F2F4F7"/>
          </w:tcPr>
          <w:p>
            <w:pPr>
              <w:keepNext/>
              <w:spacing w:before="0" w:after="40" w:line="240" w:lineRule="auto"/>
            </w:pPr>
            <w:r>
              <w:rPr>
                <w:rFonts w:ascii="Calibri" w:hAnsi="Calibri"/>
                <w:b/>
                <w:i w:val="0"/>
                <w:color w:val="0B2545"/>
                <w:sz w:val="17"/>
              </w:rPr>
              <w:t>Required completion</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Product approver name</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[TO BE COMPLETED]</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Product approver user ID</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 xml:space="preserve">Candidate: </w:t>
            </w:r>
            <w:r>
              <w:rPr>
                <w:rFonts w:ascii="Consolas" w:hAnsi="Consolas"/>
                <w:b w:val="0"/>
                <w:i w:val="0"/>
                <w:color w:val="1F4D78"/>
                <w:sz w:val="17"/>
              </w:rPr>
              <w:t>rds_org_001_compliance_user_product_approver</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Authority appointment reference</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[TO BE COMPLETED]</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Decision</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APPROVE</w:t>
            </w:r>
            <w:r>
              <w:rPr>
                <w:rFonts w:ascii="Calibri" w:hAnsi="Calibri"/>
                <w:b w:val="0"/>
                <w:i w:val="0"/>
                <w:color w:val="1F2933"/>
                <w:sz w:val="17"/>
              </w:rPr>
              <w:t xml:space="preserve"> or </w:t>
            </w:r>
            <w:r>
              <w:rPr>
                <w:rFonts w:ascii="Consolas" w:hAnsi="Consolas"/>
                <w:b w:val="0"/>
                <w:i w:val="0"/>
                <w:color w:val="1F4D78"/>
                <w:sz w:val="17"/>
              </w:rPr>
              <w:t>REJECT</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Effective from</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[TO BE COMPLETED]</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Expires at</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[TO BE COMPLETED]</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Contract artifact path</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[TO BE COMPLETED]</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Contract SHA-256</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[TO BE COMPLETED]</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Policy SHA-256</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Generated after final text is frozen</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Signature reference</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[TO BE COMPLETED]</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Approval-system record ID</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[TO BE COMPLETED]</w:t>
            </w:r>
          </w:p>
        </w:tc>
      </w:tr>
    </w:tbl>
    <w:p>
      <w:pPr>
        <w:spacing w:before="80" w:after="80"/>
      </w:pPr>
    </w:p>
    <w:p>
      <w:pPr>
        <w:pStyle w:val="Heading2"/>
      </w:pPr>
      <w:r>
        <w:rPr>
          <w:rFonts w:ascii="Calibri" w:hAnsi="Calibri"/>
          <w:b w:val="0"/>
          <w:i w:val="0"/>
          <w:color w:val="2E74B5"/>
        </w:rPr>
        <w:t>Recommended validity</w:t>
      </w:r>
    </w:p>
    <w:p>
      <w:r>
        <w:rPr>
          <w:rFonts w:ascii="Calibri" w:hAnsi="Calibri"/>
          <w:b w:val="0"/>
          <w:i w:val="0"/>
          <w:color w:val="1F2933"/>
        </w:rPr>
        <w:t>Recommended maximum validity is 90 days or until any material X1 contract, route, fixture, performance target or measurement-method change, whichever occurs first.</w:t>
      </w:r>
    </w:p>
    <w:p>
      <w:pPr>
        <w:pStyle w:val="Heading2"/>
      </w:pPr>
      <w:r>
        <w:rPr>
          <w:rFonts w:ascii="Calibri" w:hAnsi="Calibri"/>
          <w:b w:val="0"/>
          <w:i w:val="0"/>
          <w:color w:val="2E74B5"/>
        </w:rPr>
        <w:t>Required signer</w:t>
      </w:r>
    </w:p>
    <w:p>
      <w:r>
        <w:rPr>
          <w:rFonts w:ascii="Calibri" w:hAnsi="Calibri"/>
          <w:b w:val="0"/>
          <w:i w:val="0"/>
          <w:color w:val="1F2933"/>
        </w:rPr>
        <w:t>Executive product sponsor or formally appointed product approver for the X1 scope.</w:t>
      </w:r>
    </w:p>
    <w:p>
      <w:pPr>
        <w:pStyle w:val="Heading1"/>
      </w:pPr>
      <w:r>
        <w:rPr>
          <w:rFonts w:ascii="Calibri" w:hAnsi="Calibri"/>
          <w:b w:val="0"/>
          <w:i w:val="0"/>
          <w:color w:val="2E74B5"/>
        </w:rPr>
        <w:t>Policy 2: X1 Non-Production Credential, Tenant and Authenticated Evidence Delegation</w:t>
      </w:r>
    </w:p>
    <w:p>
      <w:r>
        <w:rPr>
          <w:rFonts w:ascii="Calibri" w:hAnsi="Calibri"/>
          <w:b w:val="0"/>
          <w:i w:val="0"/>
          <w:color w:val="1F2933"/>
        </w:rPr>
        <w:t xml:space="preserve">Policy ID: </w:t>
      </w:r>
      <w:r>
        <w:rPr>
          <w:rFonts w:ascii="Consolas" w:hAnsi="Consolas"/>
          <w:b w:val="0"/>
          <w:i w:val="0"/>
          <w:color w:val="1F4D78"/>
        </w:rPr>
        <w:t>STOQ-X1-POL-002</w:t>
      </w:r>
      <w:r>
        <w:rPr>
          <w:rFonts w:ascii="Calibri" w:hAnsi="Calibri"/>
          <w:b w:val="0"/>
          <w:i w:val="0"/>
          <w:color w:val="1F2933"/>
        </w:rPr>
        <w:t xml:space="preserve"> Status: </w:t>
      </w:r>
      <w:r>
        <w:rPr>
          <w:rFonts w:ascii="Consolas" w:hAnsi="Consolas"/>
          <w:b w:val="0"/>
          <w:i w:val="0"/>
          <w:color w:val="1F4D78"/>
        </w:rPr>
        <w:t>DRAFT_UNSIGNED</w:t>
      </w:r>
    </w:p>
    <w:p>
      <w:pPr>
        <w:pStyle w:val="Heading2"/>
      </w:pPr>
      <w:r>
        <w:rPr>
          <w:rFonts w:ascii="Calibri" w:hAnsi="Calibri"/>
          <w:b w:val="0"/>
          <w:i w:val="0"/>
          <w:color w:val="2E74B5"/>
        </w:rPr>
        <w:t>Purpose</w:t>
      </w:r>
    </w:p>
    <w:p>
      <w:r>
        <w:rPr>
          <w:rFonts w:ascii="Calibri" w:hAnsi="Calibri"/>
          <w:b w:val="0"/>
          <w:i w:val="0"/>
          <w:color w:val="1F2933"/>
        </w:rPr>
        <w:t>This policy authorizes a named automation service principal to obtain a bounded credential from the approved secret manager, create ephemeral browser authentication state and run the read-only X1 evidence matrix against the approved non-production environment.</w:t>
      </w:r>
    </w:p>
    <w:p>
      <w:pPr>
        <w:pStyle w:val="Heading2"/>
      </w:pPr>
      <w:r>
        <w:rPr>
          <w:rFonts w:ascii="Calibri" w:hAnsi="Calibri"/>
          <w:b w:val="0"/>
          <w:i w:val="0"/>
          <w:color w:val="2E74B5"/>
        </w:rPr>
        <w:t>Draft policy statement</w:t>
      </w:r>
    </w:p>
    <w:p>
      <w:r>
        <w:rPr>
          <w:rFonts w:ascii="Calibri" w:hAnsi="Calibri"/>
          <w:b w:val="0"/>
          <w:i w:val="0"/>
          <w:color w:val="1F2933"/>
        </w:rPr>
        <w:t>The security/control owner and managed-secrets owner authorize the named automation service principal to use the approved external-accountant credential only for the exact X1 run scope, authorized tenant, approved non-production origin and validity period. The credential and browser state remain secret, ephemeral and excluded from evidence artifacts.</w:t>
      </w:r>
    </w:p>
    <w:p>
      <w:pPr>
        <w:pStyle w:val="Heading2"/>
      </w:pPr>
      <w:r>
        <w:rPr>
          <w:rFonts w:ascii="Calibri" w:hAnsi="Calibri"/>
          <w:b w:val="0"/>
          <w:i w:val="0"/>
          <w:color w:val="2E74B5"/>
        </w:rPr>
        <w:t>Delegated automation actions</w:t>
      </w:r>
    </w:p>
    <w:p>
      <w:pPr>
        <w:numPr>
          <w:ilvl w:val="0"/>
          <w:numId w:val="10"/>
        </w:numPr>
        <w:spacing w:before="0" w:after="160" w:line="280" w:lineRule="auto"/>
      </w:pPr>
      <w:r>
        <w:rPr>
          <w:rFonts w:ascii="Calibri" w:hAnsi="Calibri"/>
          <w:b w:val="0"/>
          <w:i w:val="0"/>
          <w:color w:val="1F2933"/>
        </w:rPr>
        <w:t>Retrieve the approved credential using workload identity.</w:t>
      </w:r>
    </w:p>
    <w:p>
      <w:pPr>
        <w:numPr>
          <w:ilvl w:val="0"/>
          <w:numId w:val="10"/>
        </w:numPr>
        <w:spacing w:before="0" w:after="160" w:line="280" w:lineRule="auto"/>
      </w:pPr>
      <w:r>
        <w:rPr>
          <w:rFonts w:ascii="Calibri" w:hAnsi="Calibri"/>
          <w:b w:val="0"/>
          <w:i w:val="0"/>
          <w:color w:val="1F2933"/>
        </w:rPr>
        <w:t xml:space="preserve">Authenticate as the approved </w:t>
      </w:r>
      <w:r>
        <w:rPr>
          <w:rFonts w:ascii="Consolas" w:hAnsi="Consolas"/>
          <w:b w:val="0"/>
          <w:i w:val="0"/>
          <w:color w:val="1F4D78"/>
        </w:rPr>
        <w:t>external_accountant</w:t>
      </w:r>
      <w:r>
        <w:rPr>
          <w:rFonts w:ascii="Calibri" w:hAnsi="Calibri"/>
          <w:b w:val="0"/>
          <w:i w:val="0"/>
          <w:color w:val="1F2933"/>
        </w:rPr>
        <w:t xml:space="preserve"> persona.</w:t>
      </w:r>
    </w:p>
    <w:p>
      <w:pPr>
        <w:numPr>
          <w:ilvl w:val="0"/>
          <w:numId w:val="10"/>
        </w:numPr>
        <w:spacing w:before="0" w:after="160" w:line="280" w:lineRule="auto"/>
      </w:pPr>
      <w:r>
        <w:rPr>
          <w:rFonts w:ascii="Calibri" w:hAnsi="Calibri"/>
          <w:b w:val="0"/>
          <w:i w:val="0"/>
          <w:color w:val="1F2933"/>
        </w:rPr>
        <w:t>Verify the authenticated user ID, tenant ID and role.</w:t>
      </w:r>
    </w:p>
    <w:p>
      <w:pPr>
        <w:numPr>
          <w:ilvl w:val="0"/>
          <w:numId w:val="10"/>
        </w:numPr>
        <w:spacing w:before="0" w:after="160" w:line="280" w:lineRule="auto"/>
      </w:pPr>
      <w:r>
        <w:rPr>
          <w:rFonts w:ascii="Calibri" w:hAnsi="Calibri"/>
          <w:b w:val="0"/>
          <w:i w:val="0"/>
          <w:color w:val="1F2933"/>
        </w:rPr>
        <w:t>Create temporary Playwright storage state.</w:t>
      </w:r>
    </w:p>
    <w:p>
      <w:pPr>
        <w:numPr>
          <w:ilvl w:val="0"/>
          <w:numId w:val="10"/>
        </w:numPr>
        <w:spacing w:before="0" w:after="160" w:line="280" w:lineRule="auto"/>
      </w:pPr>
      <w:r>
        <w:rPr>
          <w:rFonts w:ascii="Calibri" w:hAnsi="Calibri"/>
          <w:b w:val="0"/>
          <w:i w:val="0"/>
          <w:color w:val="1F2933"/>
        </w:rPr>
        <w:t>Run read-only browser checks against the approved routes.</w:t>
      </w:r>
    </w:p>
    <w:p>
      <w:pPr>
        <w:numPr>
          <w:ilvl w:val="0"/>
          <w:numId w:val="10"/>
        </w:numPr>
        <w:spacing w:before="0" w:after="160" w:line="280" w:lineRule="auto"/>
      </w:pPr>
      <w:r>
        <w:rPr>
          <w:rFonts w:ascii="Calibri" w:hAnsi="Calibri"/>
          <w:b w:val="0"/>
          <w:i w:val="0"/>
          <w:color w:val="1F2933"/>
        </w:rPr>
        <w:t>Issue a read-only tenant-override probe using the approved foreign fixture tenant.</w:t>
      </w:r>
    </w:p>
    <w:p>
      <w:pPr>
        <w:numPr>
          <w:ilvl w:val="0"/>
          <w:numId w:val="10"/>
        </w:numPr>
        <w:spacing w:before="0" w:after="160" w:line="280" w:lineRule="auto"/>
      </w:pPr>
      <w:r>
        <w:rPr>
          <w:rFonts w:ascii="Calibri" w:hAnsi="Calibri"/>
          <w:b w:val="0"/>
          <w:i w:val="0"/>
          <w:color w:val="1F2933"/>
        </w:rPr>
        <w:t>Generate screenshots and structural measurements.</w:t>
      </w:r>
    </w:p>
    <w:p>
      <w:pPr>
        <w:numPr>
          <w:ilvl w:val="0"/>
          <w:numId w:val="10"/>
        </w:numPr>
        <w:spacing w:before="0" w:after="160" w:line="280" w:lineRule="auto"/>
      </w:pPr>
      <w:r>
        <w:rPr>
          <w:rFonts w:ascii="Calibri" w:hAnsi="Calibri"/>
          <w:b w:val="0"/>
          <w:i w:val="0"/>
          <w:color w:val="1F2933"/>
        </w:rPr>
        <w:t>Scan artifacts for secrets.</w:t>
      </w:r>
    </w:p>
    <w:p>
      <w:pPr>
        <w:numPr>
          <w:ilvl w:val="0"/>
          <w:numId w:val="10"/>
        </w:numPr>
        <w:spacing w:before="0" w:after="160" w:line="280" w:lineRule="auto"/>
      </w:pPr>
      <w:r>
        <w:rPr>
          <w:rFonts w:ascii="Calibri" w:hAnsi="Calibri"/>
          <w:b w:val="0"/>
          <w:i w:val="0"/>
          <w:color w:val="1F2933"/>
        </w:rPr>
        <w:t>Delete credential material and storage state after success, failure, cancellation or timeout.</w:t>
      </w:r>
    </w:p>
    <w:p>
      <w:pPr>
        <w:pStyle w:val="Heading2"/>
      </w:pPr>
      <w:r>
        <w:rPr>
          <w:rFonts w:ascii="Calibri" w:hAnsi="Calibri"/>
          <w:b w:val="0"/>
          <w:i w:val="0"/>
          <w:color w:val="2E74B5"/>
        </w:rPr>
        <w:t>Required security constraints</w:t>
      </w:r>
    </w:p>
    <w:p>
      <w:pPr>
        <w:numPr>
          <w:ilvl w:val="0"/>
          <w:numId w:val="10"/>
        </w:numPr>
        <w:spacing w:before="0" w:after="160" w:line="280" w:lineRule="auto"/>
      </w:pPr>
      <w:r>
        <w:rPr>
          <w:rFonts w:ascii="Calibri" w:hAnsi="Calibri"/>
          <w:b w:val="0"/>
          <w:i w:val="0"/>
          <w:color w:val="1F2933"/>
        </w:rPr>
        <w:t>Environment must be non-production.</w:t>
      </w:r>
    </w:p>
    <w:p>
      <w:pPr>
        <w:numPr>
          <w:ilvl w:val="0"/>
          <w:numId w:val="10"/>
        </w:numPr>
        <w:spacing w:before="0" w:after="160" w:line="280" w:lineRule="auto"/>
      </w:pPr>
      <w:r>
        <w:rPr>
          <w:rFonts w:ascii="Calibri" w:hAnsi="Calibri"/>
          <w:b w:val="0"/>
          <w:i w:val="0"/>
          <w:color w:val="1F2933"/>
        </w:rPr>
        <w:t>Target origin must match the signed allowlist exactly.</w:t>
      </w:r>
    </w:p>
    <w:p>
      <w:pPr>
        <w:numPr>
          <w:ilvl w:val="0"/>
          <w:numId w:val="10"/>
        </w:numPr>
        <w:spacing w:before="0" w:after="160" w:line="280" w:lineRule="auto"/>
      </w:pPr>
      <w:r>
        <w:rPr>
          <w:rFonts w:ascii="Calibri" w:hAnsi="Calibri"/>
          <w:b w:val="0"/>
          <w:i w:val="0"/>
          <w:color w:val="1F2933"/>
        </w:rPr>
        <w:t>Authorized tenant and foreign probe tenant must be distinct.</w:t>
      </w:r>
    </w:p>
    <w:p>
      <w:pPr>
        <w:numPr>
          <w:ilvl w:val="0"/>
          <w:numId w:val="10"/>
        </w:numPr>
        <w:spacing w:before="0" w:after="160" w:line="280" w:lineRule="auto"/>
      </w:pPr>
      <w:r>
        <w:rPr>
          <w:rFonts w:ascii="Calibri" w:hAnsi="Calibri"/>
          <w:b w:val="0"/>
          <w:i w:val="0"/>
          <w:color w:val="1F2933"/>
        </w:rPr>
        <w:t>The service principal must have no database-write, migration or seed authority.</w:t>
      </w:r>
    </w:p>
    <w:p>
      <w:pPr>
        <w:numPr>
          <w:ilvl w:val="0"/>
          <w:numId w:val="10"/>
        </w:numPr>
        <w:spacing w:before="0" w:after="160" w:line="280" w:lineRule="auto"/>
      </w:pPr>
      <w:r>
        <w:rPr>
          <w:rFonts w:ascii="Calibri" w:hAnsi="Calibri"/>
          <w:b w:val="0"/>
          <w:i w:val="0"/>
          <w:color w:val="1F2933"/>
        </w:rPr>
        <w:t>The external-accountant account must lack mutation permissions.</w:t>
      </w:r>
    </w:p>
    <w:p>
      <w:pPr>
        <w:numPr>
          <w:ilvl w:val="0"/>
          <w:numId w:val="10"/>
        </w:numPr>
        <w:spacing w:before="0" w:after="160" w:line="280" w:lineRule="auto"/>
      </w:pPr>
      <w:r>
        <w:rPr>
          <w:rFonts w:ascii="Calibri" w:hAnsi="Calibri"/>
          <w:b w:val="0"/>
          <w:i w:val="0"/>
          <w:color w:val="1F2933"/>
        </w:rPr>
        <w:t>Credentials must never appear in logs, manifests, screenshots, reports or command arguments.</w:t>
      </w:r>
    </w:p>
    <w:p>
      <w:pPr>
        <w:numPr>
          <w:ilvl w:val="0"/>
          <w:numId w:val="10"/>
        </w:numPr>
        <w:spacing w:before="0" w:after="160" w:line="280" w:lineRule="auto"/>
      </w:pPr>
      <w:r>
        <w:rPr>
          <w:rFonts w:ascii="Calibri" w:hAnsi="Calibri"/>
          <w:b w:val="0"/>
          <w:i w:val="0"/>
          <w:color w:val="1F2933"/>
        </w:rPr>
        <w:t>Storage state must never be uploaded as evidence.</w:t>
      </w:r>
    </w:p>
    <w:p>
      <w:pPr>
        <w:numPr>
          <w:ilvl w:val="0"/>
          <w:numId w:val="10"/>
        </w:numPr>
        <w:spacing w:before="0" w:after="160" w:line="280" w:lineRule="auto"/>
      </w:pPr>
      <w:r>
        <w:rPr>
          <w:rFonts w:ascii="Calibri" w:hAnsi="Calibri"/>
          <w:b w:val="0"/>
          <w:i w:val="0"/>
          <w:color w:val="1F2933"/>
        </w:rPr>
        <w:t>Trace and video capture remain disabled unless separately approved and sanitized.</w:t>
      </w:r>
    </w:p>
    <w:p>
      <w:pPr>
        <w:numPr>
          <w:ilvl w:val="0"/>
          <w:numId w:val="10"/>
        </w:numPr>
        <w:spacing w:before="0" w:after="160" w:line="280" w:lineRule="auto"/>
      </w:pPr>
      <w:r>
        <w:rPr>
          <w:rFonts w:ascii="Calibri" w:hAnsi="Calibri"/>
          <w:b w:val="0"/>
          <w:i w:val="0"/>
          <w:color w:val="1F2933"/>
        </w:rPr>
        <w:t>Artifact upload is prohibited until secret scanning passes.</w:t>
      </w:r>
    </w:p>
    <w:p>
      <w:pPr>
        <w:numPr>
          <w:ilvl w:val="0"/>
          <w:numId w:val="10"/>
        </w:numPr>
        <w:spacing w:before="0" w:after="160" w:line="280" w:lineRule="auto"/>
      </w:pPr>
      <w:r>
        <w:rPr>
          <w:rFonts w:ascii="Calibri" w:hAnsi="Calibri"/>
          <w:b w:val="0"/>
          <w:i w:val="0"/>
          <w:color w:val="1F2933"/>
        </w:rPr>
        <w:t>Every secret access and browser run must emit an audit event.</w:t>
      </w:r>
    </w:p>
    <w:p>
      <w:pPr>
        <w:pStyle w:val="Heading2"/>
      </w:pPr>
      <w:r>
        <w:rPr>
          <w:rFonts w:ascii="Calibri" w:hAnsi="Calibri"/>
          <w:b w:val="0"/>
          <w:i w:val="0"/>
          <w:color w:val="2E74B5"/>
        </w:rPr>
        <w:t>Actions not delegated</w:t>
      </w:r>
    </w:p>
    <w:p>
      <w:pPr>
        <w:numPr>
          <w:ilvl w:val="0"/>
          <w:numId w:val="10"/>
        </w:numPr>
        <w:spacing w:before="0" w:after="160" w:line="280" w:lineRule="auto"/>
      </w:pPr>
      <w:r>
        <w:rPr>
          <w:rFonts w:ascii="Calibri" w:hAnsi="Calibri"/>
          <w:b w:val="0"/>
          <w:i w:val="0"/>
          <w:color w:val="1F2933"/>
        </w:rPr>
        <w:t>Production authentication.</w:t>
      </w:r>
    </w:p>
    <w:p>
      <w:pPr>
        <w:numPr>
          <w:ilvl w:val="0"/>
          <w:numId w:val="10"/>
        </w:numPr>
        <w:spacing w:before="0" w:after="160" w:line="280" w:lineRule="auto"/>
      </w:pPr>
      <w:r>
        <w:rPr>
          <w:rFonts w:ascii="Calibri" w:hAnsi="Calibri"/>
          <w:b w:val="0"/>
          <w:i w:val="0"/>
          <w:color w:val="1F2933"/>
        </w:rPr>
        <w:t>Credential disclosure to an agent or operator.</w:t>
      </w:r>
    </w:p>
    <w:p>
      <w:pPr>
        <w:numPr>
          <w:ilvl w:val="0"/>
          <w:numId w:val="10"/>
        </w:numPr>
        <w:spacing w:before="0" w:after="160" w:line="280" w:lineRule="auto"/>
      </w:pPr>
      <w:r>
        <w:rPr>
          <w:rFonts w:ascii="Calibri" w:hAnsi="Calibri"/>
          <w:b w:val="0"/>
          <w:i w:val="0"/>
          <w:color w:val="1F2933"/>
        </w:rPr>
        <w:t>Changing user roles or permissions.</w:t>
      </w:r>
    </w:p>
    <w:p>
      <w:pPr>
        <w:numPr>
          <w:ilvl w:val="0"/>
          <w:numId w:val="10"/>
        </w:numPr>
        <w:spacing w:before="0" w:after="160" w:line="280" w:lineRule="auto"/>
      </w:pPr>
      <w:r>
        <w:rPr>
          <w:rFonts w:ascii="Calibri" w:hAnsi="Calibri"/>
          <w:b w:val="0"/>
          <w:i w:val="0"/>
          <w:color w:val="1F2933"/>
        </w:rPr>
        <w:t>Adding module entitlements.</w:t>
      </w:r>
    </w:p>
    <w:p>
      <w:pPr>
        <w:numPr>
          <w:ilvl w:val="0"/>
          <w:numId w:val="10"/>
        </w:numPr>
        <w:spacing w:before="0" w:after="160" w:line="280" w:lineRule="auto"/>
      </w:pPr>
      <w:r>
        <w:rPr>
          <w:rFonts w:ascii="Calibri" w:hAnsi="Calibri"/>
          <w:b w:val="0"/>
          <w:i w:val="0"/>
          <w:color w:val="1F2933"/>
        </w:rPr>
        <w:t>Seeding, resetting or migrating the database.</w:t>
      </w:r>
    </w:p>
    <w:p>
      <w:pPr>
        <w:numPr>
          <w:ilvl w:val="0"/>
          <w:numId w:val="10"/>
        </w:numPr>
        <w:spacing w:before="0" w:after="160" w:line="280" w:lineRule="auto"/>
      </w:pPr>
      <w:r>
        <w:rPr>
          <w:rFonts w:ascii="Calibri" w:hAnsi="Calibri"/>
          <w:b w:val="0"/>
          <w:i w:val="0"/>
          <w:color w:val="1F2933"/>
        </w:rPr>
        <w:t>Performing finance or accounting mutations.</w:t>
      </w:r>
    </w:p>
    <w:p>
      <w:pPr>
        <w:numPr>
          <w:ilvl w:val="0"/>
          <w:numId w:val="10"/>
        </w:numPr>
        <w:spacing w:before="0" w:after="160" w:line="280" w:lineRule="auto"/>
      </w:pPr>
      <w:r>
        <w:rPr>
          <w:rFonts w:ascii="Calibri" w:hAnsi="Calibri"/>
          <w:b w:val="0"/>
          <w:i w:val="0"/>
          <w:color w:val="1F2933"/>
        </w:rPr>
        <w:t>Reusing the credential outside the approved run.</w:t>
      </w:r>
    </w:p>
    <w:p>
      <w:pPr>
        <w:numPr>
          <w:ilvl w:val="0"/>
          <w:numId w:val="10"/>
        </w:numPr>
        <w:spacing w:before="0" w:after="160" w:line="280" w:lineRule="auto"/>
      </w:pPr>
      <w:r>
        <w:rPr>
          <w:rFonts w:ascii="Calibri" w:hAnsi="Calibri"/>
          <w:b w:val="0"/>
          <w:i w:val="0"/>
          <w:color w:val="1F2933"/>
        </w:rPr>
        <w:t>Disabling redaction, RBAC or tenant isolation.</w:t>
      </w:r>
    </w:p>
    <w:p>
      <w:pPr>
        <w:pStyle w:val="Heading2"/>
      </w:pPr>
      <w:r>
        <w:rPr>
          <w:rFonts w:ascii="Calibri" w:hAnsi="Calibri"/>
          <w:b w:val="0"/>
          <w:i w:val="0"/>
          <w:color w:val="2E74B5"/>
        </w:rPr>
        <w:t>Mandatory activation fields</w:t>
      </w:r>
    </w:p>
    <w:tbl>
      <w:tblPr>
        <w:tblW w:type="dxa" w:w="9360"/>
        <w:tblLayout w:type="fixed"/>
        <w:tblLook w:firstColumn="1" w:firstRow="1" w:lastColumn="0" w:lastRow="0" w:noHBand="0" w:noVBand="1" w:val="04A0"/>
        <w:jc w:val="left"/>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Ind w:w="120" w:type="dxa"/>
      </w:tblPr>
      <w:tblGrid>
        <w:gridCol w:w="4680"/>
        <w:gridCol w:w="4680"/>
      </w:tblGrid>
      <w:tr>
        <w:trPr>
          <w:cantSplit/>
          <w:trHeight w:hRule="atLeast"/>
          <w:tblHeader w:val="true"/>
        </w:trPr>
        <w:tc>
          <w:tcPr>
            <w:tcW w:type="dxa" w:w="4680"/>
            <w:tcMar>
              <w:top w:w="80" w:type="dxa"/>
              <w:start w:w="120" w:type="dxa"/>
              <w:bottom w:w="80" w:type="dxa"/>
              <w:end w:w="120" w:type="dxa"/>
            </w:tcMar>
            <w:vAlign w:val="center"/>
            <w:shd w:fill="F2F4F7"/>
          </w:tcPr>
          <w:p>
            <w:pPr>
              <w:keepNext/>
              <w:spacing w:before="0" w:after="40" w:line="240" w:lineRule="auto"/>
            </w:pPr>
            <w:r>
              <w:rPr>
                <w:rFonts w:ascii="Calibri" w:hAnsi="Calibri"/>
                <w:b/>
                <w:i w:val="0"/>
                <w:color w:val="0B2545"/>
                <w:sz w:val="17"/>
              </w:rPr>
              <w:t>Field</w:t>
            </w:r>
          </w:p>
        </w:tc>
        <w:tc>
          <w:tcPr>
            <w:tcW w:type="dxa" w:w="4680"/>
            <w:tcMar>
              <w:top w:w="80" w:type="dxa"/>
              <w:start w:w="120" w:type="dxa"/>
              <w:bottom w:w="80" w:type="dxa"/>
              <w:end w:w="120" w:type="dxa"/>
            </w:tcMar>
            <w:vAlign w:val="center"/>
            <w:shd w:fill="F2F4F7"/>
          </w:tcPr>
          <w:p>
            <w:pPr>
              <w:keepNext/>
              <w:spacing w:before="0" w:after="40" w:line="240" w:lineRule="auto"/>
            </w:pPr>
            <w:r>
              <w:rPr>
                <w:rFonts w:ascii="Calibri" w:hAnsi="Calibri"/>
                <w:b/>
                <w:i w:val="0"/>
                <w:color w:val="0B2545"/>
                <w:sz w:val="17"/>
              </w:rPr>
              <w:t>Required completion</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Security/control owner name</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Candidate: Yonga Springfield; reconfirm required</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Security/control owner user ID</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[TO BE COMPLETED]</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Security authority appointment reference</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[TO BE COMPLETED]</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Managed-secrets owner</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[TO BE COMPLETED]</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Automation service-principal ID</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[TO BE COMPLETED]</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Secret-manager provider</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[TO BE COMPLETED]</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Secret reference</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[TO BE COMPLETED; never secret value]</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Approved target origin</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[TO BE COMPLETED]</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Authorized tenant</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 xml:space="preserve">Candidate: </w:t>
            </w:r>
            <w:r>
              <w:rPr>
                <w:rFonts w:ascii="Consolas" w:hAnsi="Consolas"/>
                <w:b w:val="0"/>
                <w:i w:val="0"/>
                <w:color w:val="1F4D78"/>
                <w:sz w:val="17"/>
              </w:rPr>
              <w:t>rds_org_001</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Foreign probe tenant</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 xml:space="preserve">Candidate: </w:t>
            </w:r>
            <w:r>
              <w:rPr>
                <w:rFonts w:ascii="Consolas" w:hAnsi="Consolas"/>
                <w:b w:val="0"/>
                <w:i w:val="0"/>
                <w:color w:val="1F4D78"/>
                <w:sz w:val="17"/>
              </w:rPr>
              <w:t>rds_org_002</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Approved persona user ID</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 xml:space="preserve">Candidate: </w:t>
            </w:r>
            <w:r>
              <w:rPr>
                <w:rFonts w:ascii="Consolas" w:hAnsi="Consolas"/>
                <w:b w:val="0"/>
                <w:i w:val="0"/>
                <w:color w:val="1F4D78"/>
                <w:sz w:val="17"/>
              </w:rPr>
              <w:t>rds_org_001_compliance_user_external_accountant</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Seeded-data approval reference</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[TO BE COMPLETED]</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Retention policy reference</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[TO BE COMPLETED]</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Effective from</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[TO BE COMPLETED]</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Expires at</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[TO BE COMPLETED]</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Policy SHA-256</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Generated after final text is frozen</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Security signature reference</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[TO BE COMPLETED]</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Managed-secrets signature reference</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[TO BE COMPLETED]</w:t>
            </w:r>
          </w:p>
        </w:tc>
      </w:tr>
    </w:tbl>
    <w:p>
      <w:pPr>
        <w:spacing w:before="80" w:after="80"/>
      </w:pPr>
    </w:p>
    <w:p>
      <w:pPr>
        <w:pStyle w:val="Heading2"/>
      </w:pPr>
      <w:r>
        <w:rPr>
          <w:rFonts w:ascii="Calibri" w:hAnsi="Calibri"/>
          <w:b w:val="0"/>
          <w:i w:val="0"/>
          <w:color w:val="2E74B5"/>
        </w:rPr>
        <w:t>Required signers</w:t>
      </w:r>
    </w:p>
    <w:p>
      <w:r>
        <w:rPr>
          <w:rFonts w:ascii="Calibri" w:hAnsi="Calibri"/>
          <w:b w:val="0"/>
          <w:i w:val="0"/>
          <w:color w:val="1F2933"/>
        </w:rPr>
        <w:t>Application-security authority, security/control owner, managed-secrets owner and fixture-data/tenant owner.</w:t>
      </w:r>
    </w:p>
    <w:p>
      <w:pPr>
        <w:pStyle w:val="Heading1"/>
      </w:pPr>
      <w:r>
        <w:rPr>
          <w:rFonts w:ascii="Calibri" w:hAnsi="Calibri"/>
          <w:b w:val="0"/>
          <w:i w:val="0"/>
          <w:color w:val="2E74B5"/>
        </w:rPr>
        <w:t>Policy 3: X1 Automated Technical Evidence Review and Gate Promotion Delegation</w:t>
      </w:r>
    </w:p>
    <w:p>
      <w:r>
        <w:rPr>
          <w:rFonts w:ascii="Calibri" w:hAnsi="Calibri"/>
          <w:b w:val="0"/>
          <w:i w:val="0"/>
          <w:color w:val="1F2933"/>
        </w:rPr>
        <w:t xml:space="preserve">Policy ID: </w:t>
      </w:r>
      <w:r>
        <w:rPr>
          <w:rFonts w:ascii="Consolas" w:hAnsi="Consolas"/>
          <w:b w:val="0"/>
          <w:i w:val="0"/>
          <w:color w:val="1F4D78"/>
        </w:rPr>
        <w:t>STOQ-X1-POL-003</w:t>
      </w:r>
      <w:r>
        <w:rPr>
          <w:rFonts w:ascii="Calibri" w:hAnsi="Calibri"/>
          <w:b w:val="0"/>
          <w:i w:val="0"/>
          <w:color w:val="1F2933"/>
        </w:rPr>
        <w:t xml:space="preserve"> Status: </w:t>
      </w:r>
      <w:r>
        <w:rPr>
          <w:rFonts w:ascii="Consolas" w:hAnsi="Consolas"/>
          <w:b w:val="0"/>
          <w:i w:val="0"/>
          <w:color w:val="1F4D78"/>
        </w:rPr>
        <w:t>DRAFT_UNSIGNED</w:t>
      </w:r>
    </w:p>
    <w:p>
      <w:pPr>
        <w:pStyle w:val="Heading2"/>
      </w:pPr>
      <w:r>
        <w:rPr>
          <w:rFonts w:ascii="Calibri" w:hAnsi="Calibri"/>
          <w:b w:val="0"/>
          <w:i w:val="0"/>
          <w:color w:val="2E74B5"/>
        </w:rPr>
        <w:t>Purpose</w:t>
      </w:r>
    </w:p>
    <w:p>
      <w:r>
        <w:rPr>
          <w:rFonts w:ascii="Calibri" w:hAnsi="Calibri"/>
          <w:b w:val="0"/>
          <w:i w:val="0"/>
          <w:color w:val="1F2933"/>
        </w:rPr>
        <w:t>This policy delegates a narrowly defined internal X1 technical promotion decision to an independent automation verifier after all product and security delegations are valid.</w:t>
      </w:r>
    </w:p>
    <w:p>
      <w:pPr>
        <w:pStyle w:val="Heading2"/>
      </w:pPr>
      <w:r>
        <w:rPr>
          <w:rFonts w:ascii="Calibri" w:hAnsi="Calibri"/>
          <w:b w:val="0"/>
          <w:i w:val="0"/>
          <w:color w:val="2E74B5"/>
        </w:rPr>
        <w:t>Authority boundary</w:t>
      </w:r>
    </w:p>
    <w:p>
      <w:r>
        <w:rPr>
          <w:rFonts w:ascii="Calibri" w:hAnsi="Calibri"/>
          <w:b w:val="0"/>
          <w:i w:val="0"/>
          <w:color w:val="1F2933"/>
        </w:rPr>
        <w:t xml:space="preserve">This policy may authorize the transition from X1 evidence collection to </w:t>
      </w:r>
      <w:r>
        <w:rPr>
          <w:rFonts w:ascii="Consolas" w:hAnsi="Consolas"/>
          <w:b w:val="0"/>
          <w:i w:val="0"/>
          <w:color w:val="1F4D78"/>
        </w:rPr>
        <w:t>X1_TECHNICAL_GATE_PASSED</w:t>
      </w:r>
      <w:r>
        <w:rPr>
          <w:rFonts w:ascii="Calibri" w:hAnsi="Calibri"/>
          <w:b w:val="0"/>
          <w:i w:val="0"/>
          <w:color w:val="1F2933"/>
        </w:rPr>
        <w:t xml:space="preserve">. It may not grant </w:t>
      </w:r>
      <w:r>
        <w:rPr>
          <w:rFonts w:ascii="Consolas" w:hAnsi="Consolas"/>
          <w:b w:val="0"/>
          <w:i w:val="0"/>
          <w:color w:val="1F4D78"/>
        </w:rPr>
        <w:t>PILOT_AUTHORIZED</w:t>
      </w:r>
      <w:r>
        <w:rPr>
          <w:rFonts w:ascii="Calibri" w:hAnsi="Calibri"/>
          <w:b w:val="0"/>
          <w:i w:val="0"/>
          <w:color w:val="1F2933"/>
        </w:rPr>
        <w:t xml:space="preserve"> or </w:t>
      </w:r>
      <w:r>
        <w:rPr>
          <w:rFonts w:ascii="Consolas" w:hAnsi="Consolas"/>
          <w:b w:val="0"/>
          <w:i w:val="0"/>
          <w:color w:val="1F4D78"/>
        </w:rPr>
        <w:t>PRODUCTION_AUTHORIZED</w:t>
      </w:r>
      <w:r>
        <w:rPr>
          <w:rFonts w:ascii="Calibri" w:hAnsi="Calibri"/>
          <w:b w:val="0"/>
          <w:i w:val="0"/>
          <w:color w:val="1F2933"/>
        </w:rPr>
        <w:t>, deploy code, certify statutory/accounting conclusions or accept residual risk outside the listed deterministic criteria.</w:t>
      </w:r>
    </w:p>
    <w:p>
      <w:pPr>
        <w:pStyle w:val="Heading2"/>
      </w:pPr>
      <w:r>
        <w:rPr>
          <w:rFonts w:ascii="Calibri" w:hAnsi="Calibri"/>
          <w:b w:val="0"/>
          <w:i w:val="0"/>
          <w:color w:val="2E74B5"/>
        </w:rPr>
        <w:t>Draft policy statement</w:t>
      </w:r>
    </w:p>
    <w:p>
      <w:r>
        <w:rPr>
          <w:rFonts w:ascii="Calibri" w:hAnsi="Calibri"/>
          <w:b w:val="0"/>
          <w:i w:val="0"/>
          <w:color w:val="1F2933"/>
        </w:rPr>
        <w:t xml:space="preserve">The independent release authority authorizes the designated evidence-verifier service to mark the internal X1 technical gate passed only when every mandatory criterion below is proven by current, hash-bound evidence. Any missing, failed, stale, revoked or inconsistent condition results in </w:t>
      </w:r>
      <w:r>
        <w:rPr>
          <w:rFonts w:ascii="Consolas" w:hAnsi="Consolas"/>
          <w:b w:val="0"/>
          <w:i w:val="0"/>
          <w:color w:val="1F4D78"/>
        </w:rPr>
        <w:t>RELEASE_GATE_BLOCKED</w:t>
      </w:r>
      <w:r>
        <w:rPr>
          <w:rFonts w:ascii="Calibri" w:hAnsi="Calibri"/>
          <w:b w:val="0"/>
          <w:i w:val="0"/>
          <w:color w:val="1F2933"/>
        </w:rPr>
        <w:t>.</w:t>
      </w:r>
    </w:p>
    <w:p>
      <w:pPr>
        <w:pStyle w:val="Heading2"/>
      </w:pPr>
      <w:r>
        <w:rPr>
          <w:rFonts w:ascii="Calibri" w:hAnsi="Calibri"/>
          <w:b w:val="0"/>
          <w:i w:val="0"/>
          <w:color w:val="2E74B5"/>
        </w:rPr>
        <w:t>Mandatory pass criteria</w:t>
      </w:r>
    </w:p>
    <w:tbl>
      <w:tblPr>
        <w:tblW w:type="dxa" w:w="9360"/>
        <w:tblLayout w:type="fixed"/>
        <w:tblLook w:firstColumn="1" w:firstRow="1" w:lastColumn="0" w:lastRow="0" w:noHBand="0" w:noVBand="1" w:val="04A0"/>
        <w:jc w:val="left"/>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Ind w:w="120" w:type="dxa"/>
      </w:tblPr>
      <w:tblGrid>
        <w:gridCol w:w="4457"/>
        <w:gridCol w:w="4903"/>
      </w:tblGrid>
      <w:tr>
        <w:trPr>
          <w:cantSplit/>
          <w:trHeight w:hRule="atLeast"/>
          <w:tblHeader w:val="true"/>
        </w:trPr>
        <w:tc>
          <w:tcPr>
            <w:tcW w:type="dxa" w:w="4457"/>
            <w:tcMar>
              <w:top w:w="80" w:type="dxa"/>
              <w:start w:w="120" w:type="dxa"/>
              <w:bottom w:w="80" w:type="dxa"/>
              <w:end w:w="120" w:type="dxa"/>
            </w:tcMar>
            <w:vAlign w:val="center"/>
            <w:shd w:fill="F2F4F7"/>
          </w:tcPr>
          <w:p>
            <w:pPr>
              <w:keepNext/>
              <w:spacing w:before="0" w:after="40" w:line="240" w:lineRule="auto"/>
            </w:pPr>
            <w:r>
              <w:rPr>
                <w:rFonts w:ascii="Calibri" w:hAnsi="Calibri"/>
                <w:b/>
                <w:i w:val="0"/>
                <w:color w:val="0B2545"/>
                <w:sz w:val="17"/>
              </w:rPr>
              <w:t>Criterion</w:t>
            </w:r>
          </w:p>
        </w:tc>
        <w:tc>
          <w:tcPr>
            <w:tcW w:type="dxa" w:w="4903"/>
            <w:tcMar>
              <w:top w:w="80" w:type="dxa"/>
              <w:start w:w="120" w:type="dxa"/>
              <w:bottom w:w="80" w:type="dxa"/>
              <w:end w:w="120" w:type="dxa"/>
            </w:tcMar>
            <w:vAlign w:val="center"/>
            <w:shd w:fill="F2F4F7"/>
          </w:tcPr>
          <w:p>
            <w:pPr>
              <w:keepNext/>
              <w:spacing w:before="0" w:after="40" w:line="240" w:lineRule="auto"/>
            </w:pPr>
            <w:r>
              <w:rPr>
                <w:rFonts w:ascii="Calibri" w:hAnsi="Calibri"/>
                <w:b/>
                <w:i w:val="0"/>
                <w:color w:val="0B2545"/>
                <w:sz w:val="17"/>
              </w:rPr>
              <w:t>Required result</w:t>
            </w:r>
          </w:p>
        </w:tc>
      </w:tr>
      <w:tr>
        <w:trPr>
          <w:cantSplit/>
          <w:trHeight w:hRule="atLeast"/>
        </w:trPr>
        <w:tc>
          <w:tcPr>
            <w:tcW w:type="dxa" w:w="4457"/>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Policies 1 and 2</w:t>
            </w:r>
          </w:p>
        </w:tc>
        <w:tc>
          <w:tcPr>
            <w:tcW w:type="dxa" w:w="4903"/>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Active, signed, unexpired, unrevoked and hash-valid</w:t>
            </w:r>
          </w:p>
        </w:tc>
      </w:tr>
      <w:tr>
        <w:trPr>
          <w:cantSplit/>
          <w:trHeight w:hRule="atLeast"/>
        </w:trPr>
        <w:tc>
          <w:tcPr>
            <w:tcW w:type="dxa" w:w="4457"/>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Approval scope</w:t>
            </w:r>
          </w:p>
        </w:tc>
        <w:tc>
          <w:tcPr>
            <w:tcW w:type="dxa" w:w="4903"/>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Exact X1 contract version, tenant, persona and run</w:t>
            </w:r>
          </w:p>
        </w:tc>
      </w:tr>
      <w:tr>
        <w:trPr>
          <w:cantSplit/>
          <w:trHeight w:hRule="atLeast"/>
        </w:trPr>
        <w:tc>
          <w:tcPr>
            <w:tcW w:type="dxa" w:w="4457"/>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Focused tests</w:t>
            </w:r>
          </w:p>
        </w:tc>
        <w:tc>
          <w:tcPr>
            <w:tcW w:type="dxa" w:w="4903"/>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All required suites pass on the current commit</w:t>
            </w:r>
          </w:p>
        </w:tc>
      </w:tr>
      <w:tr>
        <w:trPr>
          <w:cantSplit/>
          <w:trHeight w:hRule="atLeast"/>
        </w:trPr>
        <w:tc>
          <w:tcPr>
            <w:tcW w:type="dxa" w:w="4457"/>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Playwright matrix</w:t>
            </w:r>
          </w:p>
        </w:tc>
        <w:tc>
          <w:tcPr>
            <w:tcW w:type="dxa" w:w="4903"/>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42 of 42 authenticated checks pass</w:t>
            </w:r>
          </w:p>
        </w:tc>
      </w:tr>
      <w:tr>
        <w:trPr>
          <w:cantSplit/>
          <w:trHeight w:hRule="atLeast"/>
        </w:trPr>
        <w:tc>
          <w:tcPr>
            <w:tcW w:type="dxa" w:w="4457"/>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Required locales</w:t>
            </w:r>
          </w:p>
        </w:tc>
        <w:tc>
          <w:tcPr>
            <w:tcW w:type="dxa" w:w="4903"/>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English and French complete</w:t>
            </w:r>
          </w:p>
        </w:tc>
      </w:tr>
      <w:tr>
        <w:trPr>
          <w:cantSplit/>
          <w:trHeight w:hRule="atLeast"/>
        </w:trPr>
        <w:tc>
          <w:tcPr>
            <w:tcW w:type="dxa" w:w="4457"/>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Required viewports</w:t>
            </w:r>
          </w:p>
        </w:tc>
        <w:tc>
          <w:tcPr>
            <w:tcW w:type="dxa" w:w="4903"/>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Desktop, tablet and mobile complete</w:t>
            </w:r>
          </w:p>
        </w:tc>
      </w:tr>
      <w:tr>
        <w:trPr>
          <w:cantSplit/>
          <w:trHeight w:hRule="atLeast"/>
        </w:trPr>
        <w:tc>
          <w:tcPr>
            <w:tcW w:type="dxa" w:w="4457"/>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Required routes</w:t>
            </w:r>
          </w:p>
        </w:tc>
        <w:tc>
          <w:tcPr>
            <w:tcW w:type="dxa" w:w="4903"/>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Seven canonical routes complete</w:t>
            </w:r>
          </w:p>
        </w:tc>
      </w:tr>
      <w:tr>
        <w:trPr>
          <w:cantSplit/>
          <w:trHeight w:hRule="atLeast"/>
        </w:trPr>
        <w:tc>
          <w:tcPr>
            <w:tcW w:type="dxa" w:w="4457"/>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Persona</w:t>
            </w:r>
          </w:p>
        </w:tc>
        <w:tc>
          <w:tcPr>
            <w:tcW w:type="dxa" w:w="4903"/>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 xml:space="preserve">Exact </w:t>
            </w:r>
            <w:r>
              <w:rPr>
                <w:rFonts w:ascii="Consolas" w:hAnsi="Consolas"/>
                <w:b w:val="0"/>
                <w:i w:val="0"/>
                <w:color w:val="1F4D78"/>
                <w:sz w:val="17"/>
              </w:rPr>
              <w:t>external_accountant</w:t>
            </w:r>
            <w:r>
              <w:rPr>
                <w:rFonts w:ascii="Calibri" w:hAnsi="Calibri"/>
                <w:b w:val="0"/>
                <w:i w:val="0"/>
                <w:color w:val="1F2933"/>
                <w:sz w:val="17"/>
              </w:rPr>
              <w:t xml:space="preserve"> role and approved user ID</w:t>
            </w:r>
          </w:p>
        </w:tc>
      </w:tr>
      <w:tr>
        <w:trPr>
          <w:cantSplit/>
          <w:trHeight w:hRule="atLeast"/>
        </w:trPr>
        <w:tc>
          <w:tcPr>
            <w:tcW w:type="dxa" w:w="4457"/>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Tenant</w:t>
            </w:r>
          </w:p>
        </w:tc>
        <w:tc>
          <w:tcPr>
            <w:tcW w:type="dxa" w:w="4903"/>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Exact authorized tenant</w:t>
            </w:r>
          </w:p>
        </w:tc>
      </w:tr>
      <w:tr>
        <w:trPr>
          <w:cantSplit/>
          <w:trHeight w:hRule="atLeast"/>
        </w:trPr>
        <w:tc>
          <w:tcPr>
            <w:tcW w:type="dxa" w:w="4457"/>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Isolation probe</w:t>
            </w:r>
          </w:p>
        </w:tc>
        <w:tc>
          <w:tcPr>
            <w:tcW w:type="dxa" w:w="4903"/>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Foreign tenant cannot override authenticated tenant context</w:t>
            </w:r>
          </w:p>
        </w:tc>
      </w:tr>
      <w:tr>
        <w:trPr>
          <w:cantSplit/>
          <w:trHeight w:hRule="atLeast"/>
        </w:trPr>
        <w:tc>
          <w:tcPr>
            <w:tcW w:type="dxa" w:w="4457"/>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Mutation permissions</w:t>
            </w:r>
          </w:p>
        </w:tc>
        <w:tc>
          <w:tcPr>
            <w:tcW w:type="dxa" w:w="4903"/>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All forbidden permissions absent</w:t>
            </w:r>
          </w:p>
        </w:tc>
      </w:tr>
      <w:tr>
        <w:trPr>
          <w:cantSplit/>
          <w:trHeight w:hRule="atLeast"/>
        </w:trPr>
        <w:tc>
          <w:tcPr>
            <w:tcW w:type="dxa" w:w="4457"/>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Protected actions</w:t>
            </w:r>
          </w:p>
        </w:tc>
        <w:tc>
          <w:tcPr>
            <w:tcW w:type="dxa" w:w="4903"/>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No prohibited mutation action exposed</w:t>
            </w:r>
          </w:p>
        </w:tc>
      </w:tr>
      <w:tr>
        <w:trPr>
          <w:cantSplit/>
          <w:trHeight w:hRule="atLeast"/>
        </w:trPr>
        <w:tc>
          <w:tcPr>
            <w:tcW w:type="dxa" w:w="4457"/>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Accessibility</w:t>
            </w:r>
          </w:p>
        </w:tc>
        <w:tc>
          <w:tcPr>
            <w:tcW w:type="dxa" w:w="4903"/>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Zero serious or critical Axe violations</w:t>
            </w:r>
          </w:p>
        </w:tc>
      </w:tr>
      <w:tr>
        <w:trPr>
          <w:cantSplit/>
          <w:trHeight w:hRule="atLeast"/>
        </w:trPr>
        <w:tc>
          <w:tcPr>
            <w:tcW w:type="dxa" w:w="4457"/>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Keyboard</w:t>
            </w:r>
          </w:p>
        </w:tc>
        <w:tc>
          <w:tcPr>
            <w:tcW w:type="dxa" w:w="4903"/>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Visible focus demonstrated on every required surface</w:t>
            </w:r>
          </w:p>
        </w:tc>
      </w:tr>
      <w:tr>
        <w:trPr>
          <w:cantSplit/>
          <w:trHeight w:hRule="atLeast"/>
        </w:trPr>
        <w:tc>
          <w:tcPr>
            <w:tcW w:type="dxa" w:w="4457"/>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Layout</w:t>
            </w:r>
          </w:p>
        </w:tc>
        <w:tc>
          <w:tcPr>
            <w:tcW w:type="dxa" w:w="4903"/>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No document overflow or clipped required controls</w:t>
            </w:r>
          </w:p>
        </w:tc>
      </w:tr>
      <w:tr>
        <w:trPr>
          <w:cantSplit/>
          <w:trHeight w:hRule="atLeast"/>
        </w:trPr>
        <w:tc>
          <w:tcPr>
            <w:tcW w:type="dxa" w:w="4457"/>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Redaction</w:t>
            </w:r>
          </w:p>
        </w:tc>
        <w:tc>
          <w:tcPr>
            <w:tcW w:type="dxa" w:w="4903"/>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Approved redaction checks pass</w:t>
            </w:r>
          </w:p>
        </w:tc>
      </w:tr>
      <w:tr>
        <w:trPr>
          <w:cantSplit/>
          <w:trHeight w:hRule="atLeast"/>
        </w:trPr>
        <w:tc>
          <w:tcPr>
            <w:tcW w:type="dxa" w:w="4457"/>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Artifact scanning</w:t>
            </w:r>
          </w:p>
        </w:tc>
        <w:tc>
          <w:tcPr>
            <w:tcW w:type="dxa" w:w="4903"/>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No credential, token, cookie, storage state or secret-like finding</w:t>
            </w:r>
          </w:p>
        </w:tc>
      </w:tr>
      <w:tr>
        <w:trPr>
          <w:cantSplit/>
          <w:trHeight w:hRule="atLeast"/>
        </w:trPr>
        <w:tc>
          <w:tcPr>
            <w:tcW w:type="dxa" w:w="4457"/>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Evidence manifest</w:t>
            </w:r>
          </w:p>
        </w:tc>
        <w:tc>
          <w:tcPr>
            <w:tcW w:type="dxa" w:w="4903"/>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Schema-valid and complete</w:t>
            </w:r>
          </w:p>
        </w:tc>
      </w:tr>
      <w:tr>
        <w:trPr>
          <w:cantSplit/>
          <w:trHeight w:hRule="atLeast"/>
        </w:trPr>
        <w:tc>
          <w:tcPr>
            <w:tcW w:type="dxa" w:w="4457"/>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Artifact integrity</w:t>
            </w:r>
          </w:p>
        </w:tc>
        <w:tc>
          <w:tcPr>
            <w:tcW w:type="dxa" w:w="4903"/>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SHA-256 manifest complete and verified</w:t>
            </w:r>
          </w:p>
        </w:tc>
      </w:tr>
      <w:tr>
        <w:trPr>
          <w:cantSplit/>
          <w:trHeight w:hRule="atLeast"/>
        </w:trPr>
        <w:tc>
          <w:tcPr>
            <w:tcW w:type="dxa" w:w="4457"/>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Evidence freshness</w:t>
            </w:r>
          </w:p>
        </w:tc>
        <w:tc>
          <w:tcPr>
            <w:tcW w:type="dxa" w:w="4903"/>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Current commit, fixture version and workflow version</w:t>
            </w:r>
          </w:p>
        </w:tc>
      </w:tr>
      <w:tr>
        <w:trPr>
          <w:cantSplit/>
          <w:trHeight w:hRule="atLeast"/>
        </w:trPr>
        <w:tc>
          <w:tcPr>
            <w:tcW w:type="dxa" w:w="4457"/>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Cleanup</w:t>
            </w:r>
          </w:p>
        </w:tc>
        <w:tc>
          <w:tcPr>
            <w:tcW w:type="dxa" w:w="4903"/>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Temporary credential and storage state deletion confirmed</w:t>
            </w:r>
          </w:p>
        </w:tc>
      </w:tr>
      <w:tr>
        <w:trPr>
          <w:cantSplit/>
          <w:trHeight w:hRule="atLeast"/>
        </w:trPr>
        <w:tc>
          <w:tcPr>
            <w:tcW w:type="dxa" w:w="4457"/>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Audit trail</w:t>
            </w:r>
          </w:p>
        </w:tc>
        <w:tc>
          <w:tcPr>
            <w:tcW w:type="dxa" w:w="4903"/>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Complete state transitions and service identities recorded</w:t>
            </w:r>
          </w:p>
        </w:tc>
      </w:tr>
      <w:tr>
        <w:trPr>
          <w:cantSplit/>
          <w:trHeight w:hRule="atLeast"/>
        </w:trPr>
        <w:tc>
          <w:tcPr>
            <w:tcW w:type="dxa" w:w="4457"/>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Performance budgets</w:t>
            </w:r>
          </w:p>
        </w:tc>
        <w:tc>
          <w:tcPr>
            <w:tcW w:type="dxa" w:w="4903"/>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All approved mandatory signals pass or are explicitly classified as measurement-only by Policy 1</w:t>
            </w:r>
          </w:p>
        </w:tc>
      </w:tr>
    </w:tbl>
    <w:p>
      <w:pPr>
        <w:spacing w:before="80" w:after="80"/>
      </w:pPr>
    </w:p>
    <w:p>
      <w:pPr>
        <w:pStyle w:val="Heading2"/>
      </w:pPr>
      <w:r>
        <w:rPr>
          <w:rFonts w:ascii="Calibri" w:hAnsi="Calibri"/>
          <w:b w:val="0"/>
          <w:i w:val="0"/>
          <w:color w:val="2E74B5"/>
        </w:rPr>
        <w:t>Independence controls</w:t>
      </w:r>
    </w:p>
    <w:p>
      <w:pPr>
        <w:numPr>
          <w:ilvl w:val="0"/>
          <w:numId w:val="10"/>
        </w:numPr>
        <w:spacing w:before="0" w:after="160" w:line="280" w:lineRule="auto"/>
      </w:pPr>
      <w:r>
        <w:rPr>
          <w:rFonts w:ascii="Calibri" w:hAnsi="Calibri"/>
          <w:b w:val="0"/>
          <w:i w:val="0"/>
          <w:color w:val="1F2933"/>
        </w:rPr>
        <w:t>The evidence-verifier service identity must differ from the implementation and capture service identity.</w:t>
      </w:r>
    </w:p>
    <w:p>
      <w:pPr>
        <w:numPr>
          <w:ilvl w:val="0"/>
          <w:numId w:val="10"/>
        </w:numPr>
        <w:spacing w:before="0" w:after="160" w:line="280" w:lineRule="auto"/>
      </w:pPr>
      <w:r>
        <w:rPr>
          <w:rFonts w:ascii="Calibri" w:hAnsi="Calibri"/>
          <w:b w:val="0"/>
          <w:i w:val="0"/>
          <w:color w:val="1F2933"/>
        </w:rPr>
        <w:t>The verifier must recompute artifact hashes from immutable bytes.</w:t>
      </w:r>
    </w:p>
    <w:p>
      <w:pPr>
        <w:numPr>
          <w:ilvl w:val="0"/>
          <w:numId w:val="10"/>
        </w:numPr>
        <w:spacing w:before="0" w:after="160" w:line="280" w:lineRule="auto"/>
      </w:pPr>
      <w:r>
        <w:rPr>
          <w:rFonts w:ascii="Calibri" w:hAnsi="Calibri"/>
          <w:b w:val="0"/>
          <w:i w:val="0"/>
          <w:color w:val="1F2933"/>
        </w:rPr>
        <w:t>The verifier must not modify source code, tests, captured artifacts or approval records during review.</w:t>
      </w:r>
    </w:p>
    <w:p>
      <w:pPr>
        <w:numPr>
          <w:ilvl w:val="0"/>
          <w:numId w:val="10"/>
        </w:numPr>
        <w:spacing w:before="0" w:after="160" w:line="280" w:lineRule="auto"/>
      </w:pPr>
      <w:r>
        <w:rPr>
          <w:rFonts w:ascii="Calibri" w:hAnsi="Calibri"/>
          <w:b w:val="0"/>
          <w:i w:val="0"/>
          <w:color w:val="1F2933"/>
        </w:rPr>
        <w:t>A failed condition cannot be waived by the verifier.</w:t>
      </w:r>
    </w:p>
    <w:p>
      <w:pPr>
        <w:numPr>
          <w:ilvl w:val="0"/>
          <w:numId w:val="10"/>
        </w:numPr>
        <w:spacing w:before="0" w:after="160" w:line="280" w:lineRule="auto"/>
      </w:pPr>
      <w:r>
        <w:rPr>
          <w:rFonts w:ascii="Calibri" w:hAnsi="Calibri"/>
          <w:b w:val="0"/>
          <w:i w:val="0"/>
          <w:color w:val="1F2933"/>
        </w:rPr>
        <w:t>Any policy or artifact drift invalidates the promotion result.</w:t>
      </w:r>
    </w:p>
    <w:p>
      <w:pPr>
        <w:numPr>
          <w:ilvl w:val="0"/>
          <w:numId w:val="10"/>
        </w:numPr>
        <w:spacing w:before="0" w:after="160" w:line="280" w:lineRule="auto"/>
      </w:pPr>
      <w:r>
        <w:rPr>
          <w:rFonts w:ascii="Calibri" w:hAnsi="Calibri"/>
          <w:b w:val="0"/>
          <w:i w:val="0"/>
          <w:color w:val="1F2933"/>
        </w:rPr>
        <w:t>Periodic independent human sampling remains required under the enterprise assurance schedule.</w:t>
      </w:r>
    </w:p>
    <w:p>
      <w:pPr>
        <w:pStyle w:val="Heading2"/>
      </w:pPr>
      <w:r>
        <w:rPr>
          <w:rFonts w:ascii="Calibri" w:hAnsi="Calibri"/>
          <w:b w:val="0"/>
          <w:i w:val="0"/>
          <w:color w:val="2E74B5"/>
        </w:rPr>
        <w:t>Actions not delegated</w:t>
      </w:r>
    </w:p>
    <w:p>
      <w:pPr>
        <w:numPr>
          <w:ilvl w:val="0"/>
          <w:numId w:val="10"/>
        </w:numPr>
        <w:spacing w:before="0" w:after="160" w:line="280" w:lineRule="auto"/>
      </w:pPr>
      <w:r>
        <w:rPr>
          <w:rFonts w:ascii="Calibri" w:hAnsi="Calibri"/>
          <w:b w:val="0"/>
          <w:i w:val="0"/>
          <w:color w:val="1F2933"/>
        </w:rPr>
        <w:t>Production deployment or authorization.</w:t>
      </w:r>
    </w:p>
    <w:p>
      <w:pPr>
        <w:numPr>
          <w:ilvl w:val="0"/>
          <w:numId w:val="10"/>
        </w:numPr>
        <w:spacing w:before="0" w:after="160" w:line="280" w:lineRule="auto"/>
      </w:pPr>
      <w:r>
        <w:rPr>
          <w:rFonts w:ascii="Calibri" w:hAnsi="Calibri"/>
          <w:b w:val="0"/>
          <w:i w:val="0"/>
          <w:color w:val="1F2933"/>
        </w:rPr>
        <w:t>Pilot authorization.</w:t>
      </w:r>
    </w:p>
    <w:p>
      <w:pPr>
        <w:numPr>
          <w:ilvl w:val="0"/>
          <w:numId w:val="10"/>
        </w:numPr>
        <w:spacing w:before="0" w:after="160" w:line="280" w:lineRule="auto"/>
      </w:pPr>
      <w:r>
        <w:rPr>
          <w:rFonts w:ascii="Calibri" w:hAnsi="Calibri"/>
          <w:b w:val="0"/>
          <w:i w:val="0"/>
          <w:color w:val="1F2933"/>
        </w:rPr>
        <w:t>Acceptance of residual risk.</w:t>
      </w:r>
    </w:p>
    <w:p>
      <w:pPr>
        <w:numPr>
          <w:ilvl w:val="0"/>
          <w:numId w:val="10"/>
        </w:numPr>
        <w:spacing w:before="0" w:after="160" w:line="280" w:lineRule="auto"/>
      </w:pPr>
      <w:r>
        <w:rPr>
          <w:rFonts w:ascii="Calibri" w:hAnsi="Calibri"/>
          <w:b w:val="0"/>
          <w:i w:val="0"/>
          <w:color w:val="1F2933"/>
        </w:rPr>
        <w:t>Waiver of tenant, authorization, financial-truth or serious accessibility failures.</w:t>
      </w:r>
    </w:p>
    <w:p>
      <w:pPr>
        <w:numPr>
          <w:ilvl w:val="0"/>
          <w:numId w:val="10"/>
        </w:numPr>
        <w:spacing w:before="0" w:after="160" w:line="280" w:lineRule="auto"/>
      </w:pPr>
      <w:r>
        <w:rPr>
          <w:rFonts w:ascii="Calibri" w:hAnsi="Calibri"/>
          <w:b w:val="0"/>
          <w:i w:val="0"/>
          <w:color w:val="1F2933"/>
        </w:rPr>
        <w:t>Legal, statutory, accounting, security or accessibility certification.</w:t>
      </w:r>
    </w:p>
    <w:p>
      <w:pPr>
        <w:numPr>
          <w:ilvl w:val="0"/>
          <w:numId w:val="10"/>
        </w:numPr>
        <w:spacing w:before="0" w:after="160" w:line="280" w:lineRule="auto"/>
      </w:pPr>
      <w:r>
        <w:rPr>
          <w:rFonts w:ascii="Calibri" w:hAnsi="Calibri"/>
          <w:b w:val="0"/>
          <w:i w:val="0"/>
          <w:color w:val="1F2933"/>
        </w:rPr>
        <w:t>Changing evidence after capture.</w:t>
      </w:r>
    </w:p>
    <w:p>
      <w:pPr>
        <w:pStyle w:val="Heading2"/>
      </w:pPr>
      <w:r>
        <w:rPr>
          <w:rFonts w:ascii="Calibri" w:hAnsi="Calibri"/>
          <w:b w:val="0"/>
          <w:i w:val="0"/>
          <w:color w:val="2E74B5"/>
        </w:rPr>
        <w:t>Mandatory activation fields</w:t>
      </w:r>
    </w:p>
    <w:tbl>
      <w:tblPr>
        <w:tblW w:type="dxa" w:w="9360"/>
        <w:tblLayout w:type="fixed"/>
        <w:tblLook w:firstColumn="1" w:firstRow="1" w:lastColumn="0" w:lastRow="0" w:noHBand="0" w:noVBand="1" w:val="04A0"/>
        <w:jc w:val="left"/>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Ind w:w="120" w:type="dxa"/>
      </w:tblPr>
      <w:tblGrid>
        <w:gridCol w:w="4680"/>
        <w:gridCol w:w="4680"/>
      </w:tblGrid>
      <w:tr>
        <w:trPr>
          <w:cantSplit/>
          <w:trHeight w:hRule="atLeast"/>
          <w:tblHeader w:val="true"/>
        </w:trPr>
        <w:tc>
          <w:tcPr>
            <w:tcW w:type="dxa" w:w="4680"/>
            <w:tcMar>
              <w:top w:w="80" w:type="dxa"/>
              <w:start w:w="120" w:type="dxa"/>
              <w:bottom w:w="80" w:type="dxa"/>
              <w:end w:w="120" w:type="dxa"/>
            </w:tcMar>
            <w:vAlign w:val="center"/>
            <w:shd w:fill="F2F4F7"/>
          </w:tcPr>
          <w:p>
            <w:pPr>
              <w:keepNext/>
              <w:spacing w:before="0" w:after="40" w:line="240" w:lineRule="auto"/>
            </w:pPr>
            <w:r>
              <w:rPr>
                <w:rFonts w:ascii="Calibri" w:hAnsi="Calibri"/>
                <w:b/>
                <w:i w:val="0"/>
                <w:color w:val="0B2545"/>
                <w:sz w:val="17"/>
              </w:rPr>
              <w:t>Field</w:t>
            </w:r>
          </w:p>
        </w:tc>
        <w:tc>
          <w:tcPr>
            <w:tcW w:type="dxa" w:w="4680"/>
            <w:tcMar>
              <w:top w:w="80" w:type="dxa"/>
              <w:start w:w="120" w:type="dxa"/>
              <w:bottom w:w="80" w:type="dxa"/>
              <w:end w:w="120" w:type="dxa"/>
            </w:tcMar>
            <w:vAlign w:val="center"/>
            <w:shd w:fill="F2F4F7"/>
          </w:tcPr>
          <w:p>
            <w:pPr>
              <w:keepNext/>
              <w:spacing w:before="0" w:after="40" w:line="240" w:lineRule="auto"/>
            </w:pPr>
            <w:r>
              <w:rPr>
                <w:rFonts w:ascii="Calibri" w:hAnsi="Calibri"/>
                <w:b/>
                <w:i w:val="0"/>
                <w:color w:val="0B2545"/>
                <w:sz w:val="17"/>
              </w:rPr>
              <w:t>Required completion</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Independent release authority name</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[TO BE COMPLETED]</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Independent release authority user ID</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[TO BE COMPLETED]</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Authority appointment reference</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[TO BE COMPLETED]</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Evidence-verifier service-principal ID</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[TO BE COMPLETED]</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Evidence-store reference</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[TO BE COMPLETED]</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Retention policy reference</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[TO BE COMPLETED]</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Current commit binding rule</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[TO BE COMPLETED]</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Fixture-version binding rule</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[TO BE COMPLETED]</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Effective from</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[TO BE COMPLETED]</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Expires at</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[TO BE COMPLETED]</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Policy SHA-256</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Generated after final text is frozen</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Release-authority signature reference</w:t>
            </w:r>
          </w:p>
        </w:tc>
        <w:tc>
          <w:tcPr>
            <w:tcW w:type="dxa" w:w="4680"/>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7"/>
              </w:rPr>
              <w:t>[TO BE COMPLETED]</w:t>
            </w:r>
          </w:p>
        </w:tc>
      </w:tr>
    </w:tbl>
    <w:p>
      <w:pPr>
        <w:spacing w:before="80" w:after="80"/>
      </w:pPr>
    </w:p>
    <w:p>
      <w:pPr>
        <w:pStyle w:val="Heading2"/>
      </w:pPr>
      <w:r>
        <w:rPr>
          <w:rFonts w:ascii="Calibri" w:hAnsi="Calibri"/>
          <w:b w:val="0"/>
          <w:i w:val="0"/>
          <w:color w:val="2E74B5"/>
        </w:rPr>
        <w:t>Required signer</w:t>
      </w:r>
    </w:p>
    <w:p>
      <w:r>
        <w:rPr>
          <w:rFonts w:ascii="Calibri" w:hAnsi="Calibri"/>
          <w:b w:val="0"/>
          <w:i w:val="0"/>
          <w:color w:val="1F2933"/>
        </w:rPr>
        <w:t>Named independent enterprise release authority. Supporting concurrence from product, security/control and finance/control owners is recommended and may be required by the organization's governance charter.</w:t>
      </w:r>
    </w:p>
    <w:p>
      <w:pPr>
        <w:pStyle w:val="Heading1"/>
      </w:pPr>
      <w:r>
        <w:rPr>
          <w:rFonts w:ascii="Calibri" w:hAnsi="Calibri"/>
          <w:b w:val="0"/>
          <w:i w:val="0"/>
          <w:color w:val="2E74B5"/>
        </w:rPr>
        <w:t>Combined activation rule</w:t>
      </w:r>
    </w:p>
    <w:p>
      <w:r>
        <w:rPr>
          <w:rFonts w:ascii="Calibri" w:hAnsi="Calibri"/>
          <w:b w:val="0"/>
          <w:i w:val="0"/>
          <w:color w:val="1F2933"/>
        </w:rPr>
        <w:t>The X1 unattended workflow may activate only when:</w:t>
      </w:r>
    </w:p>
    <w:tbl>
      <w:tblPr>
        <w:tblW w:type="dxa" w:w="9360"/>
        <w:tblLayout w:type="fixed"/>
        <w:tblLook w:firstColumn="1" w:firstRow="1" w:lastColumn="0" w:lastRow="0" w:noHBand="0" w:noVBand="1" w:val="04A0"/>
        <w:jc w:val="left"/>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Ind w:w="120" w:type="dxa"/>
      </w:tblPr>
      <w:tblGrid>
        <w:gridCol w:w="9360"/>
      </w:tblGrid>
      <w:tr>
        <w:trPr>
          <w:cantSplit/>
        </w:trPr>
        <w:tc>
          <w:tcPr>
            <w:tcW w:type="dxa" w:w="9360"/>
            <w:tcMar>
              <w:top w:w="80" w:type="dxa"/>
              <w:start w:w="120" w:type="dxa"/>
              <w:bottom w:w="80" w:type="dxa"/>
              <w:end w:w="120" w:type="dxa"/>
            </w:tcMar>
            <w:shd w:fill="F4F6F9"/>
          </w:tcPr>
          <w:p>
            <w:pPr>
              <w:spacing w:after="0"/>
            </w:pPr>
            <w:r>
              <w:rPr>
                <w:rFonts w:ascii="Consolas" w:hAnsi="Consolas"/>
                <w:b w:val="0"/>
                <w:i w:val="0"/>
                <w:color w:val="1F4D78"/>
                <w:sz w:val="16"/>
              </w:rPr>
              <w:t>Policy 1 status = ACTIVE_SIGNED</w:t>
              <w:br/>
            </w:r>
            <w:r>
              <w:rPr>
                <w:rFonts w:ascii="Consolas" w:hAnsi="Consolas"/>
                <w:b w:val="0"/>
                <w:i w:val="0"/>
                <w:color w:val="1F4D78"/>
                <w:sz w:val="16"/>
              </w:rPr>
              <w:t>AND Policy 2 status = ACTIVE_SIGNED</w:t>
              <w:br/>
            </w:r>
            <w:r>
              <w:rPr>
                <w:rFonts w:ascii="Consolas" w:hAnsi="Consolas"/>
                <w:b w:val="0"/>
                <w:i w:val="0"/>
                <w:color w:val="1F4D78"/>
                <w:sz w:val="16"/>
              </w:rPr>
              <w:t>AND Policy 3 status = ACTIVE_SIGNED</w:t>
              <w:br/>
            </w:r>
            <w:r>
              <w:rPr>
                <w:rFonts w:ascii="Consolas" w:hAnsi="Consolas"/>
                <w:b w:val="0"/>
                <w:i w:val="0"/>
                <w:color w:val="1F4D78"/>
                <w:sz w:val="16"/>
              </w:rPr>
              <w:t>AND every policy signature is valid</w:t>
              <w:br/>
            </w:r>
            <w:r>
              <w:rPr>
                <w:rFonts w:ascii="Consolas" w:hAnsi="Consolas"/>
                <w:b w:val="0"/>
                <w:i w:val="0"/>
                <w:color w:val="1F4D78"/>
                <w:sz w:val="16"/>
              </w:rPr>
              <w:t>AND every policy hash matches immutable content</w:t>
              <w:br/>
            </w:r>
            <w:r>
              <w:rPr>
                <w:rFonts w:ascii="Consolas" w:hAnsi="Consolas"/>
                <w:b w:val="0"/>
                <w:i w:val="0"/>
                <w:color w:val="1F4D78"/>
                <w:sz w:val="16"/>
              </w:rPr>
              <w:t>AND all effective dates include the run time</w:t>
              <w:br/>
            </w:r>
            <w:r>
              <w:rPr>
                <w:rFonts w:ascii="Consolas" w:hAnsi="Consolas"/>
                <w:b w:val="0"/>
                <w:i w:val="0"/>
                <w:color w:val="1F4D78"/>
                <w:sz w:val="16"/>
              </w:rPr>
              <w:t>AND no policy or appointment is revoked</w:t>
              <w:br/>
            </w:r>
            <w:r>
              <w:rPr>
                <w:rFonts w:ascii="Consolas" w:hAnsi="Consolas"/>
                <w:b w:val="0"/>
                <w:i w:val="0"/>
                <w:color w:val="1F4D78"/>
                <w:sz w:val="16"/>
              </w:rPr>
              <w:t>AND the run scope matches every policy exactly</w:t>
            </w:r>
          </w:p>
        </w:tc>
      </w:tr>
    </w:tbl>
    <w:p>
      <w:pPr>
        <w:spacing w:after="80"/>
      </w:pPr>
    </w:p>
    <w:p>
      <w:r>
        <w:rPr>
          <w:rFonts w:ascii="Calibri" w:hAnsi="Calibri"/>
          <w:b w:val="0"/>
          <w:i w:val="0"/>
          <w:color w:val="1F2933"/>
        </w:rPr>
        <w:t xml:space="preserve">Any other state must produce </w:t>
      </w:r>
      <w:r>
        <w:rPr>
          <w:rFonts w:ascii="Consolas" w:hAnsi="Consolas"/>
          <w:b w:val="0"/>
          <w:i w:val="0"/>
          <w:color w:val="1F4D78"/>
        </w:rPr>
        <w:t>AWAITING_AUTHORITY</w:t>
      </w:r>
      <w:r>
        <w:rPr>
          <w:rFonts w:ascii="Calibri" w:hAnsi="Calibri"/>
          <w:b w:val="0"/>
          <w:i w:val="0"/>
          <w:color w:val="1F2933"/>
        </w:rPr>
        <w:t xml:space="preserve"> or </w:t>
      </w:r>
      <w:r>
        <w:rPr>
          <w:rFonts w:ascii="Consolas" w:hAnsi="Consolas"/>
          <w:b w:val="0"/>
          <w:i w:val="0"/>
          <w:color w:val="1F4D78"/>
        </w:rPr>
        <w:t>RELEASE_GATE_BLOCKED</w:t>
      </w:r>
      <w:r>
        <w:rPr>
          <w:rFonts w:ascii="Calibri" w:hAnsi="Calibri"/>
          <w:b w:val="0"/>
          <w:i w:val="0"/>
          <w:color w:val="1F2933"/>
        </w:rPr>
        <w:t>.</w:t>
      </w:r>
    </w:p>
    <w:p>
      <w:pPr>
        <w:pStyle w:val="Heading1"/>
      </w:pPr>
      <w:r>
        <w:rPr>
          <w:rFonts w:ascii="Calibri" w:hAnsi="Calibri"/>
          <w:b w:val="0"/>
          <w:i w:val="0"/>
          <w:color w:val="2E74B5"/>
        </w:rPr>
        <w:t>Policy lifecycle and revocation</w:t>
      </w:r>
    </w:p>
    <w:p>
      <w:r>
        <w:rPr>
          <w:rFonts w:ascii="Calibri" w:hAnsi="Calibri"/>
          <w:b w:val="0"/>
          <w:i w:val="0"/>
          <w:color w:val="1F2933"/>
        </w:rPr>
        <w:t>Every policy must support:</w:t>
      </w:r>
    </w:p>
    <w:p>
      <w:pPr>
        <w:numPr>
          <w:ilvl w:val="0"/>
          <w:numId w:val="10"/>
        </w:numPr>
        <w:spacing w:before="0" w:after="160" w:line="280" w:lineRule="auto"/>
      </w:pPr>
      <w:r>
        <w:rPr>
          <w:rFonts w:ascii="Consolas" w:hAnsi="Consolas"/>
          <w:b w:val="0"/>
          <w:i w:val="0"/>
          <w:color w:val="1F4D78"/>
        </w:rPr>
        <w:t>DRAFT_UNSIGNED</w:t>
      </w:r>
    </w:p>
    <w:p>
      <w:pPr>
        <w:numPr>
          <w:ilvl w:val="0"/>
          <w:numId w:val="10"/>
        </w:numPr>
        <w:spacing w:before="0" w:after="160" w:line="280" w:lineRule="auto"/>
      </w:pPr>
      <w:r>
        <w:rPr>
          <w:rFonts w:ascii="Consolas" w:hAnsi="Consolas"/>
          <w:b w:val="0"/>
          <w:i w:val="0"/>
          <w:color w:val="1F4D78"/>
        </w:rPr>
        <w:t>PENDING_APPROVAL</w:t>
      </w:r>
    </w:p>
    <w:p>
      <w:pPr>
        <w:numPr>
          <w:ilvl w:val="0"/>
          <w:numId w:val="10"/>
        </w:numPr>
        <w:spacing w:before="0" w:after="160" w:line="280" w:lineRule="auto"/>
      </w:pPr>
      <w:r>
        <w:rPr>
          <w:rFonts w:ascii="Consolas" w:hAnsi="Consolas"/>
          <w:b w:val="0"/>
          <w:i w:val="0"/>
          <w:color w:val="1F4D78"/>
        </w:rPr>
        <w:t>ACTIVE_SIGNED</w:t>
      </w:r>
    </w:p>
    <w:p>
      <w:pPr>
        <w:numPr>
          <w:ilvl w:val="0"/>
          <w:numId w:val="10"/>
        </w:numPr>
        <w:spacing w:before="0" w:after="160" w:line="280" w:lineRule="auto"/>
      </w:pPr>
      <w:r>
        <w:rPr>
          <w:rFonts w:ascii="Consolas" w:hAnsi="Consolas"/>
          <w:b w:val="0"/>
          <w:i w:val="0"/>
          <w:color w:val="1F4D78"/>
        </w:rPr>
        <w:t>SUSPENDED</w:t>
      </w:r>
    </w:p>
    <w:p>
      <w:pPr>
        <w:numPr>
          <w:ilvl w:val="0"/>
          <w:numId w:val="10"/>
        </w:numPr>
        <w:spacing w:before="0" w:after="160" w:line="280" w:lineRule="auto"/>
      </w:pPr>
      <w:r>
        <w:rPr>
          <w:rFonts w:ascii="Consolas" w:hAnsi="Consolas"/>
          <w:b w:val="0"/>
          <w:i w:val="0"/>
          <w:color w:val="1F4D78"/>
        </w:rPr>
        <w:t>EXPIRED</w:t>
      </w:r>
    </w:p>
    <w:p>
      <w:pPr>
        <w:numPr>
          <w:ilvl w:val="0"/>
          <w:numId w:val="10"/>
        </w:numPr>
        <w:spacing w:before="0" w:after="160" w:line="280" w:lineRule="auto"/>
      </w:pPr>
      <w:r>
        <w:rPr>
          <w:rFonts w:ascii="Consolas" w:hAnsi="Consolas"/>
          <w:b w:val="0"/>
          <w:i w:val="0"/>
          <w:color w:val="1F4D78"/>
        </w:rPr>
        <w:t>REVOKED</w:t>
      </w:r>
    </w:p>
    <w:p>
      <w:pPr>
        <w:numPr>
          <w:ilvl w:val="0"/>
          <w:numId w:val="10"/>
        </w:numPr>
        <w:spacing w:before="0" w:after="160" w:line="280" w:lineRule="auto"/>
      </w:pPr>
      <w:r>
        <w:rPr>
          <w:rFonts w:ascii="Consolas" w:hAnsi="Consolas"/>
          <w:b w:val="0"/>
          <w:i w:val="0"/>
          <w:color w:val="1F4D78"/>
        </w:rPr>
        <w:t>SUPERSEDED</w:t>
      </w:r>
    </w:p>
    <w:p>
      <w:r>
        <w:rPr>
          <w:rFonts w:ascii="Calibri" w:hAnsi="Calibri"/>
          <w:b w:val="0"/>
          <w:i w:val="0"/>
          <w:color w:val="1F2933"/>
        </w:rPr>
        <w:t>Revocation must immediately stop new runs, invalidate unconsumed approvals, terminate active credential leases where technically possible and emit an audited event.</w:t>
      </w:r>
    </w:p>
    <w:p>
      <w:r>
        <w:rPr>
          <w:rFonts w:ascii="Calibri" w:hAnsi="Calibri"/>
          <w:b w:val="0"/>
          <w:i w:val="0"/>
          <w:color w:val="1F2933"/>
        </w:rPr>
        <w:t>Material changes requiring reapproval include:</w:t>
      </w:r>
    </w:p>
    <w:p>
      <w:pPr>
        <w:numPr>
          <w:ilvl w:val="0"/>
          <w:numId w:val="10"/>
        </w:numPr>
        <w:spacing w:before="0" w:after="160" w:line="280" w:lineRule="auto"/>
      </w:pPr>
      <w:r>
        <w:rPr>
          <w:rFonts w:ascii="Calibri" w:hAnsi="Calibri"/>
          <w:b w:val="0"/>
          <w:i w:val="0"/>
          <w:color w:val="1F2933"/>
        </w:rPr>
        <w:t>X1 contract version change.</w:t>
      </w:r>
    </w:p>
    <w:p>
      <w:pPr>
        <w:numPr>
          <w:ilvl w:val="0"/>
          <w:numId w:val="10"/>
        </w:numPr>
        <w:spacing w:before="0" w:after="160" w:line="280" w:lineRule="auto"/>
      </w:pPr>
      <w:r>
        <w:rPr>
          <w:rFonts w:ascii="Calibri" w:hAnsi="Calibri"/>
          <w:b w:val="0"/>
          <w:i w:val="0"/>
          <w:color w:val="1F2933"/>
        </w:rPr>
        <w:t>Budget threshold or measurement-method change.</w:t>
      </w:r>
    </w:p>
    <w:p>
      <w:pPr>
        <w:numPr>
          <w:ilvl w:val="0"/>
          <w:numId w:val="10"/>
        </w:numPr>
        <w:spacing w:before="0" w:after="160" w:line="280" w:lineRule="auto"/>
      </w:pPr>
      <w:r>
        <w:rPr>
          <w:rFonts w:ascii="Calibri" w:hAnsi="Calibri"/>
          <w:b w:val="0"/>
          <w:i w:val="0"/>
          <w:color w:val="1F2933"/>
        </w:rPr>
        <w:t>Route, locale or viewport matrix change.</w:t>
      </w:r>
    </w:p>
    <w:p>
      <w:pPr>
        <w:numPr>
          <w:ilvl w:val="0"/>
          <w:numId w:val="10"/>
        </w:numPr>
        <w:spacing w:before="0" w:after="160" w:line="280" w:lineRule="auto"/>
      </w:pPr>
      <w:r>
        <w:rPr>
          <w:rFonts w:ascii="Calibri" w:hAnsi="Calibri"/>
          <w:b w:val="0"/>
          <w:i w:val="0"/>
          <w:color w:val="1F2933"/>
        </w:rPr>
        <w:t>Tenant, persona or credential change.</w:t>
      </w:r>
    </w:p>
    <w:p>
      <w:pPr>
        <w:numPr>
          <w:ilvl w:val="0"/>
          <w:numId w:val="10"/>
        </w:numPr>
        <w:spacing w:before="0" w:after="160" w:line="280" w:lineRule="auto"/>
      </w:pPr>
      <w:r>
        <w:rPr>
          <w:rFonts w:ascii="Calibri" w:hAnsi="Calibri"/>
          <w:b w:val="0"/>
          <w:i w:val="0"/>
          <w:color w:val="1F2933"/>
        </w:rPr>
        <w:t>RBAC, entitlement or redaction-policy change.</w:t>
      </w:r>
    </w:p>
    <w:p>
      <w:pPr>
        <w:numPr>
          <w:ilvl w:val="0"/>
          <w:numId w:val="10"/>
        </w:numPr>
        <w:spacing w:before="0" w:after="160" w:line="280" w:lineRule="auto"/>
      </w:pPr>
      <w:r>
        <w:rPr>
          <w:rFonts w:ascii="Calibri" w:hAnsi="Calibri"/>
          <w:b w:val="0"/>
          <w:i w:val="0"/>
          <w:color w:val="1F2933"/>
        </w:rPr>
        <w:t>Secret-manager or service-principal change.</w:t>
      </w:r>
    </w:p>
    <w:p>
      <w:pPr>
        <w:numPr>
          <w:ilvl w:val="0"/>
          <w:numId w:val="10"/>
        </w:numPr>
        <w:spacing w:before="0" w:after="160" w:line="280" w:lineRule="auto"/>
      </w:pPr>
      <w:r>
        <w:rPr>
          <w:rFonts w:ascii="Calibri" w:hAnsi="Calibri"/>
          <w:b w:val="0"/>
          <w:i w:val="0"/>
          <w:color w:val="1F2933"/>
        </w:rPr>
        <w:t>Evidence-store or retention-policy change.</w:t>
      </w:r>
    </w:p>
    <w:p>
      <w:pPr>
        <w:numPr>
          <w:ilvl w:val="0"/>
          <w:numId w:val="10"/>
        </w:numPr>
        <w:spacing w:before="0" w:after="160" w:line="280" w:lineRule="auto"/>
      </w:pPr>
      <w:r>
        <w:rPr>
          <w:rFonts w:ascii="Calibri" w:hAnsi="Calibri"/>
          <w:b w:val="0"/>
          <w:i w:val="0"/>
          <w:color w:val="1F2933"/>
        </w:rPr>
        <w:t>Verifier implementation change affecting decision logic.</w:t>
      </w:r>
    </w:p>
    <w:p>
      <w:pPr>
        <w:numPr>
          <w:ilvl w:val="0"/>
          <w:numId w:val="10"/>
        </w:numPr>
        <w:spacing w:before="0" w:after="160" w:line="280" w:lineRule="auto"/>
      </w:pPr>
      <w:r>
        <w:rPr>
          <w:rFonts w:ascii="Calibri" w:hAnsi="Calibri"/>
          <w:b w:val="0"/>
          <w:i w:val="0"/>
          <w:color w:val="1F2933"/>
        </w:rPr>
        <w:t>Material finance/accounting workflow change.</w:t>
      </w:r>
    </w:p>
    <w:p>
      <w:pPr>
        <w:pStyle w:val="Heading1"/>
      </w:pPr>
      <w:r>
        <w:rPr>
          <w:rFonts w:ascii="Calibri" w:hAnsi="Calibri"/>
          <w:b w:val="0"/>
          <w:i w:val="0"/>
          <w:color w:val="2E74B5"/>
        </w:rPr>
        <w:t>Segregation of duties</w:t>
      </w:r>
    </w:p>
    <w:tbl>
      <w:tblPr>
        <w:tblW w:type="dxa" w:w="9360"/>
        <w:tblLayout w:type="fixed"/>
        <w:tblLook w:firstColumn="1" w:firstRow="1" w:lastColumn="0" w:lastRow="0" w:noHBand="0" w:noVBand="1" w:val="04A0"/>
        <w:jc w:val="left"/>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Ind w:w="120" w:type="dxa"/>
      </w:tblPr>
      <w:tblGrid>
        <w:gridCol w:w="4680"/>
        <w:gridCol w:w="4680"/>
      </w:tblGrid>
      <w:tr>
        <w:trPr>
          <w:cantSplit/>
          <w:trHeight w:hRule="atLeast"/>
          <w:tblHeader w:val="true"/>
        </w:trPr>
        <w:tc>
          <w:tcPr>
            <w:tcW w:type="dxa" w:w="4680"/>
            <w:tcMar>
              <w:top w:w="80" w:type="dxa"/>
              <w:start w:w="120" w:type="dxa"/>
              <w:bottom w:w="80" w:type="dxa"/>
              <w:end w:w="120" w:type="dxa"/>
            </w:tcMar>
            <w:vAlign w:val="center"/>
            <w:shd w:fill="F2F4F7"/>
          </w:tcPr>
          <w:p>
            <w:pPr>
              <w:keepNext/>
              <w:spacing w:before="0" w:after="40" w:line="240" w:lineRule="auto"/>
            </w:pPr>
            <w:r>
              <w:rPr>
                <w:rFonts w:ascii="Calibri" w:hAnsi="Calibri"/>
                <w:b/>
                <w:i w:val="0"/>
                <w:color w:val="0B2545"/>
                <w:sz w:val="17"/>
              </w:rPr>
              <w:t>Activity</w:t>
            </w:r>
          </w:p>
        </w:tc>
        <w:tc>
          <w:tcPr>
            <w:tcW w:type="dxa" w:w="4680"/>
            <w:tcMar>
              <w:top w:w="80" w:type="dxa"/>
              <w:start w:w="120" w:type="dxa"/>
              <w:bottom w:w="80" w:type="dxa"/>
              <w:end w:w="120" w:type="dxa"/>
            </w:tcMar>
            <w:vAlign w:val="center"/>
            <w:shd w:fill="F2F4F7"/>
          </w:tcPr>
          <w:p>
            <w:pPr>
              <w:keepNext/>
              <w:spacing w:before="0" w:after="40" w:line="240" w:lineRule="auto"/>
            </w:pPr>
            <w:r>
              <w:rPr>
                <w:rFonts w:ascii="Calibri" w:hAnsi="Calibri"/>
                <w:b/>
                <w:i w:val="0"/>
                <w:color w:val="0B2545"/>
                <w:sz w:val="17"/>
              </w:rPr>
              <w:t>Required authority</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Implement code</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Engineering identity</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Approve product budgets</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Product authority</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Authorize credential and tenant use</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Security/control and secrets authority</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Capture evidence</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Capture service identity</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Verify evidence and hashes</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Independent verifier identity</w:t>
            </w:r>
          </w:p>
        </w:tc>
      </w:tr>
      <w:tr>
        <w:trPr>
          <w:cantSplit/>
          <w:trHeight w:hRule="atLeast"/>
        </w:trPr>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Approve production</w:t>
            </w:r>
          </w:p>
        </w:tc>
        <w:tc>
          <w:tcPr>
            <w:tcW w:type="dxa" w:w="4680"/>
            <w:tcMar>
              <w:top w:w="80" w:type="dxa"/>
              <w:start w:w="120" w:type="dxa"/>
              <w:bottom w:w="80" w:type="dxa"/>
              <w:end w:w="120" w:type="dxa"/>
            </w:tcMar>
            <w:vAlign w:val="center"/>
          </w:tcPr>
          <w:p>
            <w:pPr>
              <w:keepNext w:val="0"/>
              <w:spacing w:before="0" w:after="40" w:line="240" w:lineRule="auto"/>
            </w:pPr>
            <w:r>
              <w:rPr>
                <w:rFonts w:ascii="Calibri" w:hAnsi="Calibri"/>
                <w:b w:val="0"/>
                <w:i w:val="0"/>
                <w:color w:val="1F2933"/>
                <w:sz w:val="17"/>
              </w:rPr>
              <w:t>Independent enterprise release authority outside this pack</w:t>
            </w:r>
          </w:p>
        </w:tc>
      </w:tr>
    </w:tbl>
    <w:p>
      <w:pPr>
        <w:spacing w:before="80" w:after="80"/>
      </w:pPr>
    </w:p>
    <w:p>
      <w:r>
        <w:rPr>
          <w:rFonts w:ascii="Calibri" w:hAnsi="Calibri"/>
          <w:b w:val="0"/>
          <w:i w:val="0"/>
          <w:color w:val="1F2933"/>
        </w:rPr>
        <w:t>The same service identity must not implement, capture and verify the same X1 release candidate.</w:t>
      </w:r>
    </w:p>
    <w:p>
      <w:pPr>
        <w:pStyle w:val="Heading1"/>
      </w:pPr>
      <w:r>
        <w:rPr>
          <w:rFonts w:ascii="Calibri" w:hAnsi="Calibri"/>
          <w:b w:val="0"/>
          <w:i w:val="0"/>
          <w:color w:val="2E74B5"/>
        </w:rPr>
        <w:t>Signature and registration page</w:t>
      </w:r>
    </w:p>
    <w:p>
      <w:r>
        <w:rPr>
          <w:rFonts w:ascii="Calibri" w:hAnsi="Calibri"/>
          <w:b w:val="0"/>
          <w:i w:val="0"/>
          <w:color w:val="1F2933"/>
        </w:rPr>
        <w:t>This section must be completed in the authoritative approval system. Typed names in this draft are not signatures.</w:t>
      </w:r>
    </w:p>
    <w:tbl>
      <w:tblPr>
        <w:tblW w:type="dxa" w:w="9360"/>
        <w:tblLayout w:type="fixed"/>
        <w:tblLook w:firstColumn="1" w:firstRow="1" w:lastColumn="0" w:lastRow="0" w:noHBand="0" w:noVBand="1" w:val="04A0"/>
        <w:jc w:val="left"/>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Ind w:w="120" w:type="dxa"/>
      </w:tblPr>
      <w:tblGrid>
        <w:gridCol w:w="1056"/>
        <w:gridCol w:w="1271"/>
        <w:gridCol w:w="1123"/>
        <w:gridCol w:w="1123"/>
        <w:gridCol w:w="1271"/>
        <w:gridCol w:w="1123"/>
        <w:gridCol w:w="1271"/>
        <w:gridCol w:w="1122"/>
      </w:tblGrid>
      <w:tr>
        <w:trPr>
          <w:cantSplit/>
          <w:trHeight w:hRule="atLeast"/>
          <w:tblHeader w:val="true"/>
        </w:trPr>
        <w:tc>
          <w:tcPr>
            <w:tcW w:type="dxa" w:w="1056"/>
            <w:tcMar>
              <w:top w:w="80" w:type="dxa"/>
              <w:start w:w="120" w:type="dxa"/>
              <w:bottom w:w="80" w:type="dxa"/>
              <w:end w:w="120" w:type="dxa"/>
            </w:tcMar>
            <w:vAlign w:val="center"/>
            <w:shd w:fill="F2F4F7"/>
          </w:tcPr>
          <w:p>
            <w:pPr>
              <w:keepNext/>
              <w:spacing w:before="0" w:after="40" w:line="240" w:lineRule="auto"/>
            </w:pPr>
            <w:r>
              <w:rPr>
                <w:rFonts w:ascii="Calibri" w:hAnsi="Calibri"/>
                <w:b/>
                <w:i w:val="0"/>
                <w:color w:val="0B2545"/>
                <w:sz w:val="15"/>
              </w:rPr>
              <w:t>Policy</w:t>
            </w:r>
          </w:p>
        </w:tc>
        <w:tc>
          <w:tcPr>
            <w:tcW w:type="dxa" w:w="1271"/>
            <w:tcMar>
              <w:top w:w="80" w:type="dxa"/>
              <w:start w:w="120" w:type="dxa"/>
              <w:bottom w:w="80" w:type="dxa"/>
              <w:end w:w="120" w:type="dxa"/>
            </w:tcMar>
            <w:vAlign w:val="center"/>
            <w:shd w:fill="F2F4F7"/>
          </w:tcPr>
          <w:p>
            <w:pPr>
              <w:keepNext/>
              <w:spacing w:before="0" w:after="40" w:line="240" w:lineRule="auto"/>
            </w:pPr>
            <w:r>
              <w:rPr>
                <w:rFonts w:ascii="Calibri" w:hAnsi="Calibri"/>
                <w:b/>
                <w:i w:val="0"/>
                <w:color w:val="0B2545"/>
                <w:sz w:val="15"/>
              </w:rPr>
              <w:t>Decision</w:t>
            </w:r>
          </w:p>
        </w:tc>
        <w:tc>
          <w:tcPr>
            <w:tcW w:type="dxa" w:w="1123"/>
            <w:tcMar>
              <w:top w:w="80" w:type="dxa"/>
              <w:start w:w="120" w:type="dxa"/>
              <w:bottom w:w="80" w:type="dxa"/>
              <w:end w:w="120" w:type="dxa"/>
            </w:tcMar>
            <w:vAlign w:val="center"/>
            <w:shd w:fill="F2F4F7"/>
          </w:tcPr>
          <w:p>
            <w:pPr>
              <w:keepNext/>
              <w:spacing w:before="0" w:after="40" w:line="240" w:lineRule="auto"/>
            </w:pPr>
            <w:r>
              <w:rPr>
                <w:rFonts w:ascii="Calibri" w:hAnsi="Calibri"/>
                <w:b/>
                <w:i w:val="0"/>
                <w:color w:val="0B2545"/>
                <w:sz w:val="15"/>
              </w:rPr>
              <w:t>Approver</w:t>
            </w:r>
          </w:p>
        </w:tc>
        <w:tc>
          <w:tcPr>
            <w:tcW w:type="dxa" w:w="1123"/>
            <w:tcMar>
              <w:top w:w="80" w:type="dxa"/>
              <w:start w:w="120" w:type="dxa"/>
              <w:bottom w:w="80" w:type="dxa"/>
              <w:end w:w="120" w:type="dxa"/>
            </w:tcMar>
            <w:vAlign w:val="center"/>
            <w:shd w:fill="F2F4F7"/>
          </w:tcPr>
          <w:p>
            <w:pPr>
              <w:keepNext/>
              <w:spacing w:before="0" w:after="40" w:line="240" w:lineRule="auto"/>
            </w:pPr>
            <w:r>
              <w:rPr>
                <w:rFonts w:ascii="Calibri" w:hAnsi="Calibri"/>
                <w:b/>
                <w:i w:val="0"/>
                <w:color w:val="0B2545"/>
                <w:sz w:val="15"/>
              </w:rPr>
              <w:t>User ID</w:t>
            </w:r>
          </w:p>
        </w:tc>
        <w:tc>
          <w:tcPr>
            <w:tcW w:type="dxa" w:w="1271"/>
            <w:tcMar>
              <w:top w:w="80" w:type="dxa"/>
              <w:start w:w="120" w:type="dxa"/>
              <w:bottom w:w="80" w:type="dxa"/>
              <w:end w:w="120" w:type="dxa"/>
            </w:tcMar>
            <w:vAlign w:val="center"/>
            <w:shd w:fill="F2F4F7"/>
          </w:tcPr>
          <w:p>
            <w:pPr>
              <w:keepNext/>
              <w:spacing w:before="0" w:after="40" w:line="240" w:lineRule="auto"/>
            </w:pPr>
            <w:r>
              <w:rPr>
                <w:rFonts w:ascii="Calibri" w:hAnsi="Calibri"/>
                <w:b/>
                <w:i w:val="0"/>
                <w:color w:val="0B2545"/>
                <w:sz w:val="15"/>
              </w:rPr>
              <w:t>Authority reference</w:t>
            </w:r>
          </w:p>
        </w:tc>
        <w:tc>
          <w:tcPr>
            <w:tcW w:type="dxa" w:w="1123"/>
            <w:tcMar>
              <w:top w:w="80" w:type="dxa"/>
              <w:start w:w="120" w:type="dxa"/>
              <w:bottom w:w="80" w:type="dxa"/>
              <w:end w:w="120" w:type="dxa"/>
            </w:tcMar>
            <w:vAlign w:val="center"/>
            <w:shd w:fill="F2F4F7"/>
          </w:tcPr>
          <w:p>
            <w:pPr>
              <w:keepNext/>
              <w:spacing w:before="0" w:after="40" w:line="240" w:lineRule="auto"/>
            </w:pPr>
            <w:r>
              <w:rPr>
                <w:rFonts w:ascii="Calibri" w:hAnsi="Calibri"/>
                <w:b/>
                <w:i w:val="0"/>
                <w:color w:val="0B2545"/>
                <w:sz w:val="15"/>
              </w:rPr>
              <w:t>Signed at</w:t>
            </w:r>
          </w:p>
        </w:tc>
        <w:tc>
          <w:tcPr>
            <w:tcW w:type="dxa" w:w="1271"/>
            <w:tcMar>
              <w:top w:w="80" w:type="dxa"/>
              <w:start w:w="120" w:type="dxa"/>
              <w:bottom w:w="80" w:type="dxa"/>
              <w:end w:w="120" w:type="dxa"/>
            </w:tcMar>
            <w:vAlign w:val="center"/>
            <w:shd w:fill="F2F4F7"/>
          </w:tcPr>
          <w:p>
            <w:pPr>
              <w:keepNext/>
              <w:spacing w:before="0" w:after="40" w:line="240" w:lineRule="auto"/>
            </w:pPr>
            <w:r>
              <w:rPr>
                <w:rFonts w:ascii="Calibri" w:hAnsi="Calibri"/>
                <w:b/>
                <w:i w:val="0"/>
                <w:color w:val="0B2545"/>
                <w:sz w:val="15"/>
              </w:rPr>
              <w:t>Signature reference</w:t>
            </w:r>
          </w:p>
        </w:tc>
        <w:tc>
          <w:tcPr>
            <w:tcW w:type="dxa" w:w="1122"/>
            <w:tcMar>
              <w:top w:w="80" w:type="dxa"/>
              <w:start w:w="120" w:type="dxa"/>
              <w:bottom w:w="80" w:type="dxa"/>
              <w:end w:w="120" w:type="dxa"/>
            </w:tcMar>
            <w:vAlign w:val="center"/>
            <w:shd w:fill="F2F4F7"/>
          </w:tcPr>
          <w:p>
            <w:pPr>
              <w:keepNext/>
              <w:spacing w:before="0" w:after="40" w:line="240" w:lineRule="auto"/>
            </w:pPr>
            <w:r>
              <w:rPr>
                <w:rFonts w:ascii="Calibri" w:hAnsi="Calibri"/>
                <w:b/>
                <w:i w:val="0"/>
                <w:color w:val="0B2545"/>
                <w:sz w:val="15"/>
              </w:rPr>
              <w:t>Content SHA-256</w:t>
            </w:r>
          </w:p>
        </w:tc>
      </w:tr>
      <w:tr>
        <w:trPr>
          <w:cantSplit/>
          <w:trHeight w:hRule="atLeast"/>
        </w:trPr>
        <w:tc>
          <w:tcPr>
            <w:tcW w:type="dxa" w:w="1056"/>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5"/>
              </w:rPr>
              <w:t>STOQ-X1-POL-001</w:t>
            </w:r>
          </w:p>
        </w:tc>
        <w:tc>
          <w:tcPr>
            <w:tcW w:type="dxa" w:w="1271"/>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5"/>
              </w:rPr>
              <w:t>[ ] Approve [ ] Reject</w:t>
            </w:r>
          </w:p>
        </w:tc>
        <w:tc>
          <w:tcPr>
            <w:tcW w:type="dxa" w:w="1123"/>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5"/>
              </w:rPr>
              <w:t>[TO BE COMPLETED]</w:t>
            </w:r>
          </w:p>
        </w:tc>
        <w:tc>
          <w:tcPr>
            <w:tcW w:type="dxa" w:w="1123"/>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5"/>
              </w:rPr>
              <w:t>[TO BE COMPLETED]</w:t>
            </w:r>
          </w:p>
        </w:tc>
        <w:tc>
          <w:tcPr>
            <w:tcW w:type="dxa" w:w="1271"/>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5"/>
              </w:rPr>
              <w:t>[TO BE COMPLETED]</w:t>
            </w:r>
          </w:p>
        </w:tc>
        <w:tc>
          <w:tcPr>
            <w:tcW w:type="dxa" w:w="1123"/>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5"/>
              </w:rPr>
              <w:t>[TO BE COMPLETED]</w:t>
            </w:r>
          </w:p>
        </w:tc>
        <w:tc>
          <w:tcPr>
            <w:tcW w:type="dxa" w:w="1271"/>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5"/>
              </w:rPr>
              <w:t>[TO BE COMPLETED]</w:t>
            </w:r>
          </w:p>
        </w:tc>
        <w:tc>
          <w:tcPr>
            <w:tcW w:type="dxa" w:w="1122"/>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5"/>
              </w:rPr>
              <w:t>[TO BE COMPLETED]</w:t>
            </w:r>
          </w:p>
        </w:tc>
      </w:tr>
      <w:tr>
        <w:trPr>
          <w:cantSplit/>
          <w:trHeight w:hRule="atLeast"/>
        </w:trPr>
        <w:tc>
          <w:tcPr>
            <w:tcW w:type="dxa" w:w="1056"/>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5"/>
              </w:rPr>
              <w:t>STOQ-X1-POL-002</w:t>
            </w:r>
          </w:p>
        </w:tc>
        <w:tc>
          <w:tcPr>
            <w:tcW w:type="dxa" w:w="1271"/>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5"/>
              </w:rPr>
              <w:t>[ ] Approve [ ] Reject</w:t>
            </w:r>
          </w:p>
        </w:tc>
        <w:tc>
          <w:tcPr>
            <w:tcW w:type="dxa" w:w="1123"/>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5"/>
              </w:rPr>
              <w:t>[TO BE COMPLETED]</w:t>
            </w:r>
          </w:p>
        </w:tc>
        <w:tc>
          <w:tcPr>
            <w:tcW w:type="dxa" w:w="1123"/>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5"/>
              </w:rPr>
              <w:t>[TO BE COMPLETED]</w:t>
            </w:r>
          </w:p>
        </w:tc>
        <w:tc>
          <w:tcPr>
            <w:tcW w:type="dxa" w:w="1271"/>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5"/>
              </w:rPr>
              <w:t>[TO BE COMPLETED]</w:t>
            </w:r>
          </w:p>
        </w:tc>
        <w:tc>
          <w:tcPr>
            <w:tcW w:type="dxa" w:w="1123"/>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5"/>
              </w:rPr>
              <w:t>[TO BE COMPLETED]</w:t>
            </w:r>
          </w:p>
        </w:tc>
        <w:tc>
          <w:tcPr>
            <w:tcW w:type="dxa" w:w="1271"/>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5"/>
              </w:rPr>
              <w:t>[TO BE COMPLETED]</w:t>
            </w:r>
          </w:p>
        </w:tc>
        <w:tc>
          <w:tcPr>
            <w:tcW w:type="dxa" w:w="1122"/>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5"/>
              </w:rPr>
              <w:t>[TO BE COMPLETED]</w:t>
            </w:r>
          </w:p>
        </w:tc>
      </w:tr>
      <w:tr>
        <w:trPr>
          <w:cantSplit/>
          <w:trHeight w:hRule="atLeast"/>
        </w:trPr>
        <w:tc>
          <w:tcPr>
            <w:tcW w:type="dxa" w:w="1056"/>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5"/>
              </w:rPr>
              <w:t>STOQ-X1-POL-003</w:t>
            </w:r>
          </w:p>
        </w:tc>
        <w:tc>
          <w:tcPr>
            <w:tcW w:type="dxa" w:w="1271"/>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5"/>
              </w:rPr>
              <w:t>[ ] Approve [ ] Reject</w:t>
            </w:r>
          </w:p>
        </w:tc>
        <w:tc>
          <w:tcPr>
            <w:tcW w:type="dxa" w:w="1123"/>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5"/>
              </w:rPr>
              <w:t>[TO BE COMPLETED]</w:t>
            </w:r>
          </w:p>
        </w:tc>
        <w:tc>
          <w:tcPr>
            <w:tcW w:type="dxa" w:w="1123"/>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5"/>
              </w:rPr>
              <w:t>[TO BE COMPLETED]</w:t>
            </w:r>
          </w:p>
        </w:tc>
        <w:tc>
          <w:tcPr>
            <w:tcW w:type="dxa" w:w="1271"/>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5"/>
              </w:rPr>
              <w:t>[TO BE COMPLETED]</w:t>
            </w:r>
          </w:p>
        </w:tc>
        <w:tc>
          <w:tcPr>
            <w:tcW w:type="dxa" w:w="1123"/>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5"/>
              </w:rPr>
              <w:t>[TO BE COMPLETED]</w:t>
            </w:r>
          </w:p>
        </w:tc>
        <w:tc>
          <w:tcPr>
            <w:tcW w:type="dxa" w:w="1271"/>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5"/>
              </w:rPr>
              <w:t>[TO BE COMPLETED]</w:t>
            </w:r>
          </w:p>
        </w:tc>
        <w:tc>
          <w:tcPr>
            <w:tcW w:type="dxa" w:w="1122"/>
            <w:tcMar>
              <w:top w:w="80" w:type="dxa"/>
              <w:start w:w="120" w:type="dxa"/>
              <w:bottom w:w="80" w:type="dxa"/>
              <w:end w:w="120" w:type="dxa"/>
            </w:tcMar>
            <w:vAlign w:val="center"/>
          </w:tcPr>
          <w:p>
            <w:pPr>
              <w:keepNext w:val="0"/>
              <w:spacing w:before="0" w:after="40" w:line="240" w:lineRule="auto"/>
            </w:pPr>
            <w:r>
              <w:rPr>
                <w:rFonts w:ascii="Consolas" w:hAnsi="Consolas"/>
                <w:b w:val="0"/>
                <w:i w:val="0"/>
                <w:color w:val="1F4D78"/>
                <w:sz w:val="15"/>
              </w:rPr>
              <w:t>[TO BE COMPLETED]</w:t>
            </w:r>
          </w:p>
        </w:tc>
      </w:tr>
    </w:tbl>
    <w:p>
      <w:pPr>
        <w:spacing w:before="80" w:after="80"/>
      </w:pPr>
    </w:p>
    <w:p>
      <w:pPr>
        <w:pStyle w:val="Heading1"/>
      </w:pPr>
      <w:r>
        <w:rPr>
          <w:rFonts w:ascii="Calibri" w:hAnsi="Calibri"/>
          <w:b w:val="0"/>
          <w:i w:val="0"/>
          <w:color w:val="2E74B5"/>
        </w:rPr>
        <w:t>Adoption procedure</w:t>
      </w:r>
    </w:p>
    <w:p>
      <w:pPr>
        <w:numPr>
          <w:ilvl w:val="0"/>
          <w:numId w:val="12"/>
        </w:numPr>
        <w:spacing w:before="0" w:after="160" w:line="280" w:lineRule="auto"/>
      </w:pPr>
      <w:r>
        <w:rPr>
          <w:rFonts w:ascii="Calibri" w:hAnsi="Calibri"/>
          <w:b w:val="0"/>
          <w:i w:val="0"/>
          <w:color w:val="1F2933"/>
        </w:rPr>
        <w:t>Confirm the organization's legal entity and governance charter that may issue these delegations.</w:t>
      </w:r>
    </w:p>
    <w:p>
      <w:pPr>
        <w:numPr>
          <w:ilvl w:val="0"/>
          <w:numId w:val="12"/>
        </w:numPr>
        <w:spacing w:before="0" w:after="160" w:line="280" w:lineRule="auto"/>
      </w:pPr>
      <w:r>
        <w:rPr>
          <w:rFonts w:ascii="Calibri" w:hAnsi="Calibri"/>
          <w:b w:val="0"/>
          <w:i w:val="0"/>
          <w:color w:val="1F2933"/>
        </w:rPr>
        <w:t>Name the product, security/control, managed-secrets, fixture-data and independent release authorities.</w:t>
      </w:r>
    </w:p>
    <w:p>
      <w:pPr>
        <w:numPr>
          <w:ilvl w:val="0"/>
          <w:numId w:val="12"/>
        </w:numPr>
        <w:spacing w:before="0" w:after="160" w:line="280" w:lineRule="auto"/>
      </w:pPr>
      <w:r>
        <w:rPr>
          <w:rFonts w:ascii="Calibri" w:hAnsi="Calibri"/>
          <w:b w:val="0"/>
          <w:i w:val="0"/>
          <w:color w:val="1F2933"/>
        </w:rPr>
        <w:t>Confirm the exact service-principal identities for orchestration, capture and independent verification.</w:t>
      </w:r>
    </w:p>
    <w:p>
      <w:pPr>
        <w:numPr>
          <w:ilvl w:val="0"/>
          <w:numId w:val="12"/>
        </w:numPr>
        <w:spacing w:before="0" w:after="160" w:line="280" w:lineRule="auto"/>
      </w:pPr>
      <w:r>
        <w:rPr>
          <w:rFonts w:ascii="Calibri" w:hAnsi="Calibri"/>
          <w:b w:val="0"/>
          <w:i w:val="0"/>
          <w:color w:val="1F2933"/>
        </w:rPr>
        <w:t>Confirm the non-production origin, tenants, persona, secret reference, evidence store and retention policy.</w:t>
      </w:r>
    </w:p>
    <w:p>
      <w:pPr>
        <w:numPr>
          <w:ilvl w:val="0"/>
          <w:numId w:val="12"/>
        </w:numPr>
        <w:spacing w:before="0" w:after="160" w:line="280" w:lineRule="auto"/>
      </w:pPr>
      <w:r>
        <w:rPr>
          <w:rFonts w:ascii="Calibri" w:hAnsi="Calibri"/>
          <w:b w:val="0"/>
          <w:i w:val="0"/>
          <w:color w:val="1F2933"/>
        </w:rPr>
        <w:t>Freeze this policy text and the referenced X1 contract artifacts.</w:t>
      </w:r>
    </w:p>
    <w:p>
      <w:pPr>
        <w:numPr>
          <w:ilvl w:val="0"/>
          <w:numId w:val="12"/>
        </w:numPr>
        <w:spacing w:before="0" w:after="160" w:line="280" w:lineRule="auto"/>
      </w:pPr>
      <w:r>
        <w:rPr>
          <w:rFonts w:ascii="Calibri" w:hAnsi="Calibri"/>
          <w:b w:val="0"/>
          <w:i w:val="0"/>
          <w:color w:val="1F2933"/>
        </w:rPr>
        <w:t>Compute SHA-256 hashes for every frozen artifact and policy.</w:t>
      </w:r>
    </w:p>
    <w:p>
      <w:pPr>
        <w:numPr>
          <w:ilvl w:val="0"/>
          <w:numId w:val="12"/>
        </w:numPr>
        <w:spacing w:before="0" w:after="160" w:line="280" w:lineRule="auto"/>
      </w:pPr>
      <w:r>
        <w:rPr>
          <w:rFonts w:ascii="Calibri" w:hAnsi="Calibri"/>
          <w:b w:val="0"/>
          <w:i w:val="0"/>
          <w:color w:val="1F2933"/>
        </w:rPr>
        <w:t>Submit the three policies through the authoritative approval system.</w:t>
      </w:r>
    </w:p>
    <w:p>
      <w:pPr>
        <w:numPr>
          <w:ilvl w:val="0"/>
          <w:numId w:val="12"/>
        </w:numPr>
        <w:spacing w:before="0" w:after="160" w:line="280" w:lineRule="auto"/>
      </w:pPr>
      <w:r>
        <w:rPr>
          <w:rFonts w:ascii="Calibri" w:hAnsi="Calibri"/>
          <w:b w:val="0"/>
          <w:i w:val="0"/>
          <w:color w:val="1F2933"/>
        </w:rPr>
        <w:t>Require fresh authentication and explicit approve or reject intent from each signer.</w:t>
      </w:r>
    </w:p>
    <w:p>
      <w:pPr>
        <w:numPr>
          <w:ilvl w:val="0"/>
          <w:numId w:val="12"/>
        </w:numPr>
        <w:spacing w:before="0" w:after="160" w:line="280" w:lineRule="auto"/>
      </w:pPr>
      <w:r>
        <w:rPr>
          <w:rFonts w:ascii="Calibri" w:hAnsi="Calibri"/>
          <w:b w:val="0"/>
          <w:i w:val="0"/>
          <w:color w:val="1F2933"/>
        </w:rPr>
        <w:t>Store signature references, timestamps, authority references and hashes in immutable policy records.</w:t>
      </w:r>
    </w:p>
    <w:p>
      <w:pPr>
        <w:numPr>
          <w:ilvl w:val="0"/>
          <w:numId w:val="12"/>
        </w:numPr>
        <w:spacing w:before="0" w:after="160" w:line="280" w:lineRule="auto"/>
      </w:pPr>
      <w:r>
        <w:rPr>
          <w:rFonts w:ascii="Calibri" w:hAnsi="Calibri"/>
          <w:b w:val="0"/>
          <w:i w:val="0"/>
          <w:color w:val="1F2933"/>
        </w:rPr>
        <w:t xml:space="preserve">Register the policy records in the Stoquify control plane as </w:t>
      </w:r>
      <w:r>
        <w:rPr>
          <w:rFonts w:ascii="Consolas" w:hAnsi="Consolas"/>
          <w:b w:val="0"/>
          <w:i w:val="0"/>
          <w:color w:val="1F4D78"/>
        </w:rPr>
        <w:t>ACTIVE_SIGNED</w:t>
      </w:r>
      <w:r>
        <w:rPr>
          <w:rFonts w:ascii="Calibri" w:hAnsi="Calibri"/>
          <w:b w:val="0"/>
          <w:i w:val="0"/>
          <w:color w:val="1F2933"/>
        </w:rPr>
        <w:t xml:space="preserve"> only after independent signature verification.</w:t>
      </w:r>
    </w:p>
    <w:p>
      <w:pPr>
        <w:numPr>
          <w:ilvl w:val="0"/>
          <w:numId w:val="12"/>
        </w:numPr>
        <w:spacing w:before="0" w:after="160" w:line="280" w:lineRule="auto"/>
      </w:pPr>
      <w:r>
        <w:rPr>
          <w:rFonts w:ascii="Calibri" w:hAnsi="Calibri"/>
          <w:b w:val="0"/>
          <w:i w:val="0"/>
          <w:color w:val="1F2933"/>
        </w:rPr>
        <w:t>Test rejection, expiry, revocation, hash drift, provider outage and service-identity mismatch before enabling unattended execution.</w:t>
      </w:r>
    </w:p>
    <w:p>
      <w:pPr>
        <w:numPr>
          <w:ilvl w:val="0"/>
          <w:numId w:val="12"/>
        </w:numPr>
        <w:spacing w:before="0" w:after="160" w:line="280" w:lineRule="auto"/>
      </w:pPr>
      <w:r>
        <w:rPr>
          <w:rFonts w:ascii="Calibri" w:hAnsi="Calibri"/>
          <w:b w:val="0"/>
          <w:i w:val="0"/>
          <w:color w:val="1F2933"/>
        </w:rPr>
        <w:t xml:space="preserve">Keep </w:t>
      </w:r>
      <w:r>
        <w:rPr>
          <w:rFonts w:ascii="Consolas" w:hAnsi="Consolas"/>
          <w:b w:val="0"/>
          <w:i w:val="0"/>
          <w:color w:val="1F4D78"/>
        </w:rPr>
        <w:t>PILOT_AUTHORIZED</w:t>
      </w:r>
      <w:r>
        <w:rPr>
          <w:rFonts w:ascii="Calibri" w:hAnsi="Calibri"/>
          <w:b w:val="0"/>
          <w:i w:val="0"/>
          <w:color w:val="1F2933"/>
        </w:rPr>
        <w:t xml:space="preserve"> and </w:t>
      </w:r>
      <w:r>
        <w:rPr>
          <w:rFonts w:ascii="Consolas" w:hAnsi="Consolas"/>
          <w:b w:val="0"/>
          <w:i w:val="0"/>
          <w:color w:val="1F4D78"/>
        </w:rPr>
        <w:t>PRODUCTION_AUTHORIZED</w:t>
      </w:r>
      <w:r>
        <w:rPr>
          <w:rFonts w:ascii="Calibri" w:hAnsi="Calibri"/>
          <w:b w:val="0"/>
          <w:i w:val="0"/>
          <w:color w:val="1F2933"/>
        </w:rPr>
        <w:t xml:space="preserve"> outside this policy pack.</w:t>
      </w:r>
    </w:p>
    <w:p>
      <w:pPr>
        <w:pStyle w:val="Heading1"/>
      </w:pPr>
      <w:r>
        <w:rPr>
          <w:rFonts w:ascii="Calibri" w:hAnsi="Calibri"/>
          <w:b w:val="0"/>
          <w:i w:val="0"/>
          <w:color w:val="2E74B5"/>
        </w:rPr>
        <w:t>Minimum independent review before activation</w:t>
      </w:r>
    </w:p>
    <w:p>
      <w:r>
        <w:rPr>
          <w:rFonts w:ascii="Calibri" w:hAnsi="Calibri"/>
          <w:b w:val="0"/>
          <w:i w:val="0"/>
          <w:color w:val="1F2933"/>
        </w:rPr>
        <w:t>The governance or assurance reviewer must confirm:</w:t>
      </w:r>
    </w:p>
    <w:p>
      <w:pPr>
        <w:numPr>
          <w:ilvl w:val="0"/>
          <w:numId w:val="10"/>
        </w:numPr>
        <w:spacing w:before="0" w:after="160" w:line="280" w:lineRule="auto"/>
      </w:pPr>
      <w:r>
        <w:rPr>
          <w:rFonts w:ascii="Calibri" w:hAnsi="Calibri"/>
          <w:b w:val="0"/>
          <w:i w:val="0"/>
          <w:color w:val="1F2933"/>
        </w:rPr>
        <w:t>Every signer has formal authority for the stated scope.</w:t>
      </w:r>
    </w:p>
    <w:p>
      <w:pPr>
        <w:numPr>
          <w:ilvl w:val="0"/>
          <w:numId w:val="10"/>
        </w:numPr>
        <w:spacing w:before="0" w:after="160" w:line="280" w:lineRule="auto"/>
      </w:pPr>
      <w:r>
        <w:rPr>
          <w:rFonts w:ascii="Calibri" w:hAnsi="Calibri"/>
          <w:b w:val="0"/>
          <w:i w:val="0"/>
          <w:color w:val="1F2933"/>
        </w:rPr>
        <w:t>No signer is relying only on an application role.</w:t>
      </w:r>
    </w:p>
    <w:p>
      <w:pPr>
        <w:numPr>
          <w:ilvl w:val="0"/>
          <w:numId w:val="10"/>
        </w:numPr>
        <w:spacing w:before="0" w:after="160" w:line="280" w:lineRule="auto"/>
      </w:pPr>
      <w:r>
        <w:rPr>
          <w:rFonts w:ascii="Calibri" w:hAnsi="Calibri"/>
          <w:b w:val="0"/>
          <w:i w:val="0"/>
          <w:color w:val="1F2933"/>
        </w:rPr>
        <w:t>The content hashes bind the exact approved text and artifacts.</w:t>
      </w:r>
    </w:p>
    <w:p>
      <w:pPr>
        <w:numPr>
          <w:ilvl w:val="0"/>
          <w:numId w:val="10"/>
        </w:numPr>
        <w:spacing w:before="0" w:after="160" w:line="280" w:lineRule="auto"/>
      </w:pPr>
      <w:r>
        <w:rPr>
          <w:rFonts w:ascii="Calibri" w:hAnsi="Calibri"/>
          <w:b w:val="0"/>
          <w:i w:val="0"/>
          <w:color w:val="1F2933"/>
        </w:rPr>
        <w:t>The service principals are least-privileged and segregated.</w:t>
      </w:r>
    </w:p>
    <w:p>
      <w:pPr>
        <w:numPr>
          <w:ilvl w:val="0"/>
          <w:numId w:val="10"/>
        </w:numPr>
        <w:spacing w:before="0" w:after="160" w:line="280" w:lineRule="auto"/>
      </w:pPr>
      <w:r>
        <w:rPr>
          <w:rFonts w:ascii="Calibri" w:hAnsi="Calibri"/>
          <w:b w:val="0"/>
          <w:i w:val="0"/>
          <w:color w:val="1F2933"/>
        </w:rPr>
        <w:t>Secret retrieval is auditable and ephemeral.</w:t>
      </w:r>
    </w:p>
    <w:p>
      <w:pPr>
        <w:numPr>
          <w:ilvl w:val="0"/>
          <w:numId w:val="10"/>
        </w:numPr>
        <w:spacing w:before="0" w:after="160" w:line="280" w:lineRule="auto"/>
      </w:pPr>
      <w:r>
        <w:rPr>
          <w:rFonts w:ascii="Calibri" w:hAnsi="Calibri"/>
          <w:b w:val="0"/>
          <w:i w:val="0"/>
          <w:color w:val="1F2933"/>
        </w:rPr>
        <w:t>Evidence storage is immutable and retention-controlled.</w:t>
      </w:r>
    </w:p>
    <w:p>
      <w:pPr>
        <w:numPr>
          <w:ilvl w:val="0"/>
          <w:numId w:val="10"/>
        </w:numPr>
        <w:spacing w:before="0" w:after="160" w:line="280" w:lineRule="auto"/>
      </w:pPr>
      <w:r>
        <w:rPr>
          <w:rFonts w:ascii="Calibri" w:hAnsi="Calibri"/>
          <w:b w:val="0"/>
          <w:i w:val="0"/>
          <w:color w:val="1F2933"/>
        </w:rPr>
        <w:t>Revocation is immediate and tested.</w:t>
      </w:r>
    </w:p>
    <w:p>
      <w:pPr>
        <w:numPr>
          <w:ilvl w:val="0"/>
          <w:numId w:val="10"/>
        </w:numPr>
        <w:spacing w:before="0" w:after="160" w:line="280" w:lineRule="auto"/>
      </w:pPr>
      <w:r>
        <w:rPr>
          <w:rFonts w:ascii="Calibri" w:hAnsi="Calibri"/>
          <w:b w:val="0"/>
          <w:i w:val="0"/>
          <w:color w:val="1F2933"/>
        </w:rPr>
        <w:t>The automation fails closed.</w:t>
      </w:r>
    </w:p>
    <w:p>
      <w:pPr>
        <w:numPr>
          <w:ilvl w:val="0"/>
          <w:numId w:val="10"/>
        </w:numPr>
        <w:spacing w:before="0" w:after="160" w:line="280" w:lineRule="auto"/>
      </w:pPr>
      <w:r>
        <w:rPr>
          <w:rFonts w:ascii="Calibri" w:hAnsi="Calibri"/>
          <w:b w:val="0"/>
          <w:i w:val="0"/>
          <w:color w:val="1F2933"/>
        </w:rPr>
        <w:t>Production release remains outside the delegated X1 technical gate.</w:t>
      </w:r>
    </w:p>
    <w:p>
      <w:pPr>
        <w:pStyle w:val="Heading1"/>
      </w:pPr>
      <w:r>
        <w:rPr>
          <w:rFonts w:ascii="Calibri" w:hAnsi="Calibri"/>
          <w:b w:val="0"/>
          <w:i w:val="0"/>
          <w:color w:val="2E74B5"/>
        </w:rPr>
        <w:t>References</w:t>
      </w:r>
    </w:p>
    <w:p>
      <w:pPr>
        <w:numPr>
          <w:ilvl w:val="0"/>
          <w:numId w:val="10"/>
        </w:numPr>
        <w:spacing w:before="0" w:after="160" w:line="280" w:lineRule="auto"/>
      </w:pPr>
      <w:r>
        <w:rPr>
          <w:rFonts w:ascii="Consolas" w:hAnsi="Consolas"/>
          <w:b w:val="0"/>
          <w:i w:val="0"/>
          <w:color w:val="1F4D78"/>
        </w:rPr>
        <w:t>docs/UI-UX-remediation/06_PHASE_GATES_AND_RELEASE_CRITERIA.md</w:t>
      </w:r>
    </w:p>
    <w:p>
      <w:pPr>
        <w:numPr>
          <w:ilvl w:val="0"/>
          <w:numId w:val="10"/>
        </w:numPr>
        <w:spacing w:before="0" w:after="160" w:line="280" w:lineRule="auto"/>
      </w:pPr>
      <w:r>
        <w:rPr>
          <w:rFonts w:ascii="Consolas" w:hAnsi="Consolas"/>
          <w:b w:val="0"/>
          <w:i w:val="0"/>
          <w:color w:val="1F4D78"/>
        </w:rPr>
        <w:t>docs/UI-UX-remediation/08_RISK_ASSUMPTION_DECISION_LOG.md</w:t>
      </w:r>
    </w:p>
    <w:p>
      <w:pPr>
        <w:numPr>
          <w:ilvl w:val="0"/>
          <w:numId w:val="10"/>
        </w:numPr>
        <w:spacing w:before="0" w:after="160" w:line="280" w:lineRule="auto"/>
      </w:pPr>
      <w:r>
        <w:rPr>
          <w:rFonts w:ascii="Consolas" w:hAnsi="Consolas"/>
          <w:b w:val="0"/>
          <w:i w:val="0"/>
          <w:color w:val="1F4D78"/>
        </w:rPr>
        <w:t>docs/blockers-and-gates/BLOCKER_GATE_CONTROL_PLANE_PLAIN_LANGUAGE_GUIDE_2026-08-18.md</w:t>
      </w:r>
    </w:p>
    <w:p>
      <w:pPr>
        <w:numPr>
          <w:ilvl w:val="0"/>
          <w:numId w:val="10"/>
        </w:numPr>
        <w:spacing w:before="0" w:after="160" w:line="280" w:lineRule="auto"/>
      </w:pPr>
      <w:r>
        <w:rPr>
          <w:rFonts w:ascii="Consolas" w:hAnsi="Consolas"/>
          <w:b w:val="0"/>
          <w:i w:val="0"/>
          <w:color w:val="1F4D78"/>
        </w:rPr>
        <w:t>docs/blockers-and-gates/cameroon-hris-payroll-authority/CAMEROON_EMPLOYMENT_DOCUMENT_REQUIREMENTS_MATRIX_2026-08-19.md</w:t>
      </w:r>
    </w:p>
    <w:p>
      <w:pPr>
        <w:numPr>
          <w:ilvl w:val="0"/>
          <w:numId w:val="10"/>
        </w:numPr>
        <w:spacing w:before="0" w:after="160" w:line="280" w:lineRule="auto"/>
      </w:pPr>
      <w:r>
        <w:rPr>
          <w:rFonts w:ascii="Consolas" w:hAnsi="Consolas"/>
          <w:b w:val="0"/>
          <w:i w:val="0"/>
          <w:color w:val="1F4D78"/>
        </w:rPr>
        <w:t>docs/gates-and-blockers/STOQUIFY_PRODUCTION_UNBLOCKING_EXECUTION_ROADMAP_2026-08-22.md</w:t>
      </w:r>
    </w:p>
    <w:p>
      <w:pPr>
        <w:numPr>
          <w:ilvl w:val="0"/>
          <w:numId w:val="10"/>
        </w:numPr>
        <w:spacing w:before="0" w:after="160" w:line="280" w:lineRule="auto"/>
      </w:pPr>
      <w:r>
        <w:rPr>
          <w:rFonts w:ascii="Consolas" w:hAnsi="Consolas"/>
          <w:b w:val="0"/>
          <w:i w:val="0"/>
          <w:color w:val="1F4D78"/>
        </w:rPr>
        <w:t>docs/credentials-blockers/STOQUIFY_X1_FINANCE_CREDENTIALS_AND_BLOCKER_UNBLOCK_REPORT_2026-08-31.md</w:t>
      </w:r>
    </w:p>
    <w:p>
      <w:pPr>
        <w:pStyle w:val="Heading1"/>
      </w:pPr>
      <w:r>
        <w:rPr>
          <w:rFonts w:ascii="Calibri" w:hAnsi="Calibri"/>
          <w:b w:val="0"/>
          <w:i w:val="0"/>
          <w:color w:val="2E74B5"/>
        </w:rPr>
        <w:t>Final draft disposition</w:t>
      </w:r>
    </w:p>
    <w:p>
      <w:r>
        <w:rPr>
          <w:rFonts w:ascii="Calibri" w:hAnsi="Calibri"/>
          <w:b w:val="0"/>
          <w:i w:val="0"/>
          <w:color w:val="1F2933"/>
        </w:rPr>
        <w:t xml:space="preserve">Status remains </w:t>
      </w:r>
      <w:r>
        <w:rPr>
          <w:rFonts w:ascii="Consolas" w:hAnsi="Consolas"/>
          <w:b w:val="0"/>
          <w:i w:val="0"/>
          <w:color w:val="1F4D78"/>
        </w:rPr>
        <w:t>DRAFT_UNSIGNED</w:t>
      </w:r>
      <w:r>
        <w:rPr>
          <w:rFonts w:ascii="Calibri" w:hAnsi="Calibri"/>
          <w:b w:val="0"/>
          <w:i w:val="0"/>
          <w:color w:val="1F2933"/>
        </w:rPr>
        <w:t>. This document becomes operative only after all mandatory fields are completed, the exact content is frozen and hashed, the required authorities approve it through an authoritative system, signatures are independently verified and the three machine-readable policy records are activated.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8"/>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F6B78"/>
        <w:sz w:val="17"/>
      </w:rPr>
      <w:t>X1 Automation Delegation Policy Pack</w:t>
    </w:r>
    <w:r>
      <w:rPr>
        <w:rFonts w:ascii="Calibri" w:hAnsi="Calibri"/>
        <w:b w:val="0"/>
        <w:i w:val="0"/>
        <w:color w:val="D7DDE5"/>
        <w:sz w:val="17"/>
      </w:rPr>
      <w:t xml:space="preserve">    |    </w:t>
    </w:r>
    <w:r>
      <w:rPr>
        <w:rFonts w:ascii="Calibri" w:hAnsi="Calibri"/>
        <w:b/>
        <w:i w:val="0"/>
        <w:color w:val="9B1C1C"/>
        <w:sz w:val="17"/>
      </w:rPr>
      <w:t>DRAFT - UNSIGNED - NOT EFFECTIVE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rPr>
        <w:rFonts w:ascii="Calibri" w:hAnsi="Calibri"/>
      </w:r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rPr>
        <w:rFonts w:ascii="Calibri" w:hAnsi="Calibri"/>
      </w:rPr>
    </w:lvl>
  </w:abstractNum>
  <w:num w:numId="11">
    <w:abstractNumId w:val="10"/>
  </w:num>
  <w:abstractNum w:abstractNumId="11">
    <w:multiLevelType w:val="singleLevel"/>
    <w:lvl w:ilvl="0">
      <w:start w:val="1"/>
      <w:numFmt w:val="decimal"/>
      <w:lvlText w:val="%1."/>
      <w:suff w:val="tab"/>
      <w:pPr>
        <w:tabs>
          <w:tab w:val="num" w:pos="720"/>
        </w:tabs>
        <w:ind w:left="720" w:hanging="360"/>
        <w:spacing w:after="160" w:line="280" w:lineRule="auto"/>
      </w:pPr>
      <w:rPr>
        <w:rFonts w:ascii="Calibri" w:hAnsi="Calibri"/>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