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 Remediation Blockers - Final Verified</w:t>
      </w:r>
    </w:p>
    <w:p>
      <w:r>
        <w:t>Run date: 2026-08-30</w:t>
      </w:r>
    </w:p>
    <w:p>
      <w:r>
        <w:t>Mode: rerun of readiness and verification instructions. Comprehensive reseed was not executed. The existing realistic seed verifier performed a scoped POS test write in the current development database.</w:t>
      </w:r>
    </w:p>
    <w:p>
      <w:pPr>
        <w:pStyle w:val="Heading1"/>
      </w:pPr>
      <w:r>
        <w:t>Verification outcome</w:t>
      </w:r>
    </w:p>
    <w:p>
      <w:pPr>
        <w:pStyle w:val="ListBullet"/>
      </w:pPr>
      <w:r>
        <w:t>PASS: Prisma schema validation.</w:t>
      </w:r>
    </w:p>
    <w:p>
      <w:pPr>
        <w:pStyle w:val="ListBullet"/>
      </w:pPr>
      <w:r>
        <w:t>PASS: Migration status; 80 migrations found and database schema is up to date.</w:t>
      </w:r>
    </w:p>
    <w:p>
      <w:pPr>
        <w:pStyle w:val="ListBullet"/>
      </w:pPr>
      <w:r>
        <w:t>PASS: Focused finance/table contract tests; 5 suites and 19 tests passed.</w:t>
      </w:r>
    </w:p>
    <w:p>
      <w:pPr>
        <w:pStyle w:val="ListBullet"/>
      </w:pPr>
      <w:r>
        <w:t>BLOCKED: Prisma Client generation because a generated client file is locked.</w:t>
      </w:r>
    </w:p>
    <w:p>
      <w:pPr>
        <w:pStyle w:val="ListBullet"/>
      </w:pPr>
      <w:r>
        <w:t>BLOCKED: Migration history health report because its configured output path is locked or ACL-protected.</w:t>
      </w:r>
    </w:p>
    <w:p>
      <w:pPr>
        <w:pStyle w:val="ListBullet"/>
      </w:pPr>
      <w:r>
        <w:t>PASS WITH SIDE EFFECT: Realistic seed verifier completed its POS flow but wrote test records.</w:t>
      </w:r>
    </w:p>
    <w:p>
      <w:pPr>
        <w:pStyle w:val="ListBullet"/>
      </w:pPr>
      <w:r>
        <w:t>INCOMPLETE: The verifier reported 12 catalog items and 12 stocked items, below the required 20 items per location.</w:t>
      </w:r>
    </w:p>
    <w:p>
      <w:pPr>
        <w:pStyle w:val="Heading1"/>
      </w:pPr>
      <w:r>
        <w:t>Rerun side effect</w:t>
      </w:r>
    </w:p>
    <w:p>
      <w:r>
        <w:t>The seed:verify:realistic command is write-capable, not read-only. It created a POS session, sale, payment, inventory decrement, and audit records in the current development database. It must not be rerun against this populated target. The target should not be treated as a clean evidence baseline until the environment owner reviews the generated records.</w:t>
      </w:r>
    </w:p>
    <w:p>
      <w:pPr>
        <w:pStyle w:val="Heading1"/>
      </w:pPr>
      <w:r>
        <w:t>Tenant and role reconciliation</w:t>
      </w:r>
    </w:p>
    <w:tbl>
      <w:tblPr>
        <w:tblStyle w:val="TableGrid"/>
        <w:tblW w:type="auto" w:w="0"/>
        <w:tblLook w:firstColumn="1" w:firstRow="1" w:lastColumn="0" w:lastRow="0" w:noHBand="0" w:noVBand="1" w:val="04A0"/>
      </w:tblPr>
      <w:tblGrid>
        <w:gridCol w:w="2880"/>
        <w:gridCol w:w="2880"/>
        <w:gridCol w:w="2880"/>
      </w:tblGrid>
      <w:tr>
        <w:tc>
          <w:tcPr>
            <w:tcW w:type="dxa" w:w="2880"/>
          </w:tcPr>
          <w:p>
            <w:r>
              <w:t>Tenant</w:t>
            </w:r>
          </w:p>
        </w:tc>
        <w:tc>
          <w:tcPr>
            <w:tcW w:type="dxa" w:w="2880"/>
          </w:tcPr>
          <w:p>
            <w:r>
              <w:t>Database identity</w:t>
            </w:r>
          </w:p>
        </w:tc>
        <w:tc>
          <w:tcPr>
            <w:tcW w:type="dxa" w:w="2880"/>
          </w:tcPr>
          <w:p>
            <w:r>
              <w:t>Observed role/persona names</w:t>
            </w:r>
          </w:p>
        </w:tc>
      </w:tr>
      <w:tr>
        <w:tc>
          <w:tcPr>
            <w:tcW w:type="dxa" w:w="2880"/>
          </w:tcPr>
          <w:p>
            <w:r>
              <w:t>rds_org_001</w:t>
            </w:r>
          </w:p>
        </w:tc>
        <w:tc>
          <w:tcPr>
            <w:tcW w:type="dxa" w:w="2880"/>
          </w:tcPr>
          <w:p>
            <w:r>
              <w:t>Wilkinson - Feeney 001; cmp-rds-org001-convergence; CM; XAF</w:t>
            </w:r>
          </w:p>
        </w:tc>
        <w:tc>
          <w:tcPr>
            <w:tcW w:type="dxa" w:w="2880"/>
          </w:tcPr>
          <w:p>
            <w:r>
              <w:t>accounting_owner: Yongwa Eli; accountant: Nadia Essomba; support_owner: Etoo Naomie; auditor: Helene Mbarga; qualified_accounting_reviewer: Tchana Nikita</w:t>
            </w:r>
          </w:p>
        </w:tc>
      </w:tr>
      <w:tr>
        <w:tc>
          <w:tcPr>
            <w:tcW w:type="dxa" w:w="2880"/>
          </w:tcPr>
          <w:p>
            <w:r>
              <w:t>rds_org_002</w:t>
            </w:r>
          </w:p>
        </w:tc>
        <w:tc>
          <w:tcPr>
            <w:tcW w:type="dxa" w:w="2880"/>
          </w:tcPr>
          <w:p>
            <w:r>
              <w:t>McDermott, Greenholt and Johnson 002; cmp-rds-org002-e-commerce; CM; XAF</w:t>
            </w:r>
          </w:p>
        </w:tc>
        <w:tc>
          <w:tcPr>
            <w:tcW w:type="dxa" w:w="2880"/>
          </w:tcPr>
          <w:p>
            <w:r>
              <w:t>accounting_owner: Francis Mbe; accountant: Nadia Essomba; support_owner: Pascal Ekotto; auditor: Helene Mbarga; qualified_accounting_reviewer: Blandine Menye</w:t>
            </w:r>
          </w:p>
        </w:tc>
      </w:tr>
    </w:tbl>
    <w:p>
      <w:r>
        <w:t>The exact external_accountant role was not found in either tenant. Tamen Marceline is present in the canonical role-seed source as order_to_cash_product_owner; that does not establish an external-accountant assignment. No approximate role may be silently substituted.</w:t>
      </w:r>
    </w:p>
    <w:p>
      <w:pPr>
        <w:pStyle w:val="Heading1"/>
      </w:pPr>
      <w:r>
        <w:t>Blocking conditions</w:t>
      </w:r>
    </w:p>
    <w:p>
      <w:pPr>
        <w:pStyle w:val="ListBullet"/>
      </w:pPr>
      <w:r>
        <w:t>TRB-001: isolated disposable reseed target and explicit approval are missing.</w:t>
      </w:r>
    </w:p>
    <w:p>
      <w:pPr>
        <w:pStyle w:val="ListBullet"/>
      </w:pPr>
      <w:r>
        <w:t>TRB-002: external-accountant persona and exact role mapping are missing.</w:t>
      </w:r>
    </w:p>
    <w:p>
      <w:pPr>
        <w:pStyle w:val="ListBullet"/>
      </w:pPr>
      <w:r>
        <w:t>TRB-003: document Approved labels have no traceable approval IDs, approvers, dates, scopes, or signatures.</w:t>
      </w:r>
    </w:p>
    <w:p>
      <w:pPr>
        <w:pStyle w:val="ListBullet"/>
      </w:pPr>
      <w:r>
        <w:t>TRB-004: approved authenticated non-production credentials are missing.</w:t>
      </w:r>
    </w:p>
    <w:p>
      <w:pPr>
        <w:pStyle w:val="ListBullet"/>
      </w:pPr>
      <w:r>
        <w:t>TRB-005: authenticated desktop/tablet/mobile evidence artifacts are missing.</w:t>
      </w:r>
    </w:p>
    <w:p>
      <w:pPr>
        <w:pStyle w:val="ListBullet"/>
      </w:pPr>
      <w:r>
        <w:t>TRB-006: current finance data lacks the required draft, multi-currency, and closed-period coverage.</w:t>
      </w:r>
    </w:p>
    <w:p>
      <w:pPr>
        <w:pStyle w:val="ListBullet"/>
      </w:pPr>
      <w:r>
        <w:t>TRB-007: existing realistic seed verifier is write-capable and unsafe as a read-only check on the populated target.</w:t>
      </w:r>
    </w:p>
    <w:p>
      <w:pPr>
        <w:pStyle w:val="ListBullet"/>
      </w:pPr>
      <w:r>
        <w:t>TRB-008/TRB-009: local file locks prevent Prisma Client generation and migration-history report output.</w:t>
      </w:r>
    </w:p>
    <w:p>
      <w:pPr>
        <w:pStyle w:val="ListBullet"/>
      </w:pPr>
      <w:r>
        <w:t>TRB-010: the verifier reported 12 catalog and 12 stocked items; the requirement is at least 20 per location.</w:t>
      </w:r>
    </w:p>
    <w:p>
      <w:pPr>
        <w:pStyle w:val="Heading1"/>
      </w:pPr>
      <w:r>
        <w:t>Safety decision</w:t>
      </w:r>
    </w:p>
    <w:p>
      <w:r>
        <w:t>Readiness and implementation planning may continue. The current populated database must not be reset or overwritten. Comprehensive reseed and authenticated evidence remain blocked until the isolated target, approvals, credentials, required fixture coverage, and verifier safety are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