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Title"/>
        <w:spacing w:after="200" w:before="240" w:lineRule="auto"/>
        <w:rPr/>
      </w:pPr>
      <w:bookmarkStart w:colFirst="0" w:colLast="0" w:name="_heading=h.plxsu1nmqu48" w:id="0"/>
      <w:bookmarkEnd w:id="0"/>
      <w:r>
        <w:rPr>
          <w:rtl w:val="0"/>
        </w:rPr>
      </w:r>
    </w:p>
    <w:p w14:paraId="00000002">
      <w:pPr>
        <w:rPr/>
      </w:pPr>
      <w:r>
        <w:rPr>
          <w:rtl w:val="0"/>
        </w:rPr>
      </w:r>
    </w:p>
    <w:p w14:paraId="00000003">
      <w:pPr>
        <w:rPr/>
      </w:pPr>
      <w:r>
        <w:rPr>
          <w:rtl w:val="0"/>
        </w:rPr>
      </w:r>
    </w:p>
    <w:p w14:paraId="00000004">
      <w:pPr>
        <w:pStyle w:val="Title"/>
        <w:spacing w:after="200" w:before="240" w:lineRule="auto"/>
        <w:rPr/>
      </w:pPr>
      <w:bookmarkStart w:colFirst="0" w:colLast="0" w:name="_heading=h.iygpj3gzq5ll" w:id="1"/>
      <w:bookmarkEnd w:id="1"/>
      <w:r>
        <w:rPr/>
        <mc:AlternateContent>
          <mc:Choice Requires="wpg">
            <w:drawing>
              <wp:inline distB="57150" distT="57150" distL="57150" distR="57150">
                <wp:extent cx="1485900" cy="92432"/>
                <wp:effectExtent b="0" l="0" r="0" t="0"/>
                <wp:docPr descr="Decorative black rule used in the memo template." id="1" name=""/>
                <a:graphic>
                  <a:graphicData uri="http://schemas.microsoft.com/office/word/2010/wordprocessingShape">
                    <wps:wsp>
                      <wps:cNvSpPr/>
                      <wps:cNvPr id="2" name="Shape 2"/>
                      <wps:spPr>
                        <a:xfrm>
                          <a:off x="3151650" y="3666150"/>
                          <a:ext cx="4388700" cy="227700"/>
                        </a:xfrm>
                        <a:prstGeom prst="rect">
                          <a:avLst/>
                        </a:prstGeom>
                        <a:solidFill>
                          <a:srgbClr val="000000"/>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57150" distT="57150" distL="57150" distR="57150">
                <wp:extent cx="1485900" cy="92432"/>
                <wp:effectExtent b="0" l="0" r="0" t="0"/>
                <wp:docPr descr="Decorative black rule used in the memo template." id="1" name="image6.png"/>
                <a:graphic>
                  <a:graphicData uri="http://schemas.openxmlformats.org/drawingml/2006/picture">
                    <pic:pic>
                      <pic:nvPicPr>
                        <pic:cNvPr descr="Decorative black rule used in the memo template." id="0" name="image6.png"/>
                        <pic:cNvPicPr preferRelativeResize="0"/>
                      </pic:nvPicPr>
                      <pic:blipFill>
                        <a:blip r:embed="rId7"/>
                        <a:srcRect/>
                        <a:stretch>
                          <a:fillRect/>
                        </a:stretch>
                      </pic:blipFill>
                      <pic:spPr>
                        <a:xfrm>
                          <a:off x="0" y="0"/>
                          <a:ext cx="1485900" cy="92432"/>
                        </a:xfrm>
                        <a:prstGeom prst="rect"/>
                        <a:ln/>
                      </pic:spPr>
                    </pic:pic>
                  </a:graphicData>
                </a:graphic>
              </wp:inline>
            </w:drawing>
          </mc:Fallback>
        </mc:AlternateContent>
      </w:r>
      <w:r>
        <w:rPr>
          <w:rtl w:val="0"/>
        </w:rPr>
      </w:r>
    </w:p>
    <w:p w14:paraId="00000005">
      <w:pPr>
        <w:pStyle w:val="Title"/>
        <w:spacing w:after="200" w:before="240" w:line="240" w:lineRule="auto"/>
        <w:rPr>
          <w:b w:val="1"/>
          <w:bCs w:val="1"/>
          <w:sz w:val="80"/>
          <w:szCs w:val="80"/>
        </w:rPr>
      </w:pPr>
      <w:bookmarkStart w:colFirst="0" w:colLast="0" w:name="_heading=h.cbw67w94hv1c" w:id="2"/>
      <w:bookmarkEnd w:id="2"/>
      <w:r>
        <w:rPr>
          <w:b w:val="1"/>
          <w:bCs w:val="1"/>
          <w:sz w:val="80"/>
          <w:szCs w:val="80"/>
          <w:rtl w:val="0"/>
        </w:rPr>
        <w:t xml:space="preserve">Nkambe Bakery Investment Review</w:t>
      </w:r>
    </w:p>
    <w:p w14:paraId="00000006">
      <w:pPr>
        <w:rPr/>
      </w:pPr>
      <w:r>
        <w:rPr>
          <w:rtl w:val="0"/>
        </w:rPr>
      </w:r>
    </w:p>
    <w:p w14:paraId="00000007">
      <w:pPr>
        <w:rPr/>
      </w:pPr>
      <w:r>
        <w:rPr>
          <w:rtl w:val="0"/>
        </w:rPr>
      </w:r>
    </w:p>
    <w:p w14:paraId="00000008">
      <w:pPr>
        <w:spacing w:after="200" w:lineRule="auto"/>
        <w:rPr>
          <w:color w:val="666666"/>
        </w:rPr>
      </w:pPr>
      <w:r>
        <w:rPr>
          <w:color w:val="666666"/>
          <w:rtl w:val="0"/>
        </w:rPr>
        <w:t xml:space="preserve">Bakery recipe anthology and production readiness  |  H3</w:t>
      </w:r>
    </w:p>
    <w:p w14:paraId="00000009">
      <w:pPr>
        <w:spacing w:after="200" w:lineRule="auto"/>
        <w:rPr/>
      </w:pPr>
      <w:r>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330"/>
        <w:gridCol w:w="1485"/>
        <w:gridCol w:w="3150"/>
        <w:tblGridChange w:id="0">
          <w:tblGrid>
            <w:gridCol w:w="1335"/>
            <w:gridCol w:w="3330"/>
            <w:gridCol w:w="1485"/>
            <w:gridCol w:w="3150"/>
          </w:tblGrid>
        </w:tblGridChange>
      </w:tblGrid>
      <w:tr>
        <w:trPr>
          <w:cantSplit w:val="0"/>
          <w:trHeight w:val="576" w:hRule="atLeast"/>
          <w:tblHeader w:val="0"/>
        </w:trPr>
        <w:tc>
          <w:tcPr>
            <w:tcBorders>
              <w:top w:color="e6e6e6" w:space="0" w:sz="7" w:val="single"/>
              <w:left w:color="e6e6e6" w:space="0" w:sz="7" w:val="single"/>
              <w:bottom w:color="e6e6e6" w:space="0" w:sz="7" w:val="single"/>
              <w:right w:color="e6e6e6" w:space="0" w:sz="7" w:val="single"/>
            </w:tcBorders>
            <w:shd w:fill="f7f7f7" w:val="clear"/>
            <w:tcMar>
              <w:top w:w="100.0" w:type="dxa"/>
              <w:left w:w="160.0" w:type="dxa"/>
              <w:bottom w:w="100.0" w:type="dxa"/>
              <w:right w:w="140.0" w:type="dxa"/>
            </w:tcMar>
            <w:vAlign w:val="center"/>
          </w:tcPr>
          <w:p w14:paraId="0000000A">
            <w:pPr>
              <w:spacing w:after="200" w:lineRule="auto"/>
              <w:rPr>
                <w:b w:val="1"/>
                <w:bCs w:val="1"/>
                <w:sz w:val="17"/>
                <w:szCs w:val="17"/>
              </w:rPr>
            </w:pPr>
            <w:r>
              <w:rPr>
                <w:b w:val="1"/>
                <w:bCs w:val="1"/>
                <w:color w:val="111111"/>
                <w:sz w:val="17"/>
                <w:szCs w:val="17"/>
                <w:rtl w:val="0"/>
              </w:rPr>
              <w:t xml:space="preserve">To</w:t>
            </w:r>
            <w:r>
              <w:rPr>
                <w:rtl w:val="0"/>
              </w:rPr>
            </w:r>
          </w:p>
        </w:tc>
        <w:tc>
          <w:tcPr>
            <w:tcBorders>
              <w:top w:color="e6e6e6" w:space="0" w:sz="7" w:val="single"/>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0B">
            <w:pPr>
              <w:spacing w:after="200" w:lineRule="auto"/>
              <w:rPr>
                <w:sz w:val="17"/>
                <w:szCs w:val="17"/>
              </w:rPr>
            </w:pPr>
            <w:r>
              <w:rPr>
                <w:color w:val="111111"/>
                <w:sz w:val="17"/>
                <w:szCs w:val="17"/>
                <w:rtl w:val="0"/>
              </w:rPr>
              <w:t xml:space="preserve">Bakery owner and prospective funders</w:t>
            </w:r>
            <w:r>
              <w:rPr>
                <w:rtl w:val="0"/>
              </w:rPr>
            </w:r>
          </w:p>
        </w:tc>
        <w:tc>
          <w:tcPr>
            <w:tcBorders>
              <w:top w:color="e6e6e6" w:space="0" w:sz="7" w:val="single"/>
              <w:left w:color="000000" w:space="0" w:sz="0" w:val="nil"/>
              <w:bottom w:color="e6e6e6" w:space="0" w:sz="7" w:val="single"/>
              <w:right w:color="e6e6e6" w:space="0" w:sz="7" w:val="single"/>
            </w:tcBorders>
            <w:shd w:fill="f7f7f7" w:val="clear"/>
            <w:tcMar>
              <w:top w:w="100.0" w:type="dxa"/>
              <w:left w:w="160.0" w:type="dxa"/>
              <w:bottom w:w="100.0" w:type="dxa"/>
              <w:right w:w="140.0" w:type="dxa"/>
            </w:tcMar>
            <w:vAlign w:val="center"/>
          </w:tcPr>
          <w:p w14:paraId="0000000C">
            <w:pPr>
              <w:spacing w:after="200" w:lineRule="auto"/>
              <w:rPr>
                <w:b w:val="1"/>
                <w:bCs w:val="1"/>
                <w:sz w:val="17"/>
                <w:szCs w:val="17"/>
              </w:rPr>
            </w:pPr>
            <w:r>
              <w:rPr>
                <w:b w:val="1"/>
                <w:bCs w:val="1"/>
                <w:color w:val="111111"/>
                <w:sz w:val="17"/>
                <w:szCs w:val="17"/>
                <w:rtl w:val="0"/>
              </w:rPr>
              <w:t xml:space="preserve">Date</w:t>
            </w:r>
            <w:r>
              <w:rPr>
                <w:rtl w:val="0"/>
              </w:rPr>
            </w:r>
          </w:p>
        </w:tc>
        <w:tc>
          <w:tcPr>
            <w:tcBorders>
              <w:top w:color="e6e6e6" w:space="0" w:sz="7" w:val="single"/>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0D">
            <w:pPr>
              <w:spacing w:after="200" w:lineRule="auto"/>
              <w:rPr>
                <w:sz w:val="17"/>
                <w:szCs w:val="17"/>
              </w:rPr>
            </w:pPr>
            <w:r>
              <w:rPr>
                <w:color w:val="111111"/>
                <w:sz w:val="17"/>
                <w:szCs w:val="17"/>
                <w:rtl w:val="0"/>
              </w:rPr>
              <w:t xml:space="preserve">8 October 2026</w:t>
            </w:r>
            <w:r>
              <w:rPr>
                <w:rtl w:val="0"/>
              </w:rPr>
            </w:r>
          </w:p>
        </w:tc>
      </w:tr>
      <w:tr>
        <w:trPr>
          <w:cantSplit w:val="0"/>
          <w:trHeight w:val="576" w:hRule="atLeast"/>
          <w:tblHeader w:val="0"/>
        </w:trPr>
        <w:tc>
          <w:tcPr>
            <w:tcBorders>
              <w:top w:color="000000" w:space="0" w:sz="0" w:val="nil"/>
              <w:left w:color="e6e6e6" w:space="0" w:sz="7" w:val="single"/>
              <w:bottom w:color="e6e6e6" w:space="0" w:sz="7" w:val="single"/>
              <w:right w:color="e6e6e6" w:space="0" w:sz="7" w:val="single"/>
            </w:tcBorders>
            <w:shd w:fill="f7f7f7" w:val="clear"/>
            <w:tcMar>
              <w:top w:w="100.0" w:type="dxa"/>
              <w:left w:w="160.0" w:type="dxa"/>
              <w:bottom w:w="100.0" w:type="dxa"/>
              <w:right w:w="140.0" w:type="dxa"/>
            </w:tcMar>
            <w:vAlign w:val="center"/>
          </w:tcPr>
          <w:p w14:paraId="0000000E">
            <w:pPr>
              <w:spacing w:after="200" w:lineRule="auto"/>
              <w:rPr>
                <w:b w:val="1"/>
                <w:bCs w:val="1"/>
                <w:sz w:val="17"/>
                <w:szCs w:val="17"/>
              </w:rPr>
            </w:pPr>
            <w:r>
              <w:rPr>
                <w:b w:val="1"/>
                <w:bCs w:val="1"/>
                <w:color w:val="111111"/>
                <w:sz w:val="17"/>
                <w:szCs w:val="17"/>
                <w:rtl w:val="0"/>
              </w:rPr>
              <w:t xml:space="preserve">From</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0F">
            <w:pPr>
              <w:spacing w:after="200" w:lineRule="auto"/>
              <w:rPr>
                <w:sz w:val="17"/>
                <w:szCs w:val="17"/>
              </w:rPr>
            </w:pPr>
            <w:r>
              <w:rPr>
                <w:color w:val="111111"/>
                <w:sz w:val="17"/>
                <w:szCs w:val="17"/>
                <w:rtl w:val="0"/>
              </w:rPr>
              <w:t xml:space="preserve">Bakery project review</w:t>
            </w:r>
            <w:r>
              <w:rPr>
                <w:rtl w:val="0"/>
              </w:rPr>
            </w:r>
          </w:p>
        </w:tc>
        <w:tc>
          <w:tcPr>
            <w:tcBorders>
              <w:top w:color="000000" w:space="0" w:sz="0" w:val="nil"/>
              <w:left w:color="000000" w:space="0" w:sz="0" w:val="nil"/>
              <w:bottom w:color="e6e6e6" w:space="0" w:sz="7" w:val="single"/>
              <w:right w:color="e6e6e6" w:space="0" w:sz="7" w:val="single"/>
            </w:tcBorders>
            <w:shd w:fill="f7f7f7" w:val="clear"/>
            <w:tcMar>
              <w:top w:w="100.0" w:type="dxa"/>
              <w:left w:w="160.0" w:type="dxa"/>
              <w:bottom w:w="100.0" w:type="dxa"/>
              <w:right w:w="140.0" w:type="dxa"/>
            </w:tcMar>
            <w:vAlign w:val="center"/>
          </w:tcPr>
          <w:p w14:paraId="00000010">
            <w:pPr>
              <w:spacing w:after="200" w:lineRule="auto"/>
              <w:rPr>
                <w:b w:val="1"/>
                <w:bCs w:val="1"/>
                <w:sz w:val="17"/>
                <w:szCs w:val="17"/>
              </w:rPr>
            </w:pPr>
            <w:r>
              <w:rPr>
                <w:b w:val="1"/>
                <w:bCs w:val="1"/>
                <w:color w:val="111111"/>
                <w:sz w:val="17"/>
                <w:szCs w:val="17"/>
                <w:rtl w:val="0"/>
              </w:rPr>
              <w:t xml:space="preserve">Status</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11">
            <w:pPr>
              <w:spacing w:after="200" w:lineRule="auto"/>
              <w:rPr>
                <w:sz w:val="17"/>
                <w:szCs w:val="17"/>
              </w:rPr>
            </w:pPr>
            <w:r>
              <w:rPr>
                <w:color w:val="111111"/>
                <w:sz w:val="17"/>
                <w:szCs w:val="17"/>
                <w:rtl w:val="0"/>
              </w:rPr>
              <w:t xml:space="preserve">Draft for discussion</w:t>
            </w:r>
            <w:r>
              <w:rPr>
                <w:rtl w:val="0"/>
              </w:rPr>
            </w:r>
          </w:p>
        </w:tc>
      </w:tr>
      <w:tr>
        <w:trPr>
          <w:cantSplit w:val="0"/>
          <w:trHeight w:val="576" w:hRule="atLeast"/>
          <w:tblHeader w:val="0"/>
        </w:trPr>
        <w:tc>
          <w:tcPr>
            <w:tcBorders>
              <w:top w:color="000000" w:space="0" w:sz="0" w:val="nil"/>
              <w:left w:color="e6e6e6" w:space="0" w:sz="7" w:val="single"/>
              <w:bottom w:color="e6e6e6" w:space="0" w:sz="7" w:val="single"/>
              <w:right w:color="e6e6e6" w:space="0" w:sz="7" w:val="single"/>
            </w:tcBorders>
            <w:shd w:fill="f7f7f7" w:val="clear"/>
            <w:tcMar>
              <w:top w:w="100.0" w:type="dxa"/>
              <w:left w:w="160.0" w:type="dxa"/>
              <w:bottom w:w="100.0" w:type="dxa"/>
              <w:right w:w="140.0" w:type="dxa"/>
            </w:tcMar>
            <w:vAlign w:val="center"/>
          </w:tcPr>
          <w:p w14:paraId="00000012">
            <w:pPr>
              <w:spacing w:after="200" w:lineRule="auto"/>
              <w:rPr>
                <w:b w:val="1"/>
                <w:bCs w:val="1"/>
                <w:sz w:val="17"/>
                <w:szCs w:val="17"/>
              </w:rPr>
            </w:pPr>
            <w:r>
              <w:rPr>
                <w:b w:val="1"/>
                <w:bCs w:val="1"/>
                <w:color w:val="111111"/>
                <w:sz w:val="17"/>
                <w:szCs w:val="17"/>
                <w:rtl w:val="0"/>
              </w:rPr>
              <w:t xml:space="preserve">Decision Requested</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13">
            <w:pPr>
              <w:spacing w:after="200" w:lineRule="auto"/>
              <w:rPr>
                <w:sz w:val="17"/>
                <w:szCs w:val="17"/>
              </w:rPr>
            </w:pPr>
            <w:r>
              <w:rPr>
                <w:color w:val="111111"/>
                <w:sz w:val="17"/>
                <w:szCs w:val="17"/>
                <w:rtl w:val="0"/>
              </w:rPr>
              <w:t xml:space="preserve">Commissioning and budget review</w:t>
            </w:r>
            <w:r>
              <w:rPr>
                <w:rtl w:val="0"/>
              </w:rPr>
            </w:r>
          </w:p>
        </w:tc>
        <w:tc>
          <w:tcPr>
            <w:tcBorders>
              <w:top w:color="000000" w:space="0" w:sz="0" w:val="nil"/>
              <w:left w:color="000000" w:space="0" w:sz="0" w:val="nil"/>
              <w:bottom w:color="e6e6e6" w:space="0" w:sz="7" w:val="single"/>
              <w:right w:color="e6e6e6" w:space="0" w:sz="7" w:val="single"/>
            </w:tcBorders>
            <w:shd w:fill="f7f7f7" w:val="clear"/>
            <w:tcMar>
              <w:top w:w="100.0" w:type="dxa"/>
              <w:left w:w="160.0" w:type="dxa"/>
              <w:bottom w:w="100.0" w:type="dxa"/>
              <w:right w:w="140.0" w:type="dxa"/>
            </w:tcMar>
            <w:vAlign w:val="center"/>
          </w:tcPr>
          <w:p w14:paraId="00000014">
            <w:pPr>
              <w:spacing w:after="200" w:lineRule="auto"/>
              <w:rPr>
                <w:b w:val="1"/>
                <w:bCs w:val="1"/>
                <w:sz w:val="17"/>
                <w:szCs w:val="17"/>
              </w:rPr>
            </w:pPr>
            <w:r>
              <w:rPr>
                <w:b w:val="1"/>
                <w:bCs w:val="1"/>
                <w:color w:val="111111"/>
                <w:sz w:val="17"/>
                <w:szCs w:val="17"/>
                <w:rtl w:val="0"/>
              </w:rPr>
              <w:t xml:space="preserve">Current Commitment</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15">
            <w:pPr>
              <w:spacing w:after="200" w:lineRule="auto"/>
              <w:rPr>
                <w:sz w:val="17"/>
                <w:szCs w:val="17"/>
              </w:rPr>
            </w:pPr>
            <w:r>
              <w:rPr>
                <w:color w:val="111111"/>
                <w:sz w:val="17"/>
                <w:szCs w:val="17"/>
                <w:rtl w:val="0"/>
              </w:rPr>
              <w:t xml:space="preserve">Not supplied</w:t>
            </w:r>
            <w:r>
              <w:rPr>
                <w:rtl w:val="0"/>
              </w:rPr>
            </w:r>
          </w:p>
        </w:tc>
      </w:tr>
      <w:tr>
        <w:trPr>
          <w:cantSplit w:val="0"/>
          <w:trHeight w:val="576" w:hRule="atLeast"/>
          <w:tblHeader w:val="0"/>
        </w:trPr>
        <w:tc>
          <w:tcPr>
            <w:tcBorders>
              <w:top w:color="000000" w:space="0" w:sz="0" w:val="nil"/>
              <w:left w:color="e6e6e6" w:space="0" w:sz="7" w:val="single"/>
              <w:bottom w:color="e6e6e6" w:space="0" w:sz="7" w:val="single"/>
              <w:right w:color="e6e6e6" w:space="0" w:sz="7" w:val="single"/>
            </w:tcBorders>
            <w:shd w:fill="f7f7f7" w:val="clear"/>
            <w:tcMar>
              <w:top w:w="100.0" w:type="dxa"/>
              <w:left w:w="160.0" w:type="dxa"/>
              <w:bottom w:w="100.0" w:type="dxa"/>
              <w:right w:w="140.0" w:type="dxa"/>
            </w:tcMar>
            <w:vAlign w:val="center"/>
          </w:tcPr>
          <w:p w14:paraId="00000016">
            <w:pPr>
              <w:spacing w:after="200" w:lineRule="auto"/>
              <w:rPr>
                <w:b w:val="1"/>
                <w:bCs w:val="1"/>
                <w:sz w:val="17"/>
                <w:szCs w:val="17"/>
              </w:rPr>
            </w:pPr>
            <w:r>
              <w:rPr>
                <w:b w:val="1"/>
                <w:bCs w:val="1"/>
                <w:color w:val="111111"/>
                <w:sz w:val="17"/>
                <w:szCs w:val="17"/>
                <w:rtl w:val="0"/>
              </w:rPr>
              <w:t xml:space="preserve">Model Version</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17">
            <w:pPr>
              <w:spacing w:after="200" w:lineRule="auto"/>
              <w:rPr>
                <w:sz w:val="17"/>
                <w:szCs w:val="17"/>
              </w:rPr>
            </w:pPr>
            <w:r>
              <w:rPr>
                <w:color w:val="111111"/>
                <w:sz w:val="17"/>
                <w:szCs w:val="17"/>
                <w:rtl w:val="0"/>
              </w:rPr>
              <w:t xml:space="preserve">H2 model with H3 EDC correction</w:t>
            </w:r>
            <w:r>
              <w:rPr>
                <w:rtl w:val="0"/>
              </w:rPr>
            </w:r>
          </w:p>
        </w:tc>
        <w:tc>
          <w:tcPr>
            <w:tcBorders>
              <w:top w:color="000000" w:space="0" w:sz="0" w:val="nil"/>
              <w:left w:color="000000" w:space="0" w:sz="0" w:val="nil"/>
              <w:bottom w:color="e6e6e6" w:space="0" w:sz="7" w:val="single"/>
              <w:right w:color="e6e6e6" w:space="0" w:sz="7" w:val="single"/>
            </w:tcBorders>
            <w:shd w:fill="f7f7f7" w:val="clear"/>
            <w:tcMar>
              <w:top w:w="100.0" w:type="dxa"/>
              <w:left w:w="160.0" w:type="dxa"/>
              <w:bottom w:w="100.0" w:type="dxa"/>
              <w:right w:w="140.0" w:type="dxa"/>
            </w:tcMar>
            <w:vAlign w:val="center"/>
          </w:tcPr>
          <w:p w14:paraId="00000018">
            <w:pPr>
              <w:spacing w:after="200" w:lineRule="auto"/>
              <w:rPr>
                <w:b w:val="1"/>
                <w:bCs w:val="1"/>
                <w:sz w:val="17"/>
                <w:szCs w:val="17"/>
              </w:rPr>
            </w:pPr>
            <w:r>
              <w:rPr>
                <w:b w:val="1"/>
                <w:bCs w:val="1"/>
                <w:color w:val="111111"/>
                <w:sz w:val="17"/>
                <w:szCs w:val="17"/>
                <w:rtl w:val="0"/>
              </w:rPr>
              <w:t xml:space="preserve">Currency / Scale</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19">
            <w:pPr>
              <w:spacing w:after="200" w:lineRule="auto"/>
              <w:rPr>
                <w:sz w:val="17"/>
                <w:szCs w:val="17"/>
              </w:rPr>
            </w:pPr>
            <w:r>
              <w:rPr>
                <w:color w:val="111111"/>
                <w:sz w:val="17"/>
                <w:szCs w:val="17"/>
                <w:rtl w:val="0"/>
              </w:rPr>
              <w:t xml:space="preserve">FCFA and measured units</w:t>
            </w:r>
            <w:r>
              <w:rPr>
                <w:rtl w:val="0"/>
              </w:rPr>
            </w:r>
          </w:p>
        </w:tc>
      </w:tr>
    </w:tbl>
    <w:p w14:paraId="0000001A">
      <w:pPr>
        <w:spacing w:after="200" w:before="320" w:lineRule="auto"/>
        <w:rPr>
          <w:b w:val="1"/>
          <w:bCs w:val="1"/>
        </w:rPr>
      </w:pPr>
      <w:r>
        <w:rPr>
          <w:rtl w:val="0"/>
        </w:rPr>
      </w:r>
    </w:p>
    <w:p w14:paraId="0000001B">
      <w:pPr>
        <w:spacing w:after="200" w:before="320" w:lineRule="auto"/>
        <w:rPr>
          <w:b w:val="1"/>
          <w:bCs w:val="1"/>
        </w:rPr>
      </w:pPr>
      <w:r>
        <w:br w:type="page"/>
      </w:r>
      <w:r>
        <w:rPr>
          <w:rtl w:val="0"/>
        </w:rPr>
      </w:r>
    </w:p>
    <w:p w14:paraId="0000001C">
      <w:pPr>
        <w:pStyle w:val="Heading1"/>
        <w:keepNext w:val="1"/>
        <w:pageBreakBefore w:val="0"/>
        <w:spacing w:after="200" w:before="320" w:line="240" w:lineRule="auto"/>
        <w:rPr/>
      </w:pPr>
      <w:r>
        <w:rPr>
          <w:rFonts w:ascii="Arial" w:cs="Arial" w:eastAsia="Arial" w:hAnsi="Arial"/>
          <w:b w:val="1"/>
          <w:bCs w:val="1"/>
          <w:i w:val="0"/>
          <w:iCs w:val="0"/>
          <w:color w:val="111111"/>
          <w:sz w:val="22"/>
          <w:szCs w:val="22"/>
          <w:rtl w:val="0"/>
        </w:rPr>
        <w:t xml:space="preserve">1.   Executive Summary, Recommendation, and Decision Requested</w:t>
      </w:r>
      <w:r>
        <w:rPr>
          <w:rtl w:val="0"/>
        </w:rPr>
      </w:r>
    </w:p>
    <w:p w14:paraId="0000001D">
      <w:pPr>
        <w:keepNext w:val="0"/>
        <w:pageBreakBefore w:val="0"/>
        <w:spacing w:after="160" w:before="60" w:line="240" w:lineRule="auto"/>
        <w:rPr/>
      </w:pPr>
      <w:r>
        <w:rPr>
          <w:rFonts w:ascii="Arial" w:cs="Arial" w:eastAsia="Arial" w:hAnsi="Arial"/>
          <w:b w:val="1"/>
          <w:bCs w:val="1"/>
          <w:i w:val="0"/>
          <w:iCs w:val="0"/>
          <w:color w:val="111111"/>
          <w:sz w:val="18"/>
          <w:szCs w:val="18"/>
          <w:rtl w:val="0"/>
        </w:rPr>
        <w:t xml:space="preserve">Recommendation: </w:t>
      </w:r>
      <w:r>
        <w:rPr>
          <w:rFonts w:ascii="Arial" w:cs="Arial" w:eastAsia="Arial" w:hAnsi="Arial"/>
          <w:b w:val="0"/>
          <w:bCs w:val="0"/>
          <w:i w:val="0"/>
          <w:iCs w:val="0"/>
          <w:color w:val="111111"/>
          <w:sz w:val="18"/>
          <w:szCs w:val="18"/>
          <w:rtl w:val="0"/>
        </w:rPr>
        <w:t xml:space="preserve">Advance the evidence-gathering and commissioning plan; defer a capital commitment until a priced budget, measured output and sales evidence exist. EDC is unidentified and must remain separate from margarine. Two affected working recipes are held.</w:t>
      </w:r>
      <w:r>
        <w:rPr>
          <w:rtl w:val="0"/>
        </w:rPr>
      </w:r>
    </w:p>
    <w:tbl>
      <w:tblPr>
        <w:tblStyle w:val="Table2"/>
        <w:tblW w:w="9425.0" w:type="dxa"/>
        <w:jc w:val="left"/>
        <w:tblBorders>
          <w:top w:color="e6e6e6" w:space="0" w:sz="4" w:val="single"/>
          <w:left w:color="e6e6e6" w:space="0" w:sz="4" w:val="single"/>
          <w:bottom w:color="e6e6e6" w:space="0" w:sz="4" w:val="single"/>
          <w:right w:color="e6e6e6" w:space="0" w:sz="4" w:val="single"/>
          <w:insideH w:color="e6e6e6" w:space="0" w:sz="4" w:val="single"/>
          <w:insideV w:color="e6e6e6" w:space="0" w:sz="4" w:val="single"/>
        </w:tblBorders>
        <w:tblLayout w:type="fixed"/>
        <w:tblLook w:val="0600"/>
      </w:tblPr>
      <w:tblGrid>
        <w:gridCol w:w="1937"/>
        <w:gridCol w:w="1906"/>
        <w:gridCol w:w="1891"/>
        <w:gridCol w:w="1861"/>
        <w:gridCol w:w="1830"/>
        <w:tblGridChange w:id="0">
          <w:tblGrid>
            <w:gridCol w:w="1937"/>
            <w:gridCol w:w="1906"/>
            <w:gridCol w:w="1891"/>
            <w:gridCol w:w="1861"/>
            <w:gridCol w:w="1830"/>
          </w:tblGrid>
        </w:tblGridChange>
      </w:tblGrid>
      <w:tr>
        <w:trPr>
          <w:cantSplit w:val="0"/>
          <w:trHeight w:val="334" w:hRule="atLeast"/>
          <w:tblHeader w:val="1"/>
        </w:trPr>
        <w:tc>
          <w:tcPr>
            <w:tcMar>
              <w:top w:w="120.0" w:type="dxa"/>
              <w:left w:w="140.0" w:type="dxa"/>
              <w:bottom w:w="120.0" w:type="dxa"/>
              <w:right w:w="140.0" w:type="dxa"/>
            </w:tcMar>
          </w:tcPr>
          <w:p w14:paraId="0000001E">
            <w:pPr>
              <w:spacing w:after="200" w:lineRule="auto"/>
              <w:jc w:val="center"/>
              <w:rPr>
                <w:b w:val="1"/>
                <w:bCs w:val="1"/>
                <w:sz w:val="17"/>
                <w:szCs w:val="17"/>
              </w:rPr>
            </w:pPr>
            <w:r>
              <w:rPr>
                <w:b w:val="1"/>
                <w:bCs w:val="1"/>
                <w:color w:val="111111"/>
                <w:sz w:val="17"/>
                <w:szCs w:val="17"/>
                <w:rtl w:val="0"/>
              </w:rPr>
              <w:t xml:space="preserve">Amount Requested Now</w:t>
            </w:r>
            <w:r>
              <w:rPr>
                <w:rtl w:val="0"/>
              </w:rPr>
            </w:r>
          </w:p>
        </w:tc>
        <w:tc>
          <w:tcPr>
            <w:tcMar>
              <w:top w:w="120.0" w:type="dxa"/>
              <w:left w:w="140.0" w:type="dxa"/>
              <w:bottom w:w="120.0" w:type="dxa"/>
              <w:right w:w="140.0" w:type="dxa"/>
            </w:tcMar>
          </w:tcPr>
          <w:p w14:paraId="0000001F">
            <w:pPr>
              <w:spacing w:after="200" w:lineRule="auto"/>
              <w:jc w:val="center"/>
              <w:rPr>
                <w:b w:val="1"/>
                <w:bCs w:val="1"/>
                <w:sz w:val="17"/>
                <w:szCs w:val="17"/>
              </w:rPr>
            </w:pPr>
            <w:r>
              <w:rPr>
                <w:b w:val="1"/>
                <w:bCs w:val="1"/>
                <w:color w:val="111111"/>
                <w:sz w:val="17"/>
                <w:szCs w:val="17"/>
                <w:rtl w:val="0"/>
              </w:rPr>
              <w:t xml:space="preserve">Total Potential Exposure</w:t>
            </w:r>
            <w:r>
              <w:rPr>
                <w:rtl w:val="0"/>
              </w:rPr>
            </w:r>
          </w:p>
        </w:tc>
        <w:tc>
          <w:tcPr>
            <w:tcMar>
              <w:top w:w="120.0" w:type="dxa"/>
              <w:left w:w="140.0" w:type="dxa"/>
              <w:bottom w:w="120.0" w:type="dxa"/>
              <w:right w:w="140.0" w:type="dxa"/>
            </w:tcMar>
          </w:tcPr>
          <w:p w14:paraId="00000020">
            <w:pPr>
              <w:spacing w:after="200" w:lineRule="auto"/>
              <w:jc w:val="center"/>
              <w:rPr>
                <w:b w:val="1"/>
                <w:bCs w:val="1"/>
                <w:sz w:val="17"/>
                <w:szCs w:val="17"/>
              </w:rPr>
            </w:pPr>
            <w:r>
              <w:rPr>
                <w:b w:val="1"/>
                <w:bCs w:val="1"/>
                <w:color w:val="111111"/>
                <w:sz w:val="17"/>
                <w:szCs w:val="17"/>
                <w:rtl w:val="0"/>
              </w:rPr>
              <w:t xml:space="preserve">Entry Valuation / Price</w:t>
            </w:r>
            <w:r>
              <w:rPr>
                <w:rtl w:val="0"/>
              </w:rPr>
            </w:r>
          </w:p>
        </w:tc>
        <w:tc>
          <w:tcPr>
            <w:tcMar>
              <w:top w:w="120.0" w:type="dxa"/>
              <w:left w:w="140.0" w:type="dxa"/>
              <w:bottom w:w="120.0" w:type="dxa"/>
              <w:right w:w="140.0" w:type="dxa"/>
            </w:tcMar>
          </w:tcPr>
          <w:p w14:paraId="00000021">
            <w:pPr>
              <w:spacing w:after="200" w:lineRule="auto"/>
              <w:jc w:val="center"/>
              <w:rPr>
                <w:b w:val="1"/>
                <w:bCs w:val="1"/>
                <w:sz w:val="17"/>
                <w:szCs w:val="17"/>
              </w:rPr>
            </w:pPr>
            <w:r>
              <w:rPr>
                <w:b w:val="1"/>
                <w:bCs w:val="1"/>
                <w:color w:val="111111"/>
                <w:sz w:val="17"/>
                <w:szCs w:val="17"/>
                <w:rtl w:val="0"/>
              </w:rPr>
              <w:t xml:space="preserve">Base Case Return</w:t>
            </w:r>
            <w:r>
              <w:rPr>
                <w:rtl w:val="0"/>
              </w:rPr>
            </w:r>
          </w:p>
        </w:tc>
        <w:tc>
          <w:tcPr>
            <w:shd w:fill="111111" w:val="clear"/>
            <w:tcMar>
              <w:top w:w="120.0" w:type="dxa"/>
              <w:left w:w="140.0" w:type="dxa"/>
              <w:bottom w:w="120.0" w:type="dxa"/>
              <w:right w:w="140.0" w:type="dxa"/>
            </w:tcMar>
          </w:tcPr>
          <w:p w14:paraId="00000022">
            <w:pPr>
              <w:spacing w:after="200" w:lineRule="auto"/>
              <w:jc w:val="center"/>
              <w:rPr>
                <w:b w:val="1"/>
                <w:bCs w:val="1"/>
                <w:color w:val="ffffff"/>
                <w:sz w:val="17"/>
                <w:szCs w:val="17"/>
              </w:rPr>
            </w:pPr>
            <w:r>
              <w:rPr>
                <w:b w:val="1"/>
                <w:bCs w:val="1"/>
                <w:color w:val="ffffff"/>
                <w:sz w:val="17"/>
                <w:szCs w:val="17"/>
                <w:rtl w:val="0"/>
              </w:rPr>
              <w:t xml:space="preserve">Primary Operating KPI</w:t>
            </w:r>
          </w:p>
        </w:tc>
      </w:tr>
      <w:tr>
        <w:trPr>
          <w:cantSplit w:val="0"/>
          <w:trHeight w:val="269" w:hRule="atLeast"/>
          <w:tblHeader w:val="0"/>
        </w:trPr>
        <w:tc>
          <w:tcPr>
            <w:tcMar>
              <w:top w:w="100.0" w:type="dxa"/>
              <w:left w:w="140.0" w:type="dxa"/>
              <w:bottom w:w="100.0" w:type="dxa"/>
              <w:right w:w="140.0" w:type="dxa"/>
            </w:tcMar>
          </w:tcPr>
          <w:p w14:paraId="00000023">
            <w:pPr>
              <w:spacing w:after="200" w:lineRule="auto"/>
              <w:jc w:val="center"/>
              <w:rPr>
                <w:sz w:val="17"/>
                <w:szCs w:val="17"/>
              </w:rPr>
            </w:pPr>
            <w:r>
              <w:rPr>
                <w:color w:val="111111"/>
                <w:sz w:val="17"/>
                <w:szCs w:val="17"/>
                <w:rtl w:val="0"/>
              </w:rPr>
              <w:t xml:space="preserve">Not supplied</w:t>
            </w:r>
            <w:r>
              <w:rPr>
                <w:rtl w:val="0"/>
              </w:rPr>
            </w:r>
          </w:p>
        </w:tc>
        <w:tc>
          <w:tcPr>
            <w:tcMar>
              <w:top w:w="100.0" w:type="dxa"/>
              <w:left w:w="140.0" w:type="dxa"/>
              <w:bottom w:w="100.0" w:type="dxa"/>
              <w:right w:w="140.0" w:type="dxa"/>
            </w:tcMar>
          </w:tcPr>
          <w:p w14:paraId="00000024">
            <w:pPr>
              <w:spacing w:after="200" w:lineRule="auto"/>
              <w:jc w:val="center"/>
              <w:rPr>
                <w:sz w:val="17"/>
                <w:szCs w:val="17"/>
              </w:rPr>
            </w:pPr>
            <w:r>
              <w:rPr>
                <w:color w:val="111111"/>
                <w:sz w:val="17"/>
                <w:szCs w:val="17"/>
                <w:rtl w:val="0"/>
              </w:rPr>
              <w:t xml:space="preserve">Not quantified</w:t>
            </w:r>
            <w:r>
              <w:rPr>
                <w:rtl w:val="0"/>
              </w:rPr>
            </w:r>
          </w:p>
        </w:tc>
        <w:tc>
          <w:tcPr>
            <w:tcMar>
              <w:top w:w="100.0" w:type="dxa"/>
              <w:left w:w="140.0" w:type="dxa"/>
              <w:bottom w:w="100.0" w:type="dxa"/>
              <w:right w:w="140.0" w:type="dxa"/>
            </w:tcMar>
          </w:tcPr>
          <w:p w14:paraId="00000025">
            <w:pPr>
              <w:spacing w:after="200" w:lineRule="auto"/>
              <w:jc w:val="center"/>
              <w:rPr>
                <w:sz w:val="17"/>
                <w:szCs w:val="17"/>
              </w:rPr>
            </w:pPr>
            <w:r>
              <w:rPr>
                <w:color w:val="111111"/>
                <w:sz w:val="17"/>
                <w:szCs w:val="17"/>
                <w:rtl w:val="0"/>
              </w:rPr>
              <w:t xml:space="preserve">Not established</w:t>
            </w:r>
            <w:r>
              <w:rPr>
                <w:rtl w:val="0"/>
              </w:rPr>
            </w:r>
          </w:p>
        </w:tc>
        <w:tc>
          <w:tcPr>
            <w:tcMar>
              <w:top w:w="100.0" w:type="dxa"/>
              <w:left w:w="140.0" w:type="dxa"/>
              <w:bottom w:w="100.0" w:type="dxa"/>
              <w:right w:w="140.0" w:type="dxa"/>
            </w:tcMar>
          </w:tcPr>
          <w:p w14:paraId="00000026">
            <w:pPr>
              <w:spacing w:after="200" w:lineRule="auto"/>
              <w:jc w:val="center"/>
              <w:rPr>
                <w:sz w:val="17"/>
                <w:szCs w:val="17"/>
              </w:rPr>
            </w:pPr>
            <w:r>
              <w:rPr>
                <w:color w:val="111111"/>
                <w:sz w:val="17"/>
                <w:szCs w:val="17"/>
                <w:rtl w:val="0"/>
              </w:rPr>
              <w:t xml:space="preserve">Not calculated</w:t>
            </w:r>
            <w:r>
              <w:rPr>
                <w:rtl w:val="0"/>
              </w:rPr>
            </w:r>
          </w:p>
        </w:tc>
        <w:tc>
          <w:tcPr>
            <w:shd w:fill="ffffff" w:val="clear"/>
            <w:tcMar>
              <w:top w:w="100.0" w:type="dxa"/>
              <w:left w:w="140.0" w:type="dxa"/>
              <w:bottom w:w="100.0" w:type="dxa"/>
              <w:right w:w="140.0" w:type="dxa"/>
            </w:tcMar>
          </w:tcPr>
          <w:p w14:paraId="00000027">
            <w:pPr>
              <w:spacing w:after="200" w:lineRule="auto"/>
              <w:jc w:val="center"/>
              <w:rPr>
                <w:b w:val="1"/>
                <w:bCs w:val="1"/>
                <w:sz w:val="18"/>
                <w:szCs w:val="18"/>
              </w:rPr>
            </w:pPr>
            <w:r>
              <w:rPr>
                <w:b w:val="1"/>
                <w:bCs w:val="1"/>
                <w:color w:val="111111"/>
                <w:sz w:val="18"/>
                <w:szCs w:val="18"/>
                <w:rtl w:val="0"/>
              </w:rPr>
              <w:t xml:space="preserve">Retained and sold units per campaign</w:t>
            </w:r>
            <w:r>
              <w:rPr>
                <w:rtl w:val="0"/>
              </w:rPr>
            </w:r>
          </w:p>
        </w:tc>
      </w:tr>
    </w:tbl>
    <w:p w14:paraId="00000028">
      <w:pPr>
        <w:keepNext w:val="0"/>
        <w:pageBreakBefore w:val="0"/>
        <w:spacing w:after="20" w:before="0" w:line="240" w:lineRule="auto"/>
        <w:rPr/>
      </w:pPr>
      <w:r>
        <w:rPr>
          <w:rtl w:val="0"/>
        </w:rPr>
      </w:r>
    </w:p>
    <w:p w14:paraId="00000029">
      <w:pPr>
        <w:keepNext w:val="0"/>
        <w:pageBreakBefore w:val="0"/>
        <w:pBdr>
          <w:left w:color="111111" w:space="5" w:sz="16" w:val="single"/>
        </w:pBdr>
        <w:shd w:fill="f7f7f7" w:val="clear"/>
        <w:spacing w:after="180" w:before="60" w:line="240" w:lineRule="auto"/>
        <w:ind w:left="140" w:right="140" w:firstLine="0"/>
        <w:rPr/>
      </w:pPr>
      <w:r>
        <w:rPr>
          <w:rFonts w:ascii="Arial" w:cs="Arial" w:eastAsia="Arial" w:hAnsi="Arial"/>
          <w:b w:val="1"/>
          <w:bCs w:val="1"/>
          <w:i w:val="0"/>
          <w:iCs w:val="0"/>
          <w:color w:val="111111"/>
          <w:sz w:val="17"/>
          <w:szCs w:val="17"/>
          <w:rtl w:val="0"/>
        </w:rPr>
        <w:t xml:space="preserve">Capital definitions: </w:t>
      </w:r>
      <w:r>
        <w:rPr>
          <w:rFonts w:ascii="Arial" w:cs="Arial" w:eastAsia="Arial" w:hAnsi="Arial"/>
          <w:b w:val="0"/>
          <w:bCs w:val="0"/>
          <w:i w:val="0"/>
          <w:iCs w:val="0"/>
          <w:color w:val="111111"/>
          <w:sz w:val="17"/>
          <w:szCs w:val="17"/>
          <w:rtl w:val="0"/>
        </w:rPr>
        <w:t xml:space="preserve">Existing equipment does not establish its purchase cost or current debt. No funding request, committed capital or total exposure was supplied. Unknown amounts are not zero. This memo does not authorize expenditure.</w:t>
      </w:r>
      <w:r>
        <w:rPr>
          <w:rtl w:val="0"/>
        </w:rPr>
      </w:r>
    </w:p>
    <w:p w14:paraId="0000002A">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Decision and exposure</w:t>
      </w:r>
      <w:r>
        <w:rPr>
          <w:rtl w:val="0"/>
        </w:rPr>
      </w:r>
    </w:p>
    <w:tbl>
      <w:tblPr>
        <w:tblStyle w:val="Table3"/>
        <w:tblW w:w="9345.0" w:type="dxa"/>
        <w:jc w:val="left"/>
        <w:tblLayout w:type="fixed"/>
        <w:tblLook w:val="0400"/>
      </w:tblPr>
      <w:tblGrid>
        <w:gridCol w:w="2200"/>
        <w:gridCol w:w="1150"/>
        <w:gridCol w:w="3600"/>
        <w:gridCol w:w="2395"/>
        <w:tblGridChange w:id="0">
          <w:tblGrid>
            <w:gridCol w:w="2200"/>
            <w:gridCol w:w="1150"/>
            <w:gridCol w:w="3600"/>
            <w:gridCol w:w="2395"/>
          </w:tblGrid>
        </w:tblGridChange>
      </w:tblGrid>
      <w:tr>
        <w:trPr>
          <w:cantSplit w:val="0"/>
          <w:trHeight w:val="480" w:hRule="atLeast"/>
          <w:tblHeader w:val="1"/>
        </w:trPr>
        <w:tc>
          <w:tcPr>
            <w:tcBorders>
              <w:top w:color="e6e6e6" w:space="0" w:sz="4" w:val="single"/>
              <w:bottom w:color="e6e6e6" w:space="0" w:sz="4" w:val="single"/>
            </w:tcBorders>
            <w:shd w:fill="111111" w:val="clear"/>
            <w:tcMar>
              <w:top w:w="120.0" w:type="dxa"/>
              <w:bottom w:w="120.0" w:type="dxa"/>
            </w:tcMar>
            <w:vAlign w:val="center"/>
          </w:tcPr>
          <w:p w14:paraId="0000002B">
            <w:pPr>
              <w:keepNext w:val="0"/>
              <w:spacing w:after="0" w:before="0" w:line="240" w:lineRule="auto"/>
              <w:jc w:val="center"/>
              <w:rPr/>
            </w:pPr>
            <w:r>
              <w:rPr>
                <w:rFonts w:ascii="Arial" w:cs="Arial" w:eastAsia="Arial" w:hAnsi="Arial"/>
                <w:b w:val="1"/>
                <w:bCs w:val="1"/>
                <w:i w:val="0"/>
                <w:iCs w:val="0"/>
                <w:color w:val="ffffff"/>
                <w:sz w:val="16"/>
                <w:szCs w:val="16"/>
                <w:rtl w:val="0"/>
              </w:rPr>
              <w:t xml:space="preserve">Capital component</w:t>
            </w:r>
            <w:r>
              <w:rPr>
                <w:rtl w:val="0"/>
              </w:rPr>
            </w:r>
          </w:p>
        </w:tc>
        <w:tc>
          <w:tcPr>
            <w:tcBorders>
              <w:top w:color="e6e6e6" w:space="0" w:sz="4" w:val="single"/>
              <w:bottom w:color="e6e6e6" w:space="0" w:sz="4" w:val="single"/>
            </w:tcBorders>
            <w:shd w:fill="111111" w:val="clear"/>
            <w:tcMar>
              <w:top w:w="120.0" w:type="dxa"/>
              <w:bottom w:w="120.0" w:type="dxa"/>
            </w:tcMar>
            <w:vAlign w:val="center"/>
          </w:tcPr>
          <w:p w14:paraId="0000002C">
            <w:pPr>
              <w:keepNext w:val="0"/>
              <w:spacing w:after="0" w:before="0" w:line="240" w:lineRule="auto"/>
              <w:jc w:val="center"/>
              <w:rPr/>
            </w:pPr>
            <w:r>
              <w:rPr>
                <w:rFonts w:ascii="Arial" w:cs="Arial" w:eastAsia="Arial" w:hAnsi="Arial"/>
                <w:b w:val="1"/>
                <w:bCs w:val="1"/>
                <w:i w:val="0"/>
                <w:iCs w:val="0"/>
                <w:color w:val="ffffff"/>
                <w:sz w:val="16"/>
                <w:szCs w:val="16"/>
                <w:rtl w:val="0"/>
              </w:rPr>
              <w:t xml:space="preserve">Amount</w:t>
            </w:r>
            <w:r>
              <w:rPr>
                <w:rtl w:val="0"/>
              </w:rPr>
            </w:r>
          </w:p>
        </w:tc>
        <w:tc>
          <w:tcPr>
            <w:tcBorders>
              <w:top w:color="e6e6e6" w:space="0" w:sz="4" w:val="single"/>
              <w:bottom w:color="e6e6e6" w:space="0" w:sz="4" w:val="single"/>
            </w:tcBorders>
            <w:shd w:fill="111111" w:val="clear"/>
            <w:tcMar>
              <w:top w:w="120.0" w:type="dxa"/>
              <w:bottom w:w="120.0" w:type="dxa"/>
            </w:tcMar>
            <w:vAlign w:val="center"/>
          </w:tcPr>
          <w:p w14:paraId="0000002D">
            <w:pPr>
              <w:keepNext w:val="0"/>
              <w:spacing w:after="0" w:before="0" w:line="240" w:lineRule="auto"/>
              <w:jc w:val="center"/>
              <w:rPr/>
            </w:pPr>
            <w:r>
              <w:rPr>
                <w:rFonts w:ascii="Arial" w:cs="Arial" w:eastAsia="Arial" w:hAnsi="Arial"/>
                <w:b w:val="1"/>
                <w:bCs w:val="1"/>
                <w:i w:val="0"/>
                <w:iCs w:val="0"/>
                <w:color w:val="ffffff"/>
                <w:sz w:val="16"/>
                <w:szCs w:val="16"/>
                <w:rtl w:val="0"/>
              </w:rPr>
              <w:t xml:space="preserve">Authorization / timing</w:t>
            </w:r>
            <w:r>
              <w:rPr>
                <w:rtl w:val="0"/>
              </w:rPr>
            </w:r>
          </w:p>
        </w:tc>
        <w:tc>
          <w:tcPr>
            <w:tcBorders>
              <w:top w:color="e6e6e6" w:space="0" w:sz="4" w:val="single"/>
              <w:bottom w:color="e6e6e6" w:space="0" w:sz="4" w:val="single"/>
            </w:tcBorders>
            <w:shd w:fill="111111" w:val="clear"/>
            <w:tcMar>
              <w:top w:w="120.0" w:type="dxa"/>
              <w:bottom w:w="120.0" w:type="dxa"/>
            </w:tcMar>
            <w:vAlign w:val="center"/>
          </w:tcPr>
          <w:p w14:paraId="0000002E">
            <w:pPr>
              <w:keepNext w:val="0"/>
              <w:spacing w:after="0" w:before="0" w:line="240" w:lineRule="auto"/>
              <w:jc w:val="center"/>
              <w:rPr/>
            </w:pPr>
            <w:r>
              <w:rPr>
                <w:rFonts w:ascii="Arial" w:cs="Arial" w:eastAsia="Arial" w:hAnsi="Arial"/>
                <w:b w:val="1"/>
                <w:bCs w:val="1"/>
                <w:i w:val="0"/>
                <w:iCs w:val="0"/>
                <w:color w:val="ffffff"/>
                <w:sz w:val="16"/>
                <w:szCs w:val="16"/>
                <w:rtl w:val="0"/>
              </w:rPr>
              <w:t xml:space="preserve">Included in returns?</w:t>
            </w:r>
            <w:r>
              <w:rPr>
                <w:rtl w:val="0"/>
              </w:rPr>
            </w:r>
          </w:p>
        </w:tc>
      </w:tr>
      <w:tr>
        <w:trPr>
          <w:cantSplit w:val="1"/>
          <w:trHeight w:val="440" w:hRule="atLeast"/>
          <w:tblHeader w:val="0"/>
        </w:trPr>
        <w:tc>
          <w:tcPr>
            <w:tcBorders>
              <w:top w:color="e6e6e6" w:space="0" w:sz="4" w:val="single"/>
              <w:bottom w:color="e6e6e6" w:space="0" w:sz="4" w:val="single"/>
            </w:tcBorders>
            <w:shd w:fill="f7f7f7" w:val="clear"/>
            <w:tcMar>
              <w:top w:w="100.0" w:type="dxa"/>
              <w:bottom w:w="100.0" w:type="dxa"/>
            </w:tcMar>
            <w:vAlign w:val="center"/>
          </w:tcPr>
          <w:p w14:paraId="0000002F">
            <w:pPr>
              <w:keepNext w:val="0"/>
              <w:spacing w:after="0" w:before="0" w:line="240" w:lineRule="auto"/>
              <w:jc w:val="left"/>
              <w:rPr/>
            </w:pPr>
            <w:r>
              <w:rPr>
                <w:rFonts w:ascii="Arial" w:cs="Arial" w:eastAsia="Arial" w:hAnsi="Arial"/>
                <w:b w:val="0"/>
                <w:bCs w:val="0"/>
                <w:i w:val="0"/>
                <w:iCs w:val="0"/>
                <w:color w:val="111111"/>
                <w:sz w:val="16"/>
                <w:szCs w:val="16"/>
                <w:rtl w:val="0"/>
              </w:rPr>
              <w:t xml:space="preserve">Current commitment</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30">
            <w:pPr>
              <w:keepNext w:val="0"/>
              <w:spacing w:after="0" w:before="0" w:line="240" w:lineRule="auto"/>
              <w:jc w:val="right"/>
              <w:rPr/>
            </w:pPr>
            <w:r>
              <w:rPr>
                <w:rFonts w:ascii="Arial" w:cs="Arial" w:eastAsia="Arial" w:hAnsi="Arial"/>
                <w:b w:val="0"/>
                <w:bCs w:val="0"/>
                <w:i w:val="0"/>
                <w:iCs w:val="0"/>
                <w:color w:val="111111"/>
                <w:sz w:val="16"/>
                <w:szCs w:val="16"/>
                <w:rtl w:val="0"/>
              </w:rPr>
              <w:t xml:space="preserve">Unknown</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31">
            <w:pPr>
              <w:keepNext w:val="0"/>
              <w:spacing w:after="0" w:before="0" w:line="240" w:lineRule="auto"/>
              <w:jc w:val="left"/>
              <w:rPr/>
            </w:pPr>
            <w:r>
              <w:rPr>
                <w:rFonts w:ascii="Arial" w:cs="Arial" w:eastAsia="Arial" w:hAnsi="Arial"/>
                <w:b w:val="0"/>
                <w:bCs w:val="0"/>
                <w:i w:val="0"/>
                <w:iCs w:val="0"/>
                <w:color w:val="111111"/>
                <w:sz w:val="16"/>
                <w:szCs w:val="16"/>
                <w:rtl w:val="0"/>
              </w:rPr>
              <w:t xml:space="preserve">Owner records required</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32">
            <w:pPr>
              <w:keepNext w:val="0"/>
              <w:spacing w:after="0" w:before="0" w:line="240" w:lineRule="auto"/>
              <w:jc w:val="left"/>
              <w:rPr/>
            </w:pPr>
            <w:r>
              <w:rPr>
                <w:rFonts w:ascii="Arial" w:cs="Arial" w:eastAsia="Arial" w:hAnsi="Arial"/>
                <w:b w:val="0"/>
                <w:bCs w:val="0"/>
                <w:i w:val="0"/>
                <w:iCs w:val="0"/>
                <w:color w:val="111111"/>
                <w:sz w:val="16"/>
                <w:szCs w:val="16"/>
                <w:rtl w:val="0"/>
              </w:rPr>
              <w:t xml:space="preserve">No return model</w:t>
            </w:r>
            <w:r>
              <w:rPr>
                <w:rtl w:val="0"/>
              </w:rPr>
            </w:r>
          </w:p>
        </w:tc>
      </w:tr>
      <w:tr>
        <w:trPr>
          <w:cantSplit w:val="1"/>
          <w:trHeight w:val="440" w:hRule="atLeast"/>
          <w:tblHeader w:val="0"/>
        </w:trPr>
        <w:tc>
          <w:tcPr>
            <w:tcBorders>
              <w:top w:color="e6e6e6" w:space="0" w:sz="4" w:val="single"/>
              <w:bottom w:color="e6e6e6" w:space="0" w:sz="4" w:val="single"/>
            </w:tcBorders>
            <w:shd w:fill="ffffff" w:val="clear"/>
            <w:tcMar>
              <w:top w:w="100.0" w:type="dxa"/>
              <w:bottom w:w="100.0" w:type="dxa"/>
            </w:tcMar>
            <w:vAlign w:val="center"/>
          </w:tcPr>
          <w:p w14:paraId="00000033">
            <w:pPr>
              <w:keepNext w:val="0"/>
              <w:spacing w:after="0" w:before="0" w:line="240" w:lineRule="auto"/>
              <w:jc w:val="left"/>
              <w:rPr/>
            </w:pPr>
            <w:r>
              <w:rPr>
                <w:rFonts w:ascii="Arial" w:cs="Arial" w:eastAsia="Arial" w:hAnsi="Arial"/>
                <w:b w:val="0"/>
                <w:bCs w:val="0"/>
                <w:i w:val="0"/>
                <w:iCs w:val="0"/>
                <w:color w:val="111111"/>
                <w:sz w:val="16"/>
                <w:szCs w:val="16"/>
                <w:rtl w:val="0"/>
              </w:rPr>
              <w:t xml:space="preserve">Amount requested now</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34">
            <w:pPr>
              <w:keepNext w:val="0"/>
              <w:spacing w:after="0" w:before="0" w:line="240" w:lineRule="auto"/>
              <w:jc w:val="right"/>
              <w:rPr/>
            </w:pPr>
            <w:r>
              <w:rPr>
                <w:rFonts w:ascii="Arial" w:cs="Arial" w:eastAsia="Arial" w:hAnsi="Arial"/>
                <w:b w:val="0"/>
                <w:bCs w:val="0"/>
                <w:i w:val="0"/>
                <w:iCs w:val="0"/>
                <w:color w:val="111111"/>
                <w:sz w:val="16"/>
                <w:szCs w:val="16"/>
                <w:rtl w:val="0"/>
              </w:rPr>
              <w:t xml:space="preserve">Not supplied</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35">
            <w:pPr>
              <w:keepNext w:val="0"/>
              <w:spacing w:after="0" w:before="0" w:line="240" w:lineRule="auto"/>
              <w:jc w:val="left"/>
              <w:rPr/>
            </w:pPr>
            <w:r>
              <w:rPr>
                <w:rFonts w:ascii="Arial" w:cs="Arial" w:eastAsia="Arial" w:hAnsi="Arial"/>
                <w:b w:val="0"/>
                <w:bCs w:val="0"/>
                <w:i w:val="0"/>
                <w:iCs w:val="0"/>
                <w:color w:val="111111"/>
                <w:sz w:val="16"/>
                <w:szCs w:val="16"/>
                <w:rtl w:val="0"/>
              </w:rPr>
              <w:t xml:space="preserve">No funding request assessed</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36">
            <w:pPr>
              <w:keepNext w:val="0"/>
              <w:spacing w:after="0" w:before="0" w:line="240" w:lineRule="auto"/>
              <w:jc w:val="left"/>
              <w:rPr/>
            </w:pPr>
            <w:r>
              <w:rPr>
                <w:rFonts w:ascii="Arial" w:cs="Arial" w:eastAsia="Arial" w:hAnsi="Arial"/>
                <w:b w:val="0"/>
                <w:bCs w:val="0"/>
                <w:i w:val="0"/>
                <w:iCs w:val="0"/>
                <w:color w:val="111111"/>
                <w:sz w:val="16"/>
                <w:szCs w:val="16"/>
                <w:rtl w:val="0"/>
              </w:rPr>
              <w:t xml:space="preserve">No return model</w:t>
            </w:r>
            <w:r>
              <w:rPr>
                <w:rtl w:val="0"/>
              </w:rPr>
            </w:r>
          </w:p>
        </w:tc>
      </w:tr>
      <w:tr>
        <w:trPr>
          <w:cantSplit w:val="1"/>
          <w:trHeight w:val="440" w:hRule="atLeast"/>
          <w:tblHeader w:val="0"/>
        </w:trPr>
        <w:tc>
          <w:tcPr>
            <w:tcBorders>
              <w:top w:color="e6e6e6" w:space="0" w:sz="4" w:val="single"/>
              <w:bottom w:color="e6e6e6" w:space="0" w:sz="4" w:val="single"/>
            </w:tcBorders>
            <w:shd w:fill="f7f7f7" w:val="clear"/>
            <w:tcMar>
              <w:top w:w="100.0" w:type="dxa"/>
              <w:bottom w:w="100.0" w:type="dxa"/>
            </w:tcMar>
            <w:vAlign w:val="center"/>
          </w:tcPr>
          <w:p w14:paraId="00000037">
            <w:pPr>
              <w:keepNext w:val="0"/>
              <w:spacing w:after="0" w:before="0" w:line="240" w:lineRule="auto"/>
              <w:jc w:val="left"/>
              <w:rPr/>
            </w:pPr>
            <w:r>
              <w:rPr>
                <w:rFonts w:ascii="Arial" w:cs="Arial" w:eastAsia="Arial" w:hAnsi="Arial"/>
                <w:b w:val="0"/>
                <w:bCs w:val="0"/>
                <w:i w:val="0"/>
                <w:iCs w:val="0"/>
                <w:color w:val="111111"/>
                <w:sz w:val="16"/>
                <w:szCs w:val="16"/>
                <w:rtl w:val="0"/>
              </w:rPr>
              <w:t xml:space="preserve">Conditional future capital</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38">
            <w:pPr>
              <w:keepNext w:val="0"/>
              <w:spacing w:after="0" w:before="0" w:line="240" w:lineRule="auto"/>
              <w:jc w:val="right"/>
              <w:rPr/>
            </w:pPr>
            <w:r>
              <w:rPr>
                <w:rFonts w:ascii="Arial" w:cs="Arial" w:eastAsia="Arial" w:hAnsi="Arial"/>
                <w:b w:val="0"/>
                <w:bCs w:val="0"/>
                <w:i w:val="0"/>
                <w:iCs w:val="0"/>
                <w:color w:val="111111"/>
                <w:sz w:val="16"/>
                <w:szCs w:val="16"/>
                <w:rtl w:val="0"/>
              </w:rPr>
              <w:t xml:space="preserve">Unknown</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39">
            <w:pPr>
              <w:keepNext w:val="0"/>
              <w:spacing w:after="0" w:before="0" w:line="240" w:lineRule="auto"/>
              <w:jc w:val="left"/>
              <w:rPr/>
            </w:pPr>
            <w:r>
              <w:rPr>
                <w:rFonts w:ascii="Arial" w:cs="Arial" w:eastAsia="Arial" w:hAnsi="Arial"/>
                <w:b w:val="0"/>
                <w:bCs w:val="0"/>
                <w:i w:val="0"/>
                <w:iCs w:val="0"/>
                <w:color w:val="111111"/>
                <w:sz w:val="16"/>
                <w:szCs w:val="16"/>
                <w:rtl w:val="0"/>
              </w:rPr>
              <w:t xml:space="preserve">After trials and budget review</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3A">
            <w:pPr>
              <w:keepNext w:val="0"/>
              <w:spacing w:after="0" w:before="0" w:line="240" w:lineRule="auto"/>
              <w:jc w:val="left"/>
              <w:rPr/>
            </w:pPr>
            <w:r>
              <w:rPr>
                <w:rFonts w:ascii="Arial" w:cs="Arial" w:eastAsia="Arial" w:hAnsi="Arial"/>
                <w:b w:val="0"/>
                <w:bCs w:val="0"/>
                <w:i w:val="0"/>
                <w:iCs w:val="0"/>
                <w:color w:val="111111"/>
                <w:sz w:val="16"/>
                <w:szCs w:val="16"/>
                <w:rtl w:val="0"/>
              </w:rPr>
              <w:t xml:space="preserve">Not quantified</w:t>
            </w:r>
            <w:r>
              <w:rPr>
                <w:rtl w:val="0"/>
              </w:rPr>
            </w:r>
          </w:p>
        </w:tc>
      </w:tr>
      <w:tr>
        <w:trPr>
          <w:cantSplit w:val="1"/>
          <w:trHeight w:val="440" w:hRule="atLeast"/>
          <w:tblHeader w:val="0"/>
        </w:trPr>
        <w:tc>
          <w:tcPr>
            <w:tcBorders>
              <w:top w:color="e6e6e6" w:space="0" w:sz="4" w:val="single"/>
              <w:bottom w:color="e6e6e6" w:space="0" w:sz="4" w:val="single"/>
            </w:tcBorders>
            <w:shd w:fill="111111" w:val="clear"/>
            <w:tcMar>
              <w:top w:w="100.0" w:type="dxa"/>
              <w:bottom w:w="100.0" w:type="dxa"/>
            </w:tcMar>
            <w:vAlign w:val="center"/>
          </w:tcPr>
          <w:p w14:paraId="0000003B">
            <w:pPr>
              <w:keepNext w:val="0"/>
              <w:spacing w:after="0" w:before="0" w:line="240" w:lineRule="auto"/>
              <w:jc w:val="left"/>
              <w:rPr/>
            </w:pPr>
            <w:r>
              <w:rPr>
                <w:rFonts w:ascii="Arial" w:cs="Arial" w:eastAsia="Arial" w:hAnsi="Arial"/>
                <w:b w:val="1"/>
                <w:bCs w:val="1"/>
                <w:i w:val="0"/>
                <w:iCs w:val="0"/>
                <w:color w:val="ffffff"/>
                <w:sz w:val="16"/>
                <w:szCs w:val="16"/>
                <w:rtl w:val="0"/>
              </w:rPr>
              <w:t xml:space="preserve">Total potential exposure</w:t>
            </w:r>
            <w:r>
              <w:rPr>
                <w:rtl w:val="0"/>
              </w:rPr>
            </w:r>
          </w:p>
        </w:tc>
        <w:tc>
          <w:tcPr>
            <w:tcBorders>
              <w:top w:color="e6e6e6" w:space="0" w:sz="4" w:val="single"/>
              <w:bottom w:color="e6e6e6" w:space="0" w:sz="4" w:val="single"/>
            </w:tcBorders>
            <w:shd w:fill="111111" w:val="clear"/>
            <w:tcMar>
              <w:top w:w="100.0" w:type="dxa"/>
              <w:bottom w:w="100.0" w:type="dxa"/>
            </w:tcMar>
            <w:vAlign w:val="center"/>
          </w:tcPr>
          <w:p w14:paraId="0000003C">
            <w:pPr>
              <w:keepNext w:val="0"/>
              <w:spacing w:after="0" w:before="0" w:line="240" w:lineRule="auto"/>
              <w:jc w:val="right"/>
              <w:rPr/>
            </w:pPr>
            <w:r>
              <w:rPr>
                <w:rFonts w:ascii="Arial" w:cs="Arial" w:eastAsia="Arial" w:hAnsi="Arial"/>
                <w:b w:val="1"/>
                <w:bCs w:val="1"/>
                <w:i w:val="0"/>
                <w:iCs w:val="0"/>
                <w:color w:val="ffffff"/>
                <w:sz w:val="16"/>
                <w:szCs w:val="16"/>
                <w:rtl w:val="0"/>
              </w:rPr>
              <w:t xml:space="preserve">Unknown</w:t>
            </w:r>
            <w:r>
              <w:rPr>
                <w:rtl w:val="0"/>
              </w:rPr>
            </w:r>
          </w:p>
        </w:tc>
        <w:tc>
          <w:tcPr>
            <w:tcBorders>
              <w:top w:color="e6e6e6" w:space="0" w:sz="4" w:val="single"/>
              <w:bottom w:color="e6e6e6" w:space="0" w:sz="4" w:val="single"/>
            </w:tcBorders>
            <w:shd w:fill="111111" w:val="clear"/>
            <w:tcMar>
              <w:top w:w="100.0" w:type="dxa"/>
              <w:bottom w:w="100.0" w:type="dxa"/>
            </w:tcMar>
            <w:vAlign w:val="center"/>
          </w:tcPr>
          <w:p w14:paraId="0000003D">
            <w:pPr>
              <w:keepNext w:val="0"/>
              <w:spacing w:after="0" w:before="0" w:line="240" w:lineRule="auto"/>
              <w:jc w:val="left"/>
              <w:rPr/>
            </w:pPr>
            <w:r>
              <w:rPr>
                <w:rFonts w:ascii="Arial" w:cs="Arial" w:eastAsia="Arial" w:hAnsi="Arial"/>
                <w:b w:val="1"/>
                <w:bCs w:val="1"/>
                <w:i w:val="0"/>
                <w:iCs w:val="0"/>
                <w:color w:val="ffffff"/>
                <w:sz w:val="16"/>
                <w:szCs w:val="16"/>
                <w:rtl w:val="0"/>
              </w:rPr>
              <w:t xml:space="preserve">Requires complete capital schedule</w:t>
            </w:r>
            <w:r>
              <w:rPr>
                <w:rtl w:val="0"/>
              </w:rPr>
            </w:r>
          </w:p>
        </w:tc>
        <w:tc>
          <w:tcPr>
            <w:tcBorders>
              <w:top w:color="e6e6e6" w:space="0" w:sz="4" w:val="single"/>
              <w:bottom w:color="e6e6e6" w:space="0" w:sz="4" w:val="single"/>
            </w:tcBorders>
            <w:shd w:fill="111111" w:val="clear"/>
            <w:tcMar>
              <w:top w:w="100.0" w:type="dxa"/>
              <w:bottom w:w="100.0" w:type="dxa"/>
            </w:tcMar>
            <w:vAlign w:val="center"/>
          </w:tcPr>
          <w:p w14:paraId="0000003E">
            <w:pPr>
              <w:keepNext w:val="0"/>
              <w:spacing w:after="0" w:before="0" w:line="240" w:lineRule="auto"/>
              <w:jc w:val="left"/>
              <w:rPr/>
            </w:pPr>
            <w:r>
              <w:rPr>
                <w:rFonts w:ascii="Arial" w:cs="Arial" w:eastAsia="Arial" w:hAnsi="Arial"/>
                <w:b w:val="1"/>
                <w:bCs w:val="1"/>
                <w:i w:val="0"/>
                <w:iCs w:val="0"/>
                <w:color w:val="ffffff"/>
                <w:sz w:val="16"/>
                <w:szCs w:val="16"/>
                <w:rtl w:val="0"/>
              </w:rPr>
              <w:t xml:space="preserve">No return model</w:t>
            </w:r>
            <w:r>
              <w:rPr>
                <w:rtl w:val="0"/>
              </w:rPr>
            </w:r>
          </w:p>
        </w:tc>
      </w:tr>
    </w:tbl>
    <w:p w14:paraId="0000003F">
      <w:pPr>
        <w:keepNext w:val="0"/>
        <w:pageBreakBefore w:val="0"/>
        <w:spacing w:after="20" w:before="0" w:line="240" w:lineRule="auto"/>
        <w:rPr/>
      </w:pPr>
      <w:r>
        <w:rPr>
          <w:rtl w:val="0"/>
        </w:rPr>
      </w:r>
    </w:p>
    <w:p w14:paraId="00000040">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Underwriting at a glance</w:t>
      </w:r>
      <w:r>
        <w:rPr>
          <w:rtl w:val="0"/>
        </w:rPr>
      </w:r>
    </w:p>
    <w:p w14:paraId="00000041">
      <w:pPr>
        <w:keepNext w:val="0"/>
        <w:pageBreakBefore w:val="0"/>
        <w:numPr>
          <w:ilvl w:val="0"/>
          <w:numId w:val="1"/>
        </w:numPr>
        <w:spacing w:after="100" w:before="20" w:line="240" w:lineRule="auto"/>
        <w:ind w:left="720" w:hanging="360"/>
        <w:rPr/>
      </w:pPr>
      <w:r>
        <w:rPr>
          <w:rFonts w:ascii="Arial" w:cs="Arial" w:eastAsia="Arial" w:hAnsi="Arial"/>
          <w:b w:val="1"/>
          <w:bCs w:val="1"/>
          <w:i w:val="0"/>
          <w:iCs w:val="0"/>
          <w:color w:val="111111"/>
          <w:sz w:val="18"/>
          <w:szCs w:val="18"/>
          <w:rtl w:val="0"/>
        </w:rPr>
        <w:t xml:space="preserve">Why invest? </w:t>
      </w:r>
      <w:r>
        <w:rPr>
          <w:rFonts w:ascii="Arial" w:cs="Arial" w:eastAsia="Arial" w:hAnsi="Arial"/>
          <w:b w:val="0"/>
          <w:bCs w:val="0"/>
          <w:i w:val="0"/>
          <w:iCs w:val="0"/>
          <w:color w:val="111111"/>
          <w:sz w:val="18"/>
          <w:szCs w:val="18"/>
          <w:rtl w:val="0"/>
        </w:rPr>
        <w:t xml:space="preserve">A central production site and retail finishing site may support repeatable quality and replenishment if actual demand covers the full operating cost.</w:t>
      </w:r>
      <w:r>
        <w:rPr>
          <w:rtl w:val="0"/>
        </w:rPr>
      </w:r>
    </w:p>
    <w:p w14:paraId="00000042">
      <w:pPr>
        <w:keepNext w:val="0"/>
        <w:pageBreakBefore w:val="0"/>
        <w:numPr>
          <w:ilvl w:val="0"/>
          <w:numId w:val="1"/>
        </w:numPr>
        <w:spacing w:after="100" w:before="20" w:line="240" w:lineRule="auto"/>
        <w:ind w:left="720" w:hanging="360"/>
        <w:rPr/>
      </w:pPr>
      <w:r>
        <w:rPr>
          <w:rFonts w:ascii="Arial" w:cs="Arial" w:eastAsia="Arial" w:hAnsi="Arial"/>
          <w:b w:val="1"/>
          <w:bCs w:val="1"/>
          <w:i w:val="0"/>
          <w:iCs w:val="0"/>
          <w:color w:val="111111"/>
          <w:sz w:val="18"/>
          <w:szCs w:val="18"/>
          <w:rtl w:val="0"/>
        </w:rPr>
        <w:t xml:space="preserve">What supports the case? </w:t>
      </w:r>
      <w:r>
        <w:rPr>
          <w:rFonts w:ascii="Arial" w:cs="Arial" w:eastAsia="Arial" w:hAnsi="Arial"/>
          <w:b w:val="0"/>
          <w:bCs w:val="0"/>
          <w:i w:val="0"/>
          <w:iCs w:val="0"/>
          <w:color w:val="111111"/>
          <w:sz w:val="18"/>
          <w:szCs w:val="18"/>
          <w:rtl w:val="0"/>
        </w:rPr>
        <w:t xml:space="preserve">Owner-supplied equipment details and purchase prices, 138 documented working recipe cards, and a recalculated baguette scheduling model.</w:t>
      </w:r>
      <w:r>
        <w:rPr>
          <w:rtl w:val="0"/>
        </w:rPr>
      </w:r>
    </w:p>
    <w:p w14:paraId="00000043">
      <w:pPr>
        <w:keepNext w:val="0"/>
        <w:pageBreakBefore w:val="0"/>
        <w:numPr>
          <w:ilvl w:val="0"/>
          <w:numId w:val="1"/>
        </w:numPr>
        <w:spacing w:after="100" w:before="20" w:line="240" w:lineRule="auto"/>
        <w:ind w:left="720" w:hanging="360"/>
        <w:rPr/>
      </w:pPr>
      <w:r>
        <w:rPr>
          <w:rFonts w:ascii="Arial" w:cs="Arial" w:eastAsia="Arial" w:hAnsi="Arial"/>
          <w:b w:val="1"/>
          <w:bCs w:val="1"/>
          <w:i w:val="0"/>
          <w:iCs w:val="0"/>
          <w:color w:val="111111"/>
          <w:sz w:val="18"/>
          <w:szCs w:val="18"/>
          <w:rtl w:val="0"/>
        </w:rPr>
        <w:t xml:space="preserve">What could break it? </w:t>
      </w:r>
      <w:r>
        <w:rPr>
          <w:rFonts w:ascii="Arial" w:cs="Arial" w:eastAsia="Arial" w:hAnsi="Arial"/>
          <w:b w:val="0"/>
          <w:bCs w:val="0"/>
          <w:i w:val="0"/>
          <w:iCs w:val="0"/>
          <w:color w:val="111111"/>
          <w:sz w:val="18"/>
          <w:szCs w:val="18"/>
          <w:rtl w:val="0"/>
        </w:rPr>
        <w:t xml:space="preserve">Insufficient sales, unqualified equipment or staffing, delayed cooling and delivery, or recipes based on an unidentified ingredient.</w:t>
      </w:r>
      <w:r>
        <w:rPr>
          <w:rtl w:val="0"/>
        </w:rPr>
      </w:r>
    </w:p>
    <w:p w14:paraId="00000044">
      <w:pPr>
        <w:keepNext w:val="0"/>
        <w:pageBreakBefore w:val="0"/>
        <w:numPr>
          <w:ilvl w:val="0"/>
          <w:numId w:val="1"/>
        </w:numPr>
        <w:spacing w:after="100" w:before="20" w:line="240" w:lineRule="auto"/>
        <w:ind w:left="720" w:hanging="360"/>
        <w:rPr/>
      </w:pPr>
      <w:r>
        <w:rPr>
          <w:rFonts w:ascii="Arial" w:cs="Arial" w:eastAsia="Arial" w:hAnsi="Arial"/>
          <w:b w:val="1"/>
          <w:bCs w:val="1"/>
          <w:i w:val="0"/>
          <w:iCs w:val="0"/>
          <w:color w:val="111111"/>
          <w:sz w:val="18"/>
          <w:szCs w:val="18"/>
          <w:rtl w:val="0"/>
        </w:rPr>
        <w:t xml:space="preserve">Do terms and returns compensate for risk? </w:t>
      </w:r>
      <w:r>
        <w:rPr>
          <w:rFonts w:ascii="Arial" w:cs="Arial" w:eastAsia="Arial" w:hAnsi="Arial"/>
          <w:b w:val="0"/>
          <w:bCs w:val="0"/>
          <w:i w:val="0"/>
          <w:iCs w:val="0"/>
          <w:color w:val="111111"/>
          <w:sz w:val="18"/>
          <w:szCs w:val="18"/>
          <w:rtl w:val="0"/>
        </w:rPr>
        <w:t xml:space="preserve">This cannot be assessed: investment terms, financial accounts, selling prices and full costs were not provided.</w:t>
      </w:r>
      <w:r>
        <w:rPr>
          <w:rtl w:val="0"/>
        </w:rPr>
      </w:r>
    </w:p>
    <w:p w14:paraId="00000045">
      <w:pPr>
        <w:keepNext w:val="0"/>
        <w:pageBreakBefore w:val="0"/>
        <w:spacing w:after="160" w:before="60" w:line="240" w:lineRule="auto"/>
        <w:rPr/>
      </w:pPr>
      <w:r>
        <w:rPr>
          <w:rFonts w:ascii="Arial" w:cs="Arial" w:eastAsia="Arial" w:hAnsi="Arial"/>
          <w:b w:val="1"/>
          <w:bCs w:val="1"/>
          <w:i w:val="0"/>
          <w:iCs w:val="0"/>
          <w:color w:val="111111"/>
          <w:sz w:val="18"/>
          <w:szCs w:val="18"/>
          <w:rtl w:val="0"/>
        </w:rPr>
        <w:t xml:space="preserve">Key highlights: </w:t>
      </w:r>
      <w:r>
        <w:rPr>
          <w:rFonts w:ascii="Arial" w:cs="Arial" w:eastAsia="Arial" w:hAnsi="Arial"/>
          <w:b w:val="0"/>
          <w:bCs w:val="0"/>
          <w:i w:val="0"/>
          <w:iCs w:val="0"/>
          <w:color w:val="111111"/>
          <w:sz w:val="18"/>
          <w:szCs w:val="18"/>
          <w:rtl w:val="0"/>
        </w:rPr>
        <w:t xml:space="preserve">Source-traceable recipes; an editable production model; a documented EDC correction.</w:t>
      </w:r>
      <w:r>
        <w:rPr>
          <w:rtl w:val="0"/>
        </w:rPr>
      </w:r>
    </w:p>
    <w:p w14:paraId="00000046">
      <w:pPr>
        <w:keepNext w:val="0"/>
        <w:pageBreakBefore w:val="0"/>
        <w:spacing w:after="160" w:before="60" w:line="240" w:lineRule="auto"/>
        <w:rPr/>
      </w:pPr>
      <w:r>
        <w:rPr>
          <w:rFonts w:ascii="Arial" w:cs="Arial" w:eastAsia="Arial" w:hAnsi="Arial"/>
          <w:b w:val="1"/>
          <w:bCs w:val="1"/>
          <w:i w:val="0"/>
          <w:iCs w:val="0"/>
          <w:color w:val="111111"/>
          <w:sz w:val="18"/>
          <w:szCs w:val="18"/>
          <w:rtl w:val="0"/>
        </w:rPr>
        <w:t xml:space="preserve">Top risks: </w:t>
      </w:r>
      <w:r>
        <w:rPr>
          <w:rFonts w:ascii="Arial" w:cs="Arial" w:eastAsia="Arial" w:hAnsi="Arial"/>
          <w:b w:val="0"/>
          <w:bCs w:val="0"/>
          <w:i w:val="0"/>
          <w:iCs w:val="0"/>
          <w:color w:val="111111"/>
          <w:sz w:val="18"/>
          <w:szCs w:val="18"/>
          <w:rtl w:val="0"/>
        </w:rPr>
        <w:t xml:space="preserve">Unproven throughput and demand; incomplete operating costs; unresolved ingredient identity.</w:t>
      </w:r>
      <w:r>
        <w:rPr>
          <w:rtl w:val="0"/>
        </w:rPr>
      </w:r>
    </w:p>
    <w:p w14:paraId="00000047">
      <w:pPr>
        <w:pStyle w:val="Heading1"/>
        <w:keepNext w:val="1"/>
        <w:pageBreakBefore w:val="1"/>
        <w:spacing w:after="200" w:before="320" w:line="240" w:lineRule="auto"/>
        <w:rPr/>
      </w:pPr>
      <w:r>
        <w:rPr>
          <w:rFonts w:ascii="Arial" w:cs="Arial" w:eastAsia="Arial" w:hAnsi="Arial"/>
          <w:b w:val="1"/>
          <w:bCs w:val="1"/>
          <w:i w:val="0"/>
          <w:iCs w:val="0"/>
          <w:color w:val="111111"/>
          <w:sz w:val="22"/>
          <w:szCs w:val="22"/>
          <w:rtl w:val="0"/>
        </w:rPr>
        <w:t xml:space="preserve">2.   Investment Thesis</w:t>
      </w:r>
      <w:r>
        <w:rPr>
          <w:rtl w:val="0"/>
        </w:rPr>
      </w:r>
    </w:p>
    <w:p w14:paraId="00000048">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Consistent daily production</w:t>
      </w:r>
      <w:r>
        <w:rPr>
          <w:rtl w:val="0"/>
        </w:rPr>
      </w:r>
    </w:p>
    <w:p w14:paraId="00000049">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The operating hypothesis is that controlled batch sizes and scheduled dispatch can improve product consistency. The H2 planner provides explicit clocks and resource assumptions, not measured factory output. Three acceptable independent campaigns should establish a repeatable baseline before scaling. [R1, R2]</w:t>
      </w:r>
      <w:r>
        <w:rPr>
          <w:rtl w:val="0"/>
        </w:rPr>
      </w:r>
    </w:p>
    <w:p w14:paraId="0000004A">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Shared production with measured retail demand</w:t>
      </w:r>
      <w:r>
        <w:rPr>
          <w:rtl w:val="0"/>
        </w:rPr>
      </w:r>
    </w:p>
    <w:p w14:paraId="0000004B">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Facility A prepares breads, fillings and other products; Facility B handles specified retail finishing and assembly. This can simplify standardization, but cooling, transport, retail staging and unsold goods remain costs and capacity constraints. The proposed programme must be matched to recorded orders and sell-through. [R1, R2]</w:t>
      </w:r>
      <w:r>
        <w:rPr>
          <w:rtl w:val="0"/>
        </w:rPr>
      </w:r>
    </w:p>
    <w:p w14:paraId="0000004C">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A controlled recipe portfolio</w:t>
      </w:r>
      <w:r>
        <w:rPr>
          <w:rtl w:val="0"/>
        </w:rPr>
      </w:r>
    </w:p>
    <w:p w14:paraId="0000004D">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The anthology contains 138 working recipe or component cards, with separate historical and research records. These counts are not unique commercial products or proven successes. H3 corrects two working cards and 92 historical variants affected by EDC being treated as margarine; EDC remains unidentified. [R1, R3]</w:t>
      </w:r>
      <w:r>
        <w:rPr>
          <w:rtl w:val="0"/>
        </w:rPr>
      </w:r>
    </w:p>
    <w:p w14:paraId="0000004E">
      <w:pPr>
        <w:pStyle w:val="Heading1"/>
        <w:keepNext w:val="1"/>
        <w:pageBreakBefore w:val="0"/>
        <w:spacing w:after="200" w:before="320" w:line="240" w:lineRule="auto"/>
        <w:rPr/>
      </w:pPr>
      <w:r>
        <w:rPr>
          <w:rFonts w:ascii="Arial" w:cs="Arial" w:eastAsia="Arial" w:hAnsi="Arial"/>
          <w:b w:val="1"/>
          <w:bCs w:val="1"/>
          <w:i w:val="0"/>
          <w:iCs w:val="0"/>
          <w:color w:val="111111"/>
          <w:sz w:val="22"/>
          <w:szCs w:val="22"/>
          <w:rtl w:val="0"/>
        </w:rPr>
        <w:t xml:space="preserve">3.   Company and Product</w:t>
      </w:r>
      <w:r>
        <w:rPr>
          <w:rtl w:val="0"/>
        </w:rPr>
      </w:r>
    </w:p>
    <w:p w14:paraId="0000004F">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Business overview</w:t>
      </w:r>
      <w:r>
        <w:rPr>
          <w:rtl w:val="0"/>
        </w:rPr>
      </w:r>
    </w:p>
    <w:p w14:paraId="00000050">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The project is a bakery and associated food operation for Nkambe in Cameroon. The documented scope includes breads, pastries, cakes, biscuits, doughnuts, savoury foods, fillings, sauces, drinks and frozen desserts. The sources establish a proposed operating system; they do not establish an audited trading history or verified investment value.</w:t>
      </w:r>
      <w:r>
        <w:rPr>
          <w:rtl w:val="0"/>
        </w:rPr>
      </w:r>
    </w:p>
    <w:p w14:paraId="00000051">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Product and customer value</w:t>
      </w:r>
      <w:r>
        <w:rPr>
          <w:rtl w:val="0"/>
        </w:rPr>
      </w:r>
    </w:p>
    <w:p w14:paraId="00000052">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The intended customer benefit is reliable everyday products and convenient prepared food. Recipe standards, portion control and timely replenishment are proposed means of delivering that benefit. Customer preference, willingness to pay and repeat purchasing still need direct measurement.</w:t>
      </w:r>
      <w:r>
        <w:rPr>
          <w:rtl w:val="0"/>
        </w:rPr>
      </w:r>
    </w:p>
    <w:p w14:paraId="00000053">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Customer and use case</w:t>
      </w:r>
      <w:r>
        <w:rPr>
          <w:rtl w:val="0"/>
        </w:rPr>
      </w:r>
    </w:p>
    <w:p w14:paraId="00000054">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Potential use cases include household bread purchases, individual snacks and preordered food. No segment size, signed supply contract or customer concentration data was supplied. Record purchases and returns by product, outlet and time before allocating higher production volumes.</w:t>
      </w:r>
      <w:r>
        <w:rPr>
          <w:rtl w:val="0"/>
        </w:rPr>
      </w:r>
    </w:p>
    <w:p w14:paraId="00000055">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Differentiation and defensibility</w:t>
      </w:r>
      <w:r>
        <w:rPr>
          <w:rtl w:val="0"/>
        </w:rPr>
      </w:r>
    </w:p>
    <w:p w14:paraId="00000056">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The current evidence supports process documentation and a broad development library. It does not establish a proprietary advantage, superior quality against competitors or protected market share. Blind product comparisons and repeat-purchase data are needed to test differentiation.</w:t>
      </w:r>
      <w:r>
        <w:rPr>
          <w:rtl w:val="0"/>
        </w:rPr>
      </w:r>
    </w:p>
    <w:p w14:paraId="00000057">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Operating model</w:t>
      </w:r>
      <w:r>
        <w:rPr>
          <w:rtl w:val="0"/>
        </w:rPr>
      </w:r>
    </w:p>
    <w:p w14:paraId="00000058">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Reported equipment includes a 16-tray diesel rotary oven with steam, 60 by 40 cm trays, a mixer described as 50 kg flour capacity, two proofers and a moulder. Production starts around 02:00. Mixer load limits, proofing capacity, rack fit, staffing and actual cycle times remain confirmation items. [R1, R2]</w:t>
      </w:r>
      <w:r>
        <w:rPr>
          <w:rtl w:val="0"/>
        </w:rPr>
      </w:r>
    </w:p>
    <w:p w14:paraId="00000059">
      <w:pPr>
        <w:keepNext w:val="0"/>
        <w:pageBreakBefore w:val="0"/>
        <w:spacing w:after="160" w:before="60" w:line="240" w:lineRule="auto"/>
        <w:rPr/>
      </w:pPr>
      <w:r>
        <w:rPr>
          <w:rFonts w:ascii="Arial" w:cs="Arial" w:eastAsia="Arial" w:hAnsi="Arial"/>
          <w:b w:val="1"/>
          <w:bCs w:val="1"/>
          <w:i w:val="0"/>
          <w:iCs w:val="0"/>
          <w:color w:val="111111"/>
          <w:sz w:val="18"/>
          <w:szCs w:val="18"/>
          <w:rtl w:val="0"/>
        </w:rPr>
        <w:t xml:space="preserve">Sources: </w:t>
      </w:r>
      <w:r>
        <w:rPr>
          <w:rFonts w:ascii="Arial" w:cs="Arial" w:eastAsia="Arial" w:hAnsi="Arial"/>
          <w:b w:val="0"/>
          <w:bCs w:val="0"/>
          <w:i w:val="0"/>
          <w:iCs w:val="0"/>
          <w:color w:val="111111"/>
          <w:sz w:val="18"/>
          <w:szCs w:val="18"/>
          <w:rtl w:val="0"/>
        </w:rPr>
        <w:t xml:space="preserve">[R1] H3 recipe anthology; [R2] H2 baguette planner, carried unchanged into the H3 package; [R3] H3 EDC correction register; [R4] owner purchase-price inputs. Review date 8 October 2026. Original scheduling evidence is S038 pages 1 and 2, with related S026 and S027.</w:t>
      </w:r>
      <w:r>
        <w:rPr>
          <w:rtl w:val="0"/>
        </w:rPr>
      </w:r>
    </w:p>
    <w:p w14:paraId="0000005A">
      <w:pPr>
        <w:pStyle w:val="Heading1"/>
        <w:keepNext w:val="1"/>
        <w:pageBreakBefore w:val="1"/>
        <w:spacing w:after="200" w:before="320" w:line="240" w:lineRule="auto"/>
        <w:rPr/>
      </w:pPr>
      <w:r>
        <w:rPr>
          <w:rFonts w:ascii="Arial" w:cs="Arial" w:eastAsia="Arial" w:hAnsi="Arial"/>
          <w:b w:val="1"/>
          <w:bCs w:val="1"/>
          <w:i w:val="0"/>
          <w:iCs w:val="0"/>
          <w:color w:val="111111"/>
          <w:sz w:val="22"/>
          <w:szCs w:val="22"/>
          <w:rtl w:val="0"/>
        </w:rPr>
        <w:t xml:space="preserve">4.   TAM and Market Opportunity</w:t>
      </w:r>
      <w:r>
        <w:rPr>
          <w:rtl w:val="0"/>
        </w:rPr>
      </w:r>
    </w:p>
    <w:p w14:paraId="0000005B">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Market definition and size</w:t>
      </w:r>
      <w:r>
        <w:rPr>
          <w:rtl w:val="0"/>
        </w:rPr>
      </w:r>
    </w:p>
    <w:p w14:paraId="0000005C">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The relevant market is bakery and related prepared-food purchases reachable from the Nkambe operation. No defensible total market value or annual demand series was supplied. Population, household spending, purchasing frequency and competition would require a separate market study; no market-size number is inferred from oven capacity.</w:t>
      </w:r>
      <w:r>
        <w:rPr>
          <w:rtl w:val="0"/>
        </w:rPr>
      </w:r>
    </w:p>
    <w:p w14:paraId="0000005D">
      <w:pPr>
        <w:keepNext w:val="1"/>
        <w:pageBreakBefore w:val="0"/>
        <w:spacing w:after="60" w:before="60" w:line="240" w:lineRule="auto"/>
        <w:jc w:val="center"/>
        <w:rPr/>
      </w:pPr>
      <w:r>
        <w:rPr/>
        <w:drawing>
          <wp:inline distB="0" distT="0" distL="114300" distR="114300">
            <wp:extent cx="5715000" cy="2609188"/>
            <wp:effectExtent b="0" l="0" r="0" t="0"/>
            <wp:docPr descr="Illustrative horizontal bars for TAM, SAM, and SOM using placeholder index values of 100, 62, and 28. Replace with sourced market data." id="2" name="image3.png"/>
            <a:graphic>
              <a:graphicData uri="http://schemas.openxmlformats.org/drawingml/2006/picture">
                <pic:pic>
                  <pic:nvPicPr>
                    <pic:cNvPr descr="Illustrative horizontal bars for TAM, SAM, and SOM using placeholder index values of 100, 62, and 28. Replace with sourced market data." id="0" name="image3.png"/>
                    <pic:cNvPicPr preferRelativeResize="0"/>
                  </pic:nvPicPr>
                  <pic:blipFill>
                    <a:blip r:embed="rId8"/>
                    <a:srcRect b="0" l="0" r="0" t="0"/>
                    <a:stretch>
                      <a:fillRect/>
                    </a:stretch>
                  </pic:blipFill>
                  <pic:spPr>
                    <a:xfrm>
                      <a:off x="0" y="0"/>
                      <a:ext cx="5715000" cy="2609188"/>
                    </a:xfrm>
                    <a:prstGeom prst="rect"/>
                    <a:ln/>
                  </pic:spPr>
                </pic:pic>
              </a:graphicData>
            </a:graphic>
          </wp:inline>
        </w:drawing>
      </w:r>
      <w:r>
        <w:rPr>
          <w:rtl w:val="0"/>
        </w:rPr>
      </w:r>
    </w:p>
    <w:p w14:paraId="0000005E">
      <w:pPr>
        <w:keepNext w:val="0"/>
        <w:pageBreakBefore w:val="0"/>
        <w:spacing w:after="180" w:before="0" w:line="240" w:lineRule="auto"/>
        <w:jc w:val="left"/>
        <w:rPr/>
      </w:pPr>
      <w:r>
        <w:rPr>
          <w:rFonts w:ascii="Arial" w:cs="Arial" w:eastAsia="Arial" w:hAnsi="Arial"/>
          <w:b w:val="0"/>
          <w:bCs w:val="0"/>
          <w:i w:val="1"/>
          <w:iCs w:val="1"/>
          <w:color w:val="666666"/>
          <w:sz w:val="16"/>
          <w:szCs w:val="16"/>
          <w:rtl w:val="0"/>
        </w:rPr>
        <w:t xml:space="preserve">Figure 1. Proposed demand-evidence sequence. No market size or market share is asserted.</w:t>
      </w:r>
      <w:r>
        <w:rPr>
          <w:rtl w:val="0"/>
        </w:rPr>
      </w:r>
    </w:p>
    <w:p w14:paraId="0000005F">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Reachable market</w:t>
      </w:r>
      <w:r>
        <w:rPr>
          <w:rtl w:val="0"/>
        </w:rPr>
      </w:r>
    </w:p>
    <w:p w14:paraId="00000060">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The near-term reachable market should be defined by the actual delivery route, retail opening hours, storage capacity and paid orders. First map outlets and travel times, then use a small pilot to observe purchases, stockouts, returns and acceptable prices.</w:t>
      </w:r>
      <w:r>
        <w:rPr>
          <w:rtl w:val="0"/>
        </w:rPr>
      </w:r>
    </w:p>
    <w:p w14:paraId="00000061">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Growth and demand drivers</w:t>
      </w:r>
      <w:r>
        <w:rPr>
          <w:rtl w:val="0"/>
        </w:rPr>
      </w:r>
    </w:p>
    <w:p w14:paraId="00000062">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Convenience, freshness and product consistency are commercial hypotheses to test. No growth rate, seasonality pattern or independent customer research has been established. Owner-supplied plans and repeated source editions are not independent demand evidence.</w:t>
      </w:r>
      <w:r>
        <w:rPr>
          <w:rtl w:val="0"/>
        </w:rPr>
      </w:r>
    </w:p>
    <w:p w14:paraId="00000063">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Underwriting implication</w:t>
      </w:r>
      <w:r>
        <w:rPr>
          <w:rtl w:val="0"/>
        </w:rPr>
      </w:r>
    </w:p>
    <w:p w14:paraId="00000064">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Use measured sell-through to set subsequent batches. The 400-portion and 800-portion programmes are conditional capacity scenarios; neither is a revenue forecast or a daily sales commitment. Reduce production when unsold inventory or dispatch delays erode quality.</w:t>
      </w:r>
      <w:r>
        <w:rPr>
          <w:rtl w:val="0"/>
        </w:rPr>
      </w:r>
    </w:p>
    <w:p w14:paraId="00000065">
      <w:pPr>
        <w:pStyle w:val="Heading1"/>
        <w:keepNext w:val="1"/>
        <w:pageBreakBefore w:val="1"/>
        <w:spacing w:after="200" w:before="320" w:line="240" w:lineRule="auto"/>
        <w:rPr/>
      </w:pPr>
      <w:r>
        <w:rPr>
          <w:rFonts w:ascii="Arial" w:cs="Arial" w:eastAsia="Arial" w:hAnsi="Arial"/>
          <w:b w:val="1"/>
          <w:bCs w:val="1"/>
          <w:i w:val="0"/>
          <w:iCs w:val="0"/>
          <w:color w:val="111111"/>
          <w:sz w:val="22"/>
          <w:szCs w:val="22"/>
          <w:rtl w:val="0"/>
        </w:rPr>
        <w:t xml:space="preserve">5.   Capitalization, Market Cap, and Ownership</w:t>
      </w:r>
      <w:r>
        <w:rPr>
          <w:rtl w:val="0"/>
        </w:rPr>
      </w:r>
    </w:p>
    <w:p w14:paraId="00000066">
      <w:pPr>
        <w:keepNext w:val="0"/>
        <w:pageBreakBefore w:val="0"/>
        <w:pBdr>
          <w:left w:color="111111" w:space="5" w:sz="16" w:val="single"/>
        </w:pBdr>
        <w:shd w:fill="f7f7f7" w:val="clear"/>
        <w:spacing w:after="180" w:before="60" w:line="240" w:lineRule="auto"/>
        <w:ind w:left="140" w:right="140" w:firstLine="0"/>
        <w:rPr/>
      </w:pPr>
      <w:r>
        <w:rPr>
          <w:rFonts w:ascii="Arial" w:cs="Arial" w:eastAsia="Arial" w:hAnsi="Arial"/>
          <w:b w:val="1"/>
          <w:bCs w:val="1"/>
          <w:i w:val="0"/>
          <w:iCs w:val="0"/>
          <w:color w:val="111111"/>
          <w:sz w:val="17"/>
          <w:szCs w:val="17"/>
          <w:rtl w:val="0"/>
        </w:rPr>
        <w:t xml:space="preserve">Applicability: </w:t>
      </w:r>
      <w:r>
        <w:rPr>
          <w:rFonts w:ascii="Arial" w:cs="Arial" w:eastAsia="Arial" w:hAnsi="Arial"/>
          <w:b w:val="0"/>
          <w:bCs w:val="0"/>
          <w:i w:val="0"/>
          <w:iCs w:val="0"/>
          <w:color w:val="111111"/>
          <w:sz w:val="17"/>
          <w:szCs w:val="17"/>
          <w:rtl w:val="0"/>
        </w:rPr>
        <w:t xml:space="preserve">Ownership and capital structure were not supplied. A public market capitalization is not established for this project.</w:t>
      </w:r>
      <w:r>
        <w:rPr>
          <w:rtl w:val="0"/>
        </w:rPr>
      </w:r>
    </w:p>
    <w:p w14:paraId="00000067">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Current capitalization</w:t>
      </w:r>
      <w:r>
        <w:rPr>
          <w:rtl w:val="0"/>
        </w:rPr>
      </w:r>
    </w:p>
    <w:p w14:paraId="00000068">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No current equity register, debt schedule, cash balance or equipment acquisition ledger was provided. Reported installed or planned equipment does not establish its ownership, funding source, remaining obligations or realizable value.</w:t>
      </w:r>
      <w:r>
        <w:rPr>
          <w:rtl w:val="0"/>
        </w:rPr>
      </w:r>
    </w:p>
    <w:p w14:paraId="00000069">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Pro forma capitalization</w:t>
      </w:r>
      <w:r>
        <w:rPr>
          <w:rtl w:val="0"/>
        </w:rPr>
      </w:r>
    </w:p>
    <w:p w14:paraId="0000006A">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There is no priced transaction, agreed funding instrument or verified valuation to model. Consequently, a pro forma ownership percentage, debt burden and total exposure cannot be calculated.</w:t>
      </w:r>
      <w:r>
        <w:rPr>
          <w:rtl w:val="0"/>
        </w:rPr>
      </w:r>
    </w:p>
    <w:p w14:paraId="0000006B">
      <w:pPr>
        <w:keepNext w:val="1"/>
        <w:pageBreakBefore w:val="0"/>
        <w:spacing w:after="60" w:before="60" w:line="240" w:lineRule="auto"/>
        <w:jc w:val="center"/>
        <w:rPr/>
      </w:pPr>
      <w:r>
        <w:rPr/>
        <w:drawing>
          <wp:inline distB="0" distT="0" distL="114300" distR="114300">
            <wp:extent cx="5715000" cy="2592069"/>
            <wp:effectExtent b="0" l="0" r="0" t="0"/>
            <wp:docPr descr="Illustrative 100 percent stacked bars comparing current and pro forma ownership across founders, employees, existing investors, and new capital. Replace with the verified cap table." id="4" name="image4.png"/>
            <a:graphic>
              <a:graphicData uri="http://schemas.openxmlformats.org/drawingml/2006/picture">
                <pic:pic>
                  <pic:nvPicPr>
                    <pic:cNvPr descr="Illustrative 100 percent stacked bars comparing current and pro forma ownership across founders, employees, existing investors, and new capital. Replace with the verified cap table." id="0" name="image4.png"/>
                    <pic:cNvPicPr preferRelativeResize="0"/>
                  </pic:nvPicPr>
                  <pic:blipFill>
                    <a:blip r:embed="rId9"/>
                    <a:srcRect b="0" l="0" r="0" t="0"/>
                    <a:stretch>
                      <a:fillRect/>
                    </a:stretch>
                  </pic:blipFill>
                  <pic:spPr>
                    <a:xfrm>
                      <a:off x="0" y="0"/>
                      <a:ext cx="5715000" cy="2592069"/>
                    </a:xfrm>
                    <a:prstGeom prst="rect"/>
                    <a:ln/>
                  </pic:spPr>
                </pic:pic>
              </a:graphicData>
            </a:graphic>
          </wp:inline>
        </w:drawing>
      </w:r>
      <w:r>
        <w:rPr>
          <w:rtl w:val="0"/>
        </w:rPr>
      </w:r>
    </w:p>
    <w:p w14:paraId="0000006C">
      <w:pPr>
        <w:keepNext w:val="0"/>
        <w:pageBreakBefore w:val="0"/>
        <w:spacing w:after="180" w:before="0" w:line="240" w:lineRule="auto"/>
        <w:jc w:val="left"/>
        <w:rPr/>
      </w:pPr>
      <w:r>
        <w:rPr>
          <w:rFonts w:ascii="Arial" w:cs="Arial" w:eastAsia="Arial" w:hAnsi="Arial"/>
          <w:b w:val="0"/>
          <w:bCs w:val="0"/>
          <w:i w:val="1"/>
          <w:iCs w:val="1"/>
          <w:color w:val="666666"/>
          <w:sz w:val="16"/>
          <w:szCs w:val="16"/>
          <w:rtl w:val="0"/>
        </w:rPr>
        <w:t xml:space="preserve">Figure 2. Capital information needed for an investment decision. Amounts remain unquantified.</w:t>
      </w:r>
      <w:r>
        <w:rPr>
          <w:rtl w:val="0"/>
        </w:rPr>
      </w:r>
    </w:p>
    <w:p w14:paraId="0000006D">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Ownership and governance</w:t>
      </w:r>
      <w:r>
        <w:rPr>
          <w:rtl w:val="0"/>
        </w:rPr>
      </w:r>
    </w:p>
    <w:p w14:paraId="0000006E">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Identify the legal operating entity, beneficial owners, decision rights and financing obligations before seeking external capital. This is a diligence task; the memo does not imply that an investor, committee or governance arrangement already exists.</w:t>
      </w:r>
      <w:r>
        <w:rPr>
          <w:rtl w:val="0"/>
        </w:rPr>
      </w:r>
    </w:p>
    <w:p w14:paraId="0000006F">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Underwriting implication</w:t>
      </w:r>
      <w:r>
        <w:rPr>
          <w:rtl w:val="0"/>
        </w:rPr>
      </w:r>
    </w:p>
    <w:p w14:paraId="00000070">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Capital requirements should be tied to specific operational gaps demonstrated during commissioning. Do not purchase additional capacity solely to achieve a theoretical oven-output target.</w:t>
      </w:r>
      <w:r>
        <w:rPr>
          <w:rtl w:val="0"/>
        </w:rPr>
      </w:r>
    </w:p>
    <w:p w14:paraId="00000071">
      <w:pPr>
        <w:pStyle w:val="Heading1"/>
        <w:keepNext w:val="1"/>
        <w:pageBreakBefore w:val="1"/>
        <w:spacing w:after="200" w:before="320" w:line="240" w:lineRule="auto"/>
        <w:rPr/>
      </w:pPr>
      <w:r>
        <w:rPr>
          <w:rFonts w:ascii="Arial" w:cs="Arial" w:eastAsia="Arial" w:hAnsi="Arial"/>
          <w:b w:val="1"/>
          <w:bCs w:val="1"/>
          <w:i w:val="0"/>
          <w:iCs w:val="0"/>
          <w:color w:val="111111"/>
          <w:sz w:val="22"/>
          <w:szCs w:val="22"/>
          <w:rtl w:val="0"/>
        </w:rPr>
        <w:t xml:space="preserve">6.   Competitive Landscape and Public or Transaction Comps</w:t>
      </w:r>
      <w:r>
        <w:rPr>
          <w:rtl w:val="0"/>
        </w:rPr>
      </w:r>
    </w:p>
    <w:p w14:paraId="00000072">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Competitive landscape</w:t>
      </w:r>
      <w:r>
        <w:rPr>
          <w:rtl w:val="0"/>
        </w:rPr>
      </w:r>
    </w:p>
    <w:p w14:paraId="00000073">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No verified local competitor price, product-weight, quality or distribution dataset was supplied. Relevant alternatives should be surveyed using comparable portions and purchase times. A comparison based on names alone cannot establish a pricing premium.</w:t>
      </w:r>
      <w:r>
        <w:rPr>
          <w:rtl w:val="0"/>
        </w:rPr>
      </w:r>
    </w:p>
    <w:p w14:paraId="00000074">
      <w:pPr>
        <w:keepNext w:val="1"/>
        <w:pageBreakBefore w:val="0"/>
        <w:spacing w:after="60" w:before="60" w:line="240" w:lineRule="auto"/>
        <w:jc w:val="center"/>
        <w:rPr/>
      </w:pPr>
      <w:r>
        <w:rPr/>
        <w:drawing>
          <wp:inline distB="0" distT="0" distL="114300" distR="114300">
            <wp:extent cx="5715000" cy="3016577"/>
            <wp:effectExtent b="0" l="0" r="0" t="0"/>
            <wp:docPr descr="Illustrative two-by-two competitive positioning chart with the company and three peers plotted on differentiation and scale. All locations are placeholders." id="3" name="image5.png"/>
            <a:graphic>
              <a:graphicData uri="http://schemas.openxmlformats.org/drawingml/2006/picture">
                <pic:pic>
                  <pic:nvPicPr>
                    <pic:cNvPr descr="Illustrative two-by-two competitive positioning chart with the company and three peers plotted on differentiation and scale. All locations are placeholders." id="0" name="image5.png"/>
                    <pic:cNvPicPr preferRelativeResize="0"/>
                  </pic:nvPicPr>
                  <pic:blipFill>
                    <a:blip r:embed="rId10"/>
                    <a:srcRect b="0" l="0" r="0" t="0"/>
                    <a:stretch>
                      <a:fillRect/>
                    </a:stretch>
                  </pic:blipFill>
                  <pic:spPr>
                    <a:xfrm>
                      <a:off x="0" y="0"/>
                      <a:ext cx="5715000" cy="3016577"/>
                    </a:xfrm>
                    <a:prstGeom prst="rect"/>
                    <a:ln/>
                  </pic:spPr>
                </pic:pic>
              </a:graphicData>
            </a:graphic>
          </wp:inline>
        </w:drawing>
      </w:r>
      <w:r>
        <w:rPr>
          <w:rtl w:val="0"/>
        </w:rPr>
      </w:r>
    </w:p>
    <w:p w14:paraId="00000075">
      <w:pPr>
        <w:keepNext w:val="0"/>
        <w:pageBreakBefore w:val="0"/>
        <w:spacing w:after="180" w:before="0" w:line="240" w:lineRule="auto"/>
        <w:jc w:val="left"/>
        <w:rPr/>
      </w:pPr>
      <w:r>
        <w:rPr>
          <w:rFonts w:ascii="Arial" w:cs="Arial" w:eastAsia="Arial" w:hAnsi="Arial"/>
          <w:b w:val="0"/>
          <w:bCs w:val="0"/>
          <w:i w:val="1"/>
          <w:iCs w:val="1"/>
          <w:color w:val="666666"/>
          <w:sz w:val="16"/>
          <w:szCs w:val="16"/>
          <w:rtl w:val="0"/>
        </w:rPr>
        <w:t xml:space="preserve">Figure 3. Proposed competitor-survey fields. No competitor ranking or valuation multiple is asserted.</w:t>
      </w:r>
      <w:r>
        <w:rPr>
          <w:rtl w:val="0"/>
        </w:rPr>
      </w:r>
    </w:p>
    <w:p w14:paraId="00000076">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Public and transaction comparables</w:t>
      </w:r>
      <w:r>
        <w:rPr>
          <w:rtl w:val="0"/>
        </w:rPr>
      </w:r>
    </w:p>
    <w:p w14:paraId="00000077">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No suitable public-company or transaction-comparable analysis is available in the project sources. A small local bakery should not inherit an unrelated enterprise valuation multiple without evidence of comparability.</w:t>
      </w:r>
      <w:r>
        <w:rPr>
          <w:rtl w:val="0"/>
        </w:rPr>
      </w:r>
    </w:p>
    <w:p w14:paraId="00000078">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Underwriting takeaway</w:t>
      </w:r>
      <w:r>
        <w:rPr>
          <w:rtl w:val="0"/>
        </w:rPr>
      </w:r>
    </w:p>
    <w:p w14:paraId="00000079">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Set trial prices only after completing product costs and gathering comparable local prices. Record the actual price paid, net product weight and channel. The evidence currently supports a research task, not a premium-pricing conclusion.</w:t>
      </w:r>
      <w:r>
        <w:rPr>
          <w:rtl w:val="0"/>
        </w:rPr>
      </w:r>
    </w:p>
    <w:p w14:paraId="0000007A">
      <w:pPr>
        <w:pStyle w:val="Heading1"/>
        <w:keepNext w:val="1"/>
        <w:pageBreakBefore w:val="0"/>
        <w:spacing w:after="200" w:before="320" w:line="240" w:lineRule="auto"/>
        <w:rPr/>
      </w:pPr>
      <w:r>
        <w:rPr>
          <w:rFonts w:ascii="Arial" w:cs="Arial" w:eastAsia="Arial" w:hAnsi="Arial"/>
          <w:b w:val="1"/>
          <w:bCs w:val="1"/>
          <w:i w:val="0"/>
          <w:iCs w:val="0"/>
          <w:color w:val="111111"/>
          <w:sz w:val="22"/>
          <w:szCs w:val="22"/>
          <w:rtl w:val="0"/>
        </w:rPr>
        <w:t xml:space="preserve">7.   Team</w:t>
      </w:r>
      <w:r>
        <w:rPr>
          <w:rtl w:val="0"/>
        </w:rPr>
      </w:r>
    </w:p>
    <w:p w14:paraId="0000007B">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Leadership and execution fit</w:t>
      </w:r>
      <w:r>
        <w:rPr>
          <w:rtl w:val="0"/>
        </w:rPr>
      </w:r>
    </w:p>
    <w:p w14:paraId="0000007C">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No verified staff roster, qualifications or operating track record was supplied. The five production roles and separate driver in the schedule are planning assignments, not confirmed employees.</w:t>
      </w:r>
      <w:r>
        <w:rPr>
          <w:rtl w:val="0"/>
        </w:rPr>
      </w:r>
    </w:p>
    <w:p w14:paraId="0000007D">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Ownership, incentives, and governance</w:t>
      </w:r>
      <w:r>
        <w:rPr>
          <w:rtl w:val="0"/>
        </w:rPr>
      </w:r>
    </w:p>
    <w:p w14:paraId="0000007E">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Assign a responsible production lead, stock and cash custodian, and reviewer of trial records. Owners should specify who may change formulas, release batches and approve expenditure. These responsibilities remain to be allocated by management.</w:t>
      </w:r>
      <w:r>
        <w:rPr>
          <w:rtl w:val="0"/>
        </w:rPr>
      </w:r>
    </w:p>
    <w:p w14:paraId="0000007F">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Capability gaps and key-person risk</w:t>
      </w:r>
      <w:r>
        <w:rPr>
          <w:rtl w:val="0"/>
        </w:rPr>
      </w:r>
    </w:p>
    <w:p w14:paraId="00000080">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Confirm supervision, breaks, relief, cleaning and other-product workload. The extended campaign needs continued production, dispatch and retail coverage. Ingredient identification and perishable-food handling require training.</w:t>
      </w:r>
      <w:r>
        <w:rPr>
          <w:rtl w:val="0"/>
        </w:rPr>
      </w:r>
    </w:p>
    <w:p w14:paraId="00000081">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Underwriting conclusion</w:t>
      </w:r>
      <w:r>
        <w:rPr>
          <w:rtl w:val="0"/>
        </w:rPr>
      </w:r>
    </w:p>
    <w:p w14:paraId="00000082">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Execution capability remains unverified. A machine schedule is not proof of complete staff coverage.</w:t>
      </w:r>
      <w:r>
        <w:rPr>
          <w:rtl w:val="0"/>
        </w:rPr>
      </w:r>
    </w:p>
    <w:p w14:paraId="00000083">
      <w:pPr>
        <w:pStyle w:val="Heading1"/>
        <w:keepNext w:val="1"/>
        <w:pageBreakBefore w:val="0"/>
        <w:spacing w:after="200" w:before="320" w:line="240" w:lineRule="auto"/>
        <w:rPr/>
      </w:pPr>
      <w:r>
        <w:rPr>
          <w:rFonts w:ascii="Arial" w:cs="Arial" w:eastAsia="Arial" w:hAnsi="Arial"/>
          <w:b w:val="1"/>
          <w:bCs w:val="1"/>
          <w:i w:val="0"/>
          <w:iCs w:val="0"/>
          <w:color w:val="111111"/>
          <w:sz w:val="22"/>
          <w:szCs w:val="22"/>
          <w:rtl w:val="0"/>
        </w:rPr>
        <w:t xml:space="preserve">8.   Traction and Key Operating Metrics</w:t>
      </w:r>
      <w:r>
        <w:rPr>
          <w:rtl w:val="0"/>
        </w:rPr>
      </w:r>
    </w:p>
    <w:p w14:paraId="00000084">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Operating trajectory</w:t>
      </w:r>
      <w:r>
        <w:rPr>
          <w:rtl w:val="0"/>
        </w:rPr>
      </w:r>
    </w:p>
    <w:p w14:paraId="00000085">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These are conditional planning scenarios. No historical sales or production series was supplied; retained units are not sold units.</w:t>
      </w:r>
      <w:r>
        <w:rPr>
          <w:rtl w:val="0"/>
        </w:rPr>
      </w:r>
    </w:p>
    <w:p w14:paraId="00000086">
      <w:pPr>
        <w:keepNext w:val="1"/>
        <w:pageBreakBefore w:val="0"/>
        <w:spacing w:after="60" w:before="60" w:line="240" w:lineRule="auto"/>
        <w:jc w:val="center"/>
        <w:rPr/>
      </w:pPr>
      <w:r>
        <w:rPr/>
        <w:drawing>
          <wp:inline distB="0" distT="0" distL="114300" distR="114300">
            <wp:extent cx="5715000" cy="2802657"/>
            <wp:effectExtent b="0" l="0" r="0" t="0"/>
            <wp:docPr descr="Illustrative line chart showing three operating KPI indices across two historical periods, the current period, and one forecast period. Replace all placeholder values." id="6" name="image1.png"/>
            <a:graphic>
              <a:graphicData uri="http://schemas.openxmlformats.org/drawingml/2006/picture">
                <pic:pic>
                  <pic:nvPicPr>
                    <pic:cNvPr descr="Illustrative line chart showing three operating KPI indices across two historical periods, the current period, and one forecast period. Replace all placeholder values." id="0" name="image1.png"/>
                    <pic:cNvPicPr preferRelativeResize="0"/>
                  </pic:nvPicPr>
                  <pic:blipFill>
                    <a:blip r:embed="rId11"/>
                    <a:srcRect b="0" l="0" r="0" t="0"/>
                    <a:stretch>
                      <a:fillRect/>
                    </a:stretch>
                  </pic:blipFill>
                  <pic:spPr>
                    <a:xfrm>
                      <a:off x="0" y="0"/>
                      <a:ext cx="5715000" cy="2802657"/>
                    </a:xfrm>
                    <a:prstGeom prst="rect"/>
                    <a:ln/>
                  </pic:spPr>
                </pic:pic>
              </a:graphicData>
            </a:graphic>
          </wp:inline>
        </w:drawing>
      </w:r>
      <w:r>
        <w:rPr>
          <w:rtl w:val="0"/>
        </w:rPr>
      </w:r>
    </w:p>
    <w:p w14:paraId="00000087">
      <w:pPr>
        <w:keepNext w:val="0"/>
        <w:pageBreakBefore w:val="0"/>
        <w:spacing w:after="180" w:before="0" w:line="240" w:lineRule="auto"/>
        <w:jc w:val="left"/>
        <w:rPr/>
      </w:pPr>
      <w:r>
        <w:rPr>
          <w:rFonts w:ascii="Arial" w:cs="Arial" w:eastAsia="Arial" w:hAnsi="Arial"/>
          <w:b w:val="0"/>
          <w:bCs w:val="0"/>
          <w:i w:val="1"/>
          <w:iCs w:val="1"/>
          <w:color w:val="666666"/>
          <w:sz w:val="16"/>
          <w:szCs w:val="16"/>
          <w:rtl w:val="0"/>
        </w:rPr>
        <w:t xml:space="preserve">Figure 4. Conditional raw portions and retained units: 80/78, 400/390 and 800/780. Source R2. No sales history is represented.</w:t>
      </w:r>
      <w:r>
        <w:rPr>
          <w:rtl w:val="0"/>
        </w:rPr>
      </w:r>
    </w:p>
    <w:p w14:paraId="00000088">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Quality of traction</w:t>
      </w:r>
      <w:r>
        <w:rPr>
          <w:rtl w:val="0"/>
        </w:rPr>
      </w:r>
    </w:p>
    <w:p w14:paraId="00000089">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Record raw, retained, sold, returned and wasted units by batch and delivery wave.</w:t>
      </w:r>
      <w:r>
        <w:rPr>
          <w:rtl w:val="0"/>
        </w:rPr>
      </w:r>
    </w:p>
    <w:p w14:paraId="0000008A">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Benchmarks and targets</w:t>
      </w:r>
      <w:r>
        <w:rPr>
          <w:rtl w:val="0"/>
        </w:rPr>
      </w:r>
    </w:p>
    <w:p w14:paraId="0000008B">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Normal-case packing releases span 06:28 to 09:28, conditional on dough, oven and cooling performance. [R2]</w:t>
      </w:r>
      <w:r>
        <w:rPr>
          <w:rtl w:val="0"/>
        </w:rPr>
      </w:r>
    </w:p>
    <w:p w14:paraId="0000008C">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Underwriting implication and limitations</w:t>
      </w:r>
      <w:r>
        <w:rPr>
          <w:rtl w:val="0"/>
        </w:rPr>
      </w:r>
    </w:p>
    <w:p w14:paraId="0000008D">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Installed capacities, staffing, shelf life and demand remain unverified. Stop additional mixing when downstream operations cannot keep up.</w:t>
      </w:r>
      <w:r>
        <w:rPr>
          <w:rtl w:val="0"/>
        </w:rPr>
      </w:r>
    </w:p>
    <w:p w14:paraId="0000008E">
      <w:pPr>
        <w:pStyle w:val="Heading1"/>
        <w:keepNext w:val="1"/>
        <w:pageBreakBefore w:val="0"/>
        <w:spacing w:after="200" w:before="320" w:line="240" w:lineRule="auto"/>
        <w:rPr/>
      </w:pPr>
      <w:r>
        <w:rPr>
          <w:rFonts w:ascii="Arial" w:cs="Arial" w:eastAsia="Arial" w:hAnsi="Arial"/>
          <w:b w:val="1"/>
          <w:bCs w:val="1"/>
          <w:i w:val="0"/>
          <w:iCs w:val="0"/>
          <w:color w:val="111111"/>
          <w:sz w:val="22"/>
          <w:szCs w:val="22"/>
          <w:rtl w:val="0"/>
        </w:rPr>
        <w:t xml:space="preserve">9.   Business Model and Unit Economics</w:t>
      </w:r>
      <w:r>
        <w:rPr>
          <w:rtl w:val="0"/>
        </w:rPr>
      </w:r>
    </w:p>
    <w:p w14:paraId="0000008F">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Revenue model and pricing</w:t>
      </w:r>
      <w:r>
        <w:rPr>
          <w:rtl w:val="0"/>
        </w:rPr>
      </w:r>
    </w:p>
    <w:p w14:paraId="00000090">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No selling-price schedule or sales volume was confirmed. Base revenue on actual units sold at actual prices; complete costs and measure demand before setting margin targets.</w:t>
      </w:r>
      <w:r>
        <w:rPr>
          <w:rtl w:val="0"/>
        </w:rPr>
      </w:r>
    </w:p>
    <w:p w14:paraId="00000091">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Unit economics</w:t>
      </w:r>
      <w:r>
        <w:rPr>
          <w:rtl w:val="0"/>
        </w:rPr>
      </w:r>
    </w:p>
    <w:p w14:paraId="00000092">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One 80-portion baguette load has a known flour, salt and yeast subtotal of FCFA 6,218.75, or FCFA 79.73 per illustrative retained unit (78 units). Water, dusting, packaging, energy, labour, delivery and other losses are excluded. This is not full cost or profit. [R2, R4]</w:t>
      </w:r>
      <w:r>
        <w:rPr>
          <w:rtl w:val="0"/>
        </w:rPr>
      </w:r>
    </w:p>
    <w:p w14:paraId="00000093">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Retention and durability</w:t>
      </w:r>
      <w:r>
        <w:rPr>
          <w:rtl w:val="0"/>
        </w:rPr>
      </w:r>
    </w:p>
    <w:p w14:paraId="00000094">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Repeat purchasing is unmeasured. Track it separately from promotions. Product keeping quality also needs product-specific evidence.</w:t>
      </w:r>
      <w:r>
        <w:rPr>
          <w:rtl w:val="0"/>
        </w:rPr>
      </w:r>
    </w:p>
    <w:p w14:paraId="00000095">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Scaling and mature-state assumptions</w:t>
      </w:r>
      <w:r>
        <w:rPr>
          <w:rtl w:val="0"/>
        </w:rPr>
      </w:r>
    </w:p>
    <w:p w14:paraId="00000096">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The normal programme depends on verified tray fit, proofing bays, circulating racks, cooling, staffing and dispatch. Longer proof or oven recovery invalidates the default cadence. The 800-portion case extends campaign duration rather than speeding up the process. [R2]</w:t>
      </w:r>
      <w:r>
        <w:rPr>
          <w:rtl w:val="0"/>
        </w:rPr>
      </w:r>
    </w:p>
    <w:p w14:paraId="00000097">
      <w:pPr>
        <w:pStyle w:val="Heading1"/>
        <w:keepNext w:val="1"/>
        <w:pageBreakBefore w:val="1"/>
        <w:spacing w:after="200" w:before="320" w:line="240" w:lineRule="auto"/>
        <w:rPr/>
      </w:pPr>
      <w:r>
        <w:rPr>
          <w:rFonts w:ascii="Arial" w:cs="Arial" w:eastAsia="Arial" w:hAnsi="Arial"/>
          <w:b w:val="1"/>
          <w:bCs w:val="1"/>
          <w:i w:val="0"/>
          <w:iCs w:val="0"/>
          <w:color w:val="111111"/>
          <w:sz w:val="22"/>
          <w:szCs w:val="22"/>
          <w:rtl w:val="0"/>
        </w:rPr>
        <w:t xml:space="preserve">10.   Historical Financials and Outlook</w:t>
      </w:r>
      <w:r>
        <w:rPr>
          <w:rtl w:val="0"/>
        </w:rPr>
      </w:r>
    </w:p>
    <w:p w14:paraId="00000098">
      <w:pPr>
        <w:keepNext w:val="0"/>
        <w:pageBreakBefore w:val="0"/>
        <w:pBdr>
          <w:left w:color="111111" w:space="5" w:sz="16" w:val="single"/>
        </w:pBdr>
        <w:shd w:fill="f7f7f7" w:val="clear"/>
        <w:spacing w:after="180" w:before="60" w:line="240" w:lineRule="auto"/>
        <w:ind w:left="140" w:right="140" w:firstLine="0"/>
        <w:rPr/>
      </w:pPr>
      <w:r>
        <w:rPr>
          <w:rFonts w:ascii="Arial" w:cs="Arial" w:eastAsia="Arial" w:hAnsi="Arial"/>
          <w:b w:val="1"/>
          <w:bCs w:val="1"/>
          <w:i w:val="0"/>
          <w:iCs w:val="0"/>
          <w:color w:val="111111"/>
          <w:sz w:val="17"/>
          <w:szCs w:val="17"/>
          <w:rtl w:val="0"/>
        </w:rPr>
        <w:t xml:space="preserve">Evidence boundary: Financial history and financial forecasts are not available. Operational scenarios are labelled as assumptions and are not substituted for accounts.</w:t>
      </w:r>
      <w:r>
        <w:rPr>
          <w:rFonts w:ascii="Arial" w:cs="Arial" w:eastAsia="Arial" w:hAnsi="Arial"/>
          <w:b w:val="0"/>
          <w:bCs w:val="0"/>
          <w:i w:val="0"/>
          <w:iCs w:val="0"/>
          <w:color w:val="111111"/>
          <w:sz w:val="17"/>
          <w:szCs w:val="17"/>
          <w:rtl w:val="0"/>
        </w:rPr>
        <w:t xml:space="preserve"/>
      </w:r>
      <w:r>
        <w:rPr>
          <w:rtl w:val="0"/>
        </w:rPr>
      </w:r>
    </w:p>
    <w:p w14:paraId="00000099">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Historical performance</w:t>
      </w:r>
      <w:r>
        <w:rPr>
          <w:rtl w:val="0"/>
        </w:rPr>
      </w:r>
    </w:p>
    <w:p w14:paraId="0000009A">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No income statement, cash-flow record, balance sheet or reconciled trading ledger was supplied. Revenue, gross margin, operating profit and cash conversion cannot be presented as actual performance.</w:t>
      </w:r>
      <w:r>
        <w:rPr>
          <w:rtl w:val="0"/>
        </w:rPr>
      </w:r>
    </w:p>
    <w:p w14:paraId="0000009B">
      <w:pPr>
        <w:keepNext w:val="1"/>
        <w:pageBreakBefore w:val="0"/>
        <w:spacing w:after="60" w:before="60" w:line="240" w:lineRule="auto"/>
        <w:jc w:val="center"/>
        <w:rPr/>
      </w:pPr>
      <w:r>
        <w:rPr/>
        <w:drawing>
          <wp:inline distB="0" distT="0" distL="114300" distR="114300">
            <wp:extent cx="5715000" cy="2532784"/>
            <wp:effectExtent b="0" l="0" r="0" t="0"/>
            <wp:docPr descr="Illustrative chart with revenue bars and a profitability or cash line across historical, current, and forecast periods. All values are placeholder indices." id="5" name="image2.png"/>
            <a:graphic>
              <a:graphicData uri="http://schemas.openxmlformats.org/drawingml/2006/picture">
                <pic:pic>
                  <pic:nvPicPr>
                    <pic:cNvPr descr="Illustrative chart with revenue bars and a profitability or cash line across historical, current, and forecast periods. All values are placeholder indices." id="0" name="image2.png"/>
                    <pic:cNvPicPr preferRelativeResize="0"/>
                  </pic:nvPicPr>
                  <pic:blipFill>
                    <a:blip r:embed="rId12"/>
                    <a:srcRect b="0" l="0" r="0" t="0"/>
                    <a:stretch>
                      <a:fillRect/>
                    </a:stretch>
                  </pic:blipFill>
                  <pic:spPr>
                    <a:xfrm>
                      <a:off x="0" y="0"/>
                      <a:ext cx="5715000" cy="2532784"/>
                    </a:xfrm>
                    <a:prstGeom prst="rect"/>
                    <a:ln/>
                  </pic:spPr>
                </pic:pic>
              </a:graphicData>
            </a:graphic>
          </wp:inline>
        </w:drawing>
      </w:r>
      <w:r>
        <w:rPr>
          <w:rtl w:val="0"/>
        </w:rPr>
      </w:r>
    </w:p>
    <w:p w14:paraId="0000009C">
      <w:pPr>
        <w:keepNext w:val="0"/>
        <w:pageBreakBefore w:val="0"/>
        <w:spacing w:after="180" w:before="0" w:line="240" w:lineRule="auto"/>
        <w:jc w:val="left"/>
        <w:rPr/>
      </w:pPr>
      <w:r>
        <w:rPr>
          <w:rFonts w:ascii="Arial" w:cs="Arial" w:eastAsia="Arial" w:hAnsi="Arial"/>
          <w:b w:val="0"/>
          <w:bCs w:val="0"/>
          <w:i w:val="1"/>
          <w:iCs w:val="1"/>
          <w:color w:val="666666"/>
          <w:sz w:val="16"/>
          <w:szCs w:val="16"/>
          <w:rtl w:val="0"/>
        </w:rPr>
        <w:t xml:space="preserve">Figure 5. Known and missing cost categories for a full baguette load. Unknown costs are not zero; no profit forecast is shown.</w:t>
      </w:r>
      <w:r>
        <w:rPr>
          <w:rtl w:val="0"/>
        </w:rPr>
      </w:r>
    </w:p>
    <w:p w14:paraId="0000009D">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Forecast and key drivers</w:t>
      </w:r>
      <w:r>
        <w:rPr>
          <w:rtl w:val="0"/>
        </w:rPr>
      </w:r>
    </w:p>
    <w:p w14:paraId="0000009E">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Build an operating forecast from measured saleable output, sold units, selling prices and complete variable costs. Then add fixed overhead, maintenance, financing, tax and working-capital timing where applicable. No forecast period or growth rate is adopted in this memo.</w:t>
      </w:r>
      <w:r>
        <w:rPr>
          <w:rtl w:val="0"/>
        </w:rPr>
      </w:r>
    </w:p>
    <w:p w14:paraId="0000009F">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Liquidity and capital needs</w:t>
      </w:r>
      <w:r>
        <w:rPr>
          <w:rtl w:val="0"/>
        </w:rPr>
      </w:r>
    </w:p>
    <w:p w14:paraId="000000A0">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Cash, borrowing, supplier credit, stock requirements and a proposed funding amount remain unspecified. A cash runway or payback period cannot be calculated. Obtain a priced commissioning budget and a separate expansion budget with payment dates.</w:t>
      </w:r>
      <w:r>
        <w:rPr>
          <w:rtl w:val="0"/>
        </w:rPr>
      </w:r>
    </w:p>
    <w:p w14:paraId="000000A1">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Model tie-out</w:t>
      </w:r>
      <w:r>
        <w:rPr>
          <w:rtl w:val="0"/>
        </w:rPr>
      </w:r>
    </w:p>
    <w:p w14:paraId="000000A2">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R2 is Nkambe_Baguette_Production_Planner_H3.xlsx, retaining the checked H2 numerical model. R3 is Nkambe_EDC_Correction_Register_H3.csv. The recipe register is Nkambe_Editable_Recipe_and_Costing_Registers_H3.xlsx. Owner supplied R4 prices: flour 420/kg, yeast 1,666.67/kg, Roma 1,333.33/kg, Millac 3,200/kg, sugar 640/kg, salt 194.44/kg and oil 1,300/litre, all FCFA.</w:t>
      </w:r>
      <w:r>
        <w:rPr>
          <w:rtl w:val="0"/>
        </w:rPr>
      </w:r>
    </w:p>
    <w:p w14:paraId="000000A3">
      <w:pPr>
        <w:pStyle w:val="Heading1"/>
        <w:keepNext w:val="1"/>
        <w:pageBreakBefore w:val="1"/>
        <w:spacing w:after="200" w:before="320" w:line="240" w:lineRule="auto"/>
        <w:rPr/>
      </w:pPr>
      <w:r>
        <w:rPr>
          <w:rFonts w:ascii="Arial" w:cs="Arial" w:eastAsia="Arial" w:hAnsi="Arial"/>
          <w:b w:val="1"/>
          <w:bCs w:val="1"/>
          <w:i w:val="0"/>
          <w:iCs w:val="0"/>
          <w:color w:val="111111"/>
          <w:sz w:val="22"/>
          <w:szCs w:val="22"/>
          <w:rtl w:val="0"/>
        </w:rPr>
        <w:t xml:space="preserve">11.   Valuation and Return Scenarios</w:t>
      </w:r>
      <w:r>
        <w:rPr>
          <w:rtl w:val="0"/>
        </w:rPr>
      </w:r>
    </w:p>
    <w:p w14:paraId="000000A4">
      <w:pPr>
        <w:keepNext w:val="0"/>
        <w:pageBreakBefore w:val="0"/>
        <w:pBdr>
          <w:left w:color="111111" w:space="5" w:sz="16" w:val="single"/>
        </w:pBdr>
        <w:shd w:fill="f7f7f7" w:val="clear"/>
        <w:spacing w:after="180" w:before="60" w:line="240" w:lineRule="auto"/>
        <w:ind w:left="140" w:right="140" w:firstLine="0"/>
        <w:rPr/>
      </w:pPr>
      <w:r>
        <w:rPr>
          <w:rFonts w:ascii="Arial" w:cs="Arial" w:eastAsia="Arial" w:hAnsi="Arial"/>
          <w:b w:val="1"/>
          <w:bCs w:val="1"/>
          <w:i w:val="0"/>
          <w:iCs w:val="0"/>
          <w:color w:val="111111"/>
          <w:sz w:val="17"/>
          <w:szCs w:val="17"/>
          <w:rtl w:val="0"/>
        </w:rPr>
        <w:t xml:space="preserve">Decision role: </w:t>
      </w:r>
      <w:r>
        <w:rPr>
          <w:rFonts w:ascii="Arial" w:cs="Arial" w:eastAsia="Arial" w:hAnsi="Arial"/>
          <w:b w:val="0"/>
          <w:bCs w:val="0"/>
          <w:i w:val="0"/>
          <w:iCs w:val="0"/>
          <w:color w:val="111111"/>
          <w:sz w:val="17"/>
          <w:szCs w:val="17"/>
          <w:rtl w:val="0"/>
        </w:rPr>
        <w:t xml:space="preserve">The available calculations support production planning and identification of missing costs. They do not establish a business valuation or investor return.</w:t>
      </w:r>
      <w:r>
        <w:rPr>
          <w:rtl w:val="0"/>
        </w:rPr>
      </w:r>
    </w:p>
    <w:p w14:paraId="000000A5">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Model reference and return definition</w:t>
      </w:r>
      <w:r>
        <w:rPr>
          <w:rtl w:val="0"/>
        </w:rPr>
      </w:r>
    </w:p>
    <w:p w14:paraId="000000A6">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No investment amount, financing terms, distributions, exit value or holding period is available. IRR, investment multiple and net investor return are therefore not calculated. The H2 production scenarios remain operational cases only.</w:t>
      </w:r>
      <w:r>
        <w:rPr>
          <w:rtl w:val="0"/>
        </w:rPr>
      </w:r>
    </w:p>
    <w:p w14:paraId="000000A7">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Key valuation and return assumptions</w:t>
      </w:r>
      <w:r>
        <w:rPr>
          <w:rtl w:val="0"/>
        </w:rPr>
      </w:r>
    </w:p>
    <w:p w14:paraId="000000A8">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Any valuation would need verified earnings or cash-flow assumptions, capital requirements and an explicit method. No proxy valuation is derived from the recipe count, equipment rating or theoretical bread output.</w:t>
      </w:r>
      <w:r>
        <w:rPr>
          <w:rtl w:val="0"/>
        </w:rPr>
      </w:r>
    </w:p>
    <w:p w14:paraId="000000A9">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Downside case</w:t>
      </w:r>
      <w:r>
        <w:rPr>
          <w:rtl w:val="0"/>
        </w:rPr>
      </w:r>
    </w:p>
    <w:p w14:paraId="000000AA">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Operational downside: longer proofing, slower oven recovery, delivery queues or low sell-through reduce useful output and increase cost per sold unit. For example, 90-minute proofing cannot sustain 45-minute starts with only two full-rack bays under the model. Financial proceeds and returns remain unquantified. [R2]</w:t>
      </w:r>
      <w:r>
        <w:rPr>
          <w:rtl w:val="0"/>
        </w:rPr>
      </w:r>
    </w:p>
    <w:p w14:paraId="000000AB">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Base case</w:t>
      </w:r>
      <w:r>
        <w:rPr>
          <w:rtl w:val="0"/>
        </w:rPr>
      </w:r>
    </w:p>
    <w:p w14:paraId="000000AC">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Operational reference case: five full loads produce 400 raw portions and an illustrative 390 retained units. The first mix starts at 02:20 and final packing release is 09:28 under default assumptions. No sale-through percentage, revenue or investment return is inferred. [R2]</w:t>
      </w:r>
      <w:r>
        <w:rPr>
          <w:rtl w:val="0"/>
        </w:rPr>
      </w:r>
    </w:p>
    <w:p w14:paraId="000000AD">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Upside case</w:t>
      </w:r>
      <w:r>
        <w:rPr>
          <w:rtl w:val="0"/>
        </w:rPr>
      </w:r>
    </w:p>
    <w:p w14:paraId="000000AE">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Operational extended case: ten full loads produce 800 raw portions and an illustrative 780 retained units, with final packing release at 13:13. This requires staffing relief and continued transport and retail capacity. It is not an upside valuation or guaranteed sales outcome. [R2]</w:t>
      </w:r>
      <w:r>
        <w:rPr>
          <w:rtl w:val="0"/>
        </w:rPr>
      </w:r>
    </w:p>
    <w:p w14:paraId="000000AF">
      <w:pPr>
        <w:keepNext w:val="0"/>
        <w:pageBreakBefore w:val="0"/>
        <w:pBdr>
          <w:left w:color="111111" w:space="5" w:sz="16" w:val="single"/>
        </w:pBdr>
        <w:shd w:fill="f7f7f7" w:val="clear"/>
        <w:spacing w:after="180" w:before="60" w:line="240" w:lineRule="auto"/>
        <w:ind w:left="140" w:right="140" w:firstLine="0"/>
        <w:rPr/>
      </w:pPr>
      <w:r>
        <w:rPr>
          <w:rFonts w:ascii="Arial" w:cs="Arial" w:eastAsia="Arial" w:hAnsi="Arial"/>
          <w:b w:val="1"/>
          <w:bCs w:val="1"/>
          <w:i w:val="0"/>
          <w:iCs w:val="0"/>
          <w:color w:val="111111"/>
          <w:sz w:val="17"/>
          <w:szCs w:val="17"/>
          <w:rtl w:val="0"/>
        </w:rPr>
        <w:t xml:space="preserve">Required reconciliation: </w:t>
      </w:r>
      <w:r>
        <w:rPr>
          <w:rFonts w:ascii="Arial" w:cs="Arial" w:eastAsia="Arial" w:hAnsi="Arial"/>
          <w:b w:val="0"/>
          <w:bCs w:val="0"/>
          <w:i w:val="0"/>
          <w:iCs w:val="0"/>
          <w:color w:val="111111"/>
          <w:sz w:val="17"/>
          <w:szCs w:val="17"/>
          <w:rtl w:val="0"/>
        </w:rPr>
        <w:t xml:space="preserve">Before financial assessment, reconcile existing commitments, new funding, conditional future capital and total exposure to the same cash-flow model. None is currently quantified.</w:t>
      </w:r>
      <w:r>
        <w:rPr>
          <w:rtl w:val="0"/>
        </w:rPr>
      </w:r>
    </w:p>
    <w:p w14:paraId="000000B0">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3 x 3 sensitivity</w:t>
      </w:r>
      <w:r>
        <w:rPr>
          <w:rtl w:val="0"/>
        </w:rPr>
      </w:r>
    </w:p>
    <w:p w14:paraId="000000B1">
      <w:pPr>
        <w:keepNext w:val="0"/>
        <w:pageBreakBefore w:val="0"/>
        <w:spacing w:after="160" w:before="60" w:line="240" w:lineRule="auto"/>
        <w:rPr/>
      </w:pPr>
      <w:r>
        <w:rPr>
          <w:rFonts w:ascii="Arial" w:cs="Arial" w:eastAsia="Arial" w:hAnsi="Arial"/>
          <w:b w:val="1"/>
          <w:bCs w:val="1"/>
          <w:i w:val="0"/>
          <w:iCs w:val="0"/>
          <w:color w:val="111111"/>
          <w:sz w:val="18"/>
          <w:szCs w:val="18"/>
          <w:rtl w:val="0"/>
        </w:rPr>
        <w:t xml:space="preserve">Return metric: </w:t>
      </w:r>
      <w:r>
        <w:rPr>
          <w:rFonts w:ascii="Arial" w:cs="Arial" w:eastAsia="Arial" w:hAnsi="Arial"/>
          <w:b w:val="0"/>
          <w:bCs w:val="0"/>
          <w:i w:val="0"/>
          <w:iCs w:val="0"/>
          <w:color w:val="111111"/>
          <w:sz w:val="18"/>
          <w:szCs w:val="18"/>
          <w:rtl w:val="0"/>
        </w:rPr>
        <w:t xml:space="preserve">Not calculated. Operating and valuation ranges are unavailable; the matrix records the evidence gap rather than fabricated sensitivity values.</w:t>
      </w:r>
      <w:r>
        <w:rPr>
          <w:rtl w:val="0"/>
        </w:rPr>
      </w:r>
    </w:p>
    <w:tbl>
      <w:tblPr>
        <w:tblStyle w:val="Table4"/>
        <w:tblW w:w="9345.0" w:type="dxa"/>
        <w:jc w:val="left"/>
        <w:tblLayout w:type="fixed"/>
        <w:tblLook w:val="0400"/>
      </w:tblPr>
      <w:tblGrid>
        <w:gridCol w:w="2350"/>
        <w:gridCol w:w="2330"/>
        <w:gridCol w:w="2330"/>
        <w:gridCol w:w="2335"/>
        <w:tblGridChange w:id="0">
          <w:tblGrid>
            <w:gridCol w:w="2350"/>
            <w:gridCol w:w="2330"/>
            <w:gridCol w:w="2330"/>
            <w:gridCol w:w="2335"/>
          </w:tblGrid>
        </w:tblGridChange>
      </w:tblGrid>
      <w:tr>
        <w:trPr>
          <w:cantSplit w:val="0"/>
          <w:trHeight w:val="480" w:hRule="atLeast"/>
          <w:tblHeader w:val="1"/>
        </w:trPr>
        <w:tc>
          <w:tcPr>
            <w:tcBorders>
              <w:top w:color="e6e6e6" w:space="0" w:sz="4" w:val="single"/>
              <w:bottom w:color="e6e6e6" w:space="0" w:sz="4" w:val="single"/>
            </w:tcBorders>
            <w:shd w:fill="111111" w:val="clear"/>
            <w:tcMar>
              <w:top w:w="120.0" w:type="dxa"/>
              <w:bottom w:w="120.0" w:type="dxa"/>
            </w:tcMar>
            <w:vAlign w:val="center"/>
          </w:tcPr>
          <w:p w14:paraId="000000B2">
            <w:pPr>
              <w:keepNext w:val="0"/>
              <w:spacing w:after="0" w:before="0" w:line="240" w:lineRule="auto"/>
              <w:jc w:val="center"/>
              <w:rPr/>
            </w:pPr>
            <w:r>
              <w:rPr>
                <w:rtl w:val="0"/>
              </w:rPr>
            </w:r>
            <w:r>
              <w:t xml:space="preserve"/>
            </w:r>
          </w:p>
        </w:tc>
        <w:tc>
          <w:tcPr>
            <w:tcBorders>
              <w:top w:color="e6e6e6" w:space="0" w:sz="4" w:val="single"/>
              <w:bottom w:color="e6e6e6" w:space="0" w:sz="4" w:val="single"/>
            </w:tcBorders>
            <w:shd w:fill="111111" w:val="clear"/>
            <w:tcMar>
              <w:top w:w="120.0" w:type="dxa"/>
              <w:bottom w:w="120.0" w:type="dxa"/>
            </w:tcMar>
            <w:vAlign w:val="center"/>
          </w:tcPr>
          <w:p w14:paraId="000000B3">
            <w:pPr>
              <w:keepNext w:val="0"/>
              <w:spacing w:after="0" w:before="0" w:line="240" w:lineRule="auto"/>
              <w:jc w:val="center"/>
              <w:rPr/>
            </w:pPr>
            <w:r>
              <w:rPr>
                <w:rFonts w:ascii="Arial" w:cs="Arial" w:eastAsia="Arial" w:hAnsi="Arial"/>
                <w:b w:val="1"/>
                <w:bCs w:val="1"/>
                <w:i w:val="0"/>
                <w:iCs w:val="0"/>
                <w:color w:val="ffffff"/>
                <w:sz w:val="16"/>
                <w:szCs w:val="16"/>
                <w:rtl w:val="0"/>
              </w:rPr>
              <w:t xml:space="preserve">Low valuation</w:t>
            </w:r>
            <w:r>
              <w:rPr>
                <w:rtl w:val="0"/>
              </w:rPr>
            </w:r>
          </w:p>
        </w:tc>
        <w:tc>
          <w:tcPr>
            <w:tcBorders>
              <w:top w:color="e6e6e6" w:space="0" w:sz="4" w:val="single"/>
              <w:bottom w:color="e6e6e6" w:space="0" w:sz="4" w:val="single"/>
            </w:tcBorders>
            <w:shd w:fill="111111" w:val="clear"/>
            <w:tcMar>
              <w:top w:w="120.0" w:type="dxa"/>
              <w:bottom w:w="120.0" w:type="dxa"/>
            </w:tcMar>
            <w:vAlign w:val="center"/>
          </w:tcPr>
          <w:p w14:paraId="000000B4">
            <w:pPr>
              <w:keepNext w:val="0"/>
              <w:spacing w:after="0" w:before="0" w:line="240" w:lineRule="auto"/>
              <w:jc w:val="center"/>
              <w:rPr/>
            </w:pPr>
            <w:r>
              <w:rPr>
                <w:rFonts w:ascii="Arial" w:cs="Arial" w:eastAsia="Arial" w:hAnsi="Arial"/>
                <w:b w:val="1"/>
                <w:bCs w:val="1"/>
                <w:i w:val="0"/>
                <w:iCs w:val="0"/>
                <w:color w:val="ffffff"/>
                <w:sz w:val="16"/>
                <w:szCs w:val="16"/>
                <w:rtl w:val="0"/>
              </w:rPr>
              <w:t xml:space="preserve">Reference valuation</w:t>
            </w:r>
            <w:r>
              <w:rPr>
                <w:rtl w:val="0"/>
              </w:rPr>
            </w:r>
          </w:p>
        </w:tc>
        <w:tc>
          <w:tcPr>
            <w:tcBorders>
              <w:top w:color="e6e6e6" w:space="0" w:sz="4" w:val="single"/>
              <w:bottom w:color="e6e6e6" w:space="0" w:sz="4" w:val="single"/>
            </w:tcBorders>
            <w:shd w:fill="111111" w:val="clear"/>
            <w:tcMar>
              <w:top w:w="120.0" w:type="dxa"/>
              <w:bottom w:w="120.0" w:type="dxa"/>
            </w:tcMar>
            <w:vAlign w:val="center"/>
          </w:tcPr>
          <w:p w14:paraId="000000B5">
            <w:pPr>
              <w:keepNext w:val="0"/>
              <w:spacing w:after="0" w:before="0" w:line="240" w:lineRule="auto"/>
              <w:jc w:val="center"/>
              <w:rPr/>
            </w:pPr>
            <w:r>
              <w:rPr>
                <w:rFonts w:ascii="Arial" w:cs="Arial" w:eastAsia="Arial" w:hAnsi="Arial"/>
                <w:b w:val="1"/>
                <w:bCs w:val="1"/>
                <w:i w:val="0"/>
                <w:iCs w:val="0"/>
                <w:color w:val="ffffff"/>
                <w:sz w:val="16"/>
                <w:szCs w:val="16"/>
                <w:rtl w:val="0"/>
              </w:rPr>
              <w:t xml:space="preserve">High valuation</w:t>
            </w:r>
            <w:r>
              <w:rPr>
                <w:rtl w:val="0"/>
              </w:rPr>
            </w:r>
          </w:p>
        </w:tc>
      </w:tr>
      <w:tr>
        <w:trPr>
          <w:cantSplit w:val="1"/>
          <w:trHeight w:val="440" w:hRule="atLeast"/>
          <w:tblHeader w:val="0"/>
        </w:trPr>
        <w:tc>
          <w:tcPr>
            <w:tcBorders>
              <w:top w:color="e6e6e6" w:space="0" w:sz="4" w:val="single"/>
              <w:bottom w:color="e6e6e6" w:space="0" w:sz="4" w:val="single"/>
            </w:tcBorders>
            <w:shd w:fill="f7f7f7" w:val="clear"/>
            <w:tcMar>
              <w:top w:w="100.0" w:type="dxa"/>
              <w:bottom w:w="100.0" w:type="dxa"/>
            </w:tcMar>
            <w:vAlign w:val="center"/>
          </w:tcPr>
          <w:p w14:paraId="000000B6">
            <w:pPr>
              <w:keepNext w:val="0"/>
              <w:spacing w:after="0" w:before="0" w:line="240" w:lineRule="auto"/>
              <w:jc w:val="left"/>
              <w:rPr/>
            </w:pPr>
            <w:r>
              <w:rPr>
                <w:rFonts w:ascii="Arial" w:cs="Arial" w:eastAsia="Arial" w:hAnsi="Arial"/>
                <w:b w:val="0"/>
                <w:bCs w:val="0"/>
                <w:i w:val="0"/>
                <w:iCs w:val="0"/>
                <w:color w:val="111111"/>
                <w:sz w:val="16"/>
                <w:szCs w:val="16"/>
                <w:rtl w:val="0"/>
              </w:rPr>
              <w:t xml:space="preserve">Low operating case</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B7">
            <w:pPr>
              <w:keepNext w:val="0"/>
              <w:spacing w:after="0" w:before="0" w:line="240" w:lineRule="auto"/>
              <w:jc w:val="center"/>
              <w:rPr/>
            </w:pPr>
            <w:r>
              <w:rPr>
                <w:rFonts w:ascii="Arial" w:cs="Arial" w:eastAsia="Arial" w:hAnsi="Arial"/>
                <w:b w:val="0"/>
                <w:bCs w:val="0"/>
                <w:i w:val="0"/>
                <w:iCs w:val="0"/>
                <w:color w:val="111111"/>
                <w:sz w:val="16"/>
                <w:szCs w:val="16"/>
                <w:rtl w:val="0"/>
              </w:rPr>
              <w:t xml:space="preserve">Not calculated</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B8">
            <w:pPr>
              <w:keepNext w:val="0"/>
              <w:spacing w:after="0" w:before="0" w:line="240" w:lineRule="auto"/>
              <w:jc w:val="center"/>
              <w:rPr/>
            </w:pPr>
            <w:r>
              <w:rPr>
                <w:rFonts w:ascii="Arial" w:cs="Arial" w:eastAsia="Arial" w:hAnsi="Arial"/>
                <w:b w:val="0"/>
                <w:bCs w:val="0"/>
                <w:i w:val="0"/>
                <w:iCs w:val="0"/>
                <w:color w:val="111111"/>
                <w:sz w:val="16"/>
                <w:szCs w:val="16"/>
                <w:rtl w:val="0"/>
              </w:rPr>
              <w:t xml:space="preserve">Not calculated</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B9">
            <w:pPr>
              <w:keepNext w:val="0"/>
              <w:spacing w:after="0" w:before="0" w:line="240" w:lineRule="auto"/>
              <w:jc w:val="center"/>
              <w:rPr/>
            </w:pPr>
            <w:r>
              <w:rPr>
                <w:rFonts w:ascii="Arial" w:cs="Arial" w:eastAsia="Arial" w:hAnsi="Arial"/>
                <w:b w:val="0"/>
                <w:bCs w:val="0"/>
                <w:i w:val="0"/>
                <w:iCs w:val="0"/>
                <w:color w:val="111111"/>
                <w:sz w:val="16"/>
                <w:szCs w:val="16"/>
                <w:rtl w:val="0"/>
              </w:rPr>
              <w:t xml:space="preserve">Not calculated</w:t>
            </w:r>
            <w:r>
              <w:rPr>
                <w:rtl w:val="0"/>
              </w:rPr>
            </w:r>
          </w:p>
        </w:tc>
      </w:tr>
      <w:tr>
        <w:trPr>
          <w:cantSplit w:val="1"/>
          <w:trHeight w:val="440" w:hRule="atLeast"/>
          <w:tblHeader w:val="0"/>
        </w:trPr>
        <w:tc>
          <w:tcPr>
            <w:tcBorders>
              <w:top w:color="e6e6e6" w:space="0" w:sz="4" w:val="single"/>
              <w:bottom w:color="e6e6e6" w:space="0" w:sz="4" w:val="single"/>
            </w:tcBorders>
            <w:shd w:fill="ffffff" w:val="clear"/>
            <w:tcMar>
              <w:top w:w="100.0" w:type="dxa"/>
              <w:bottom w:w="100.0" w:type="dxa"/>
            </w:tcMar>
            <w:vAlign w:val="center"/>
          </w:tcPr>
          <w:p w14:paraId="000000BA">
            <w:pPr>
              <w:keepNext w:val="0"/>
              <w:spacing w:after="0" w:before="0" w:line="240" w:lineRule="auto"/>
              <w:jc w:val="left"/>
              <w:rPr/>
            </w:pPr>
            <w:r>
              <w:rPr>
                <w:rFonts w:ascii="Arial" w:cs="Arial" w:eastAsia="Arial" w:hAnsi="Arial"/>
                <w:b w:val="0"/>
                <w:bCs w:val="0"/>
                <w:i w:val="0"/>
                <w:iCs w:val="0"/>
                <w:color w:val="111111"/>
                <w:sz w:val="16"/>
                <w:szCs w:val="16"/>
                <w:rtl w:val="0"/>
              </w:rPr>
              <w:t xml:space="preserve">Reference operating case</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BB">
            <w:pPr>
              <w:keepNext w:val="0"/>
              <w:spacing w:after="0" w:before="0" w:line="240" w:lineRule="auto"/>
              <w:jc w:val="center"/>
              <w:rPr/>
            </w:pPr>
            <w:r>
              <w:rPr>
                <w:rFonts w:ascii="Arial" w:cs="Arial" w:eastAsia="Arial" w:hAnsi="Arial"/>
                <w:b w:val="0"/>
                <w:bCs w:val="0"/>
                <w:i w:val="0"/>
                <w:iCs w:val="0"/>
                <w:color w:val="111111"/>
                <w:sz w:val="16"/>
                <w:szCs w:val="16"/>
                <w:rtl w:val="0"/>
              </w:rPr>
              <w:t xml:space="preserve">Not calculated</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BC">
            <w:pPr>
              <w:keepNext w:val="0"/>
              <w:spacing w:after="0" w:before="0" w:line="240" w:lineRule="auto"/>
              <w:jc w:val="center"/>
              <w:rPr/>
            </w:pPr>
            <w:r>
              <w:rPr>
                <w:rFonts w:ascii="Arial" w:cs="Arial" w:eastAsia="Arial" w:hAnsi="Arial"/>
                <w:b w:val="0"/>
                <w:bCs w:val="0"/>
                <w:i w:val="0"/>
                <w:iCs w:val="0"/>
                <w:color w:val="111111"/>
                <w:sz w:val="16"/>
                <w:szCs w:val="16"/>
                <w:rtl w:val="0"/>
              </w:rPr>
              <w:t xml:space="preserve">Not calculated</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BD">
            <w:pPr>
              <w:keepNext w:val="0"/>
              <w:spacing w:after="0" w:before="0" w:line="240" w:lineRule="auto"/>
              <w:jc w:val="center"/>
              <w:rPr/>
            </w:pPr>
            <w:r>
              <w:rPr>
                <w:rFonts w:ascii="Arial" w:cs="Arial" w:eastAsia="Arial" w:hAnsi="Arial"/>
                <w:b w:val="0"/>
                <w:bCs w:val="0"/>
                <w:i w:val="0"/>
                <w:iCs w:val="0"/>
                <w:color w:val="111111"/>
                <w:sz w:val="16"/>
                <w:szCs w:val="16"/>
                <w:rtl w:val="0"/>
              </w:rPr>
              <w:t xml:space="preserve">Not calculated</w:t>
            </w:r>
            <w:r>
              <w:rPr>
                <w:rtl w:val="0"/>
              </w:rPr>
            </w:r>
          </w:p>
        </w:tc>
      </w:tr>
      <w:tr>
        <w:trPr>
          <w:cantSplit w:val="1"/>
          <w:trHeight w:val="440" w:hRule="atLeast"/>
          <w:tblHeader w:val="0"/>
        </w:trPr>
        <w:tc>
          <w:tcPr>
            <w:tcBorders>
              <w:top w:color="e6e6e6" w:space="0" w:sz="4" w:val="single"/>
              <w:bottom w:color="e6e6e6" w:space="0" w:sz="4" w:val="single"/>
            </w:tcBorders>
            <w:shd w:fill="f7f7f7" w:val="clear"/>
            <w:tcMar>
              <w:top w:w="100.0" w:type="dxa"/>
              <w:bottom w:w="100.0" w:type="dxa"/>
            </w:tcMar>
            <w:vAlign w:val="center"/>
          </w:tcPr>
          <w:p w14:paraId="000000BE">
            <w:pPr>
              <w:keepNext w:val="0"/>
              <w:spacing w:after="0" w:before="0" w:line="240" w:lineRule="auto"/>
              <w:jc w:val="left"/>
              <w:rPr/>
            </w:pPr>
            <w:r>
              <w:rPr>
                <w:rFonts w:ascii="Arial" w:cs="Arial" w:eastAsia="Arial" w:hAnsi="Arial"/>
                <w:b w:val="0"/>
                <w:bCs w:val="0"/>
                <w:i w:val="0"/>
                <w:iCs w:val="0"/>
                <w:color w:val="111111"/>
                <w:sz w:val="16"/>
                <w:szCs w:val="16"/>
                <w:rtl w:val="0"/>
              </w:rPr>
              <w:t xml:space="preserve">High operating case</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BF">
            <w:pPr>
              <w:keepNext w:val="0"/>
              <w:spacing w:after="0" w:before="0" w:line="240" w:lineRule="auto"/>
              <w:jc w:val="center"/>
              <w:rPr/>
            </w:pPr>
            <w:r>
              <w:rPr>
                <w:rFonts w:ascii="Arial" w:cs="Arial" w:eastAsia="Arial" w:hAnsi="Arial"/>
                <w:b w:val="0"/>
                <w:bCs w:val="0"/>
                <w:i w:val="0"/>
                <w:iCs w:val="0"/>
                <w:color w:val="111111"/>
                <w:sz w:val="16"/>
                <w:szCs w:val="16"/>
                <w:rtl w:val="0"/>
              </w:rPr>
              <w:t xml:space="preserve">Not calculated</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C0">
            <w:pPr>
              <w:keepNext w:val="0"/>
              <w:spacing w:after="0" w:before="0" w:line="240" w:lineRule="auto"/>
              <w:jc w:val="center"/>
              <w:rPr/>
            </w:pPr>
            <w:r>
              <w:rPr>
                <w:rFonts w:ascii="Arial" w:cs="Arial" w:eastAsia="Arial" w:hAnsi="Arial"/>
                <w:b w:val="0"/>
                <w:bCs w:val="0"/>
                <w:i w:val="0"/>
                <w:iCs w:val="0"/>
                <w:color w:val="111111"/>
                <w:sz w:val="16"/>
                <w:szCs w:val="16"/>
                <w:rtl w:val="0"/>
              </w:rPr>
              <w:t xml:space="preserve">Not calculated</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C1">
            <w:pPr>
              <w:keepNext w:val="0"/>
              <w:spacing w:after="0" w:before="0" w:line="240" w:lineRule="auto"/>
              <w:jc w:val="center"/>
              <w:rPr/>
            </w:pPr>
            <w:r>
              <w:rPr>
                <w:rFonts w:ascii="Arial" w:cs="Arial" w:eastAsia="Arial" w:hAnsi="Arial"/>
                <w:b w:val="0"/>
                <w:bCs w:val="0"/>
                <w:i w:val="0"/>
                <w:iCs w:val="0"/>
                <w:color w:val="111111"/>
                <w:sz w:val="16"/>
                <w:szCs w:val="16"/>
                <w:rtl w:val="0"/>
              </w:rPr>
              <w:t xml:space="preserve">Not calculated</w:t>
            </w:r>
            <w:r>
              <w:rPr>
                <w:rtl w:val="0"/>
              </w:rPr>
            </w:r>
          </w:p>
        </w:tc>
      </w:tr>
    </w:tbl>
    <w:p w14:paraId="000000C2">
      <w:pPr>
        <w:keepNext w:val="0"/>
        <w:pageBreakBefore w:val="0"/>
        <w:spacing w:after="20" w:before="0" w:line="240" w:lineRule="auto"/>
        <w:rPr/>
      </w:pPr>
      <w:r>
        <w:rPr>
          <w:rtl w:val="0"/>
        </w:rPr>
      </w:r>
    </w:p>
    <w:p w14:paraId="000000C3">
      <w:pPr>
        <w:keepNext w:val="0"/>
        <w:keepLines w:val="1"/>
        <w:pageBreakBefore w:val="0"/>
        <w:spacing w:after="160" w:before="40" w:line="240" w:lineRule="auto"/>
        <w:rPr/>
      </w:pPr>
      <w:r>
        <w:rPr>
          <w:rFonts w:ascii="Arial" w:cs="Arial" w:eastAsia="Arial" w:hAnsi="Arial"/>
          <w:b w:val="0"/>
          <w:bCs w:val="0"/>
          <w:i w:val="1"/>
          <w:iCs w:val="1"/>
          <w:color w:val="111111"/>
          <w:sz w:val="18"/>
          <w:szCs w:val="18"/>
          <w:rtl w:val="0"/>
        </w:rPr>
        <w:t xml:space="preserve">A return sensitivity cannot be interpreted until the underlying funding and cash-flow inputs are established.</w:t>
      </w:r>
      <w:r>
        <w:rPr>
          <w:rtl w:val="0"/>
        </w:rPr>
      </w:r>
    </w:p>
    <w:p w14:paraId="000000C4">
      <w:pPr>
        <w:pStyle w:val="Heading1"/>
        <w:keepNext w:val="1"/>
        <w:pageBreakBefore w:val="1"/>
        <w:spacing w:after="200" w:before="320" w:line="240" w:lineRule="auto"/>
        <w:rPr/>
      </w:pPr>
      <w:r>
        <w:rPr>
          <w:rFonts w:ascii="Arial" w:cs="Arial" w:eastAsia="Arial" w:hAnsi="Arial"/>
          <w:b w:val="1"/>
          <w:bCs w:val="1"/>
          <w:i w:val="0"/>
          <w:iCs w:val="0"/>
          <w:color w:val="111111"/>
          <w:sz w:val="22"/>
          <w:szCs w:val="22"/>
          <w:rtl w:val="0"/>
        </w:rPr>
        <w:t xml:space="preserve">12.   Deal Terms</w:t>
      </w:r>
      <w:r>
        <w:rPr>
          <w:rtl w:val="0"/>
        </w:rPr>
      </w:r>
    </w:p>
    <w:p w14:paraId="000000C5">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Transaction structure and economics</w:t>
      </w:r>
      <w:r>
        <w:rPr>
          <w:rtl w:val="0"/>
        </w:rPr>
      </w:r>
    </w:p>
    <w:p w14:paraId="000000C6">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No security, loan structure, funding amount, ownership percentage, valuation or use-of-proceeds agreement was supplied. This document is a readiness review and does not constitute a transaction proposal.</w:t>
      </w:r>
      <w:r>
        <w:rPr>
          <w:rtl w:val="0"/>
        </w:rPr>
      </w:r>
    </w:p>
    <w:p w14:paraId="000000C7">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Governance and investor protections</w:t>
      </w:r>
      <w:r>
        <w:rPr>
          <w:rtl w:val="0"/>
        </w:rPr>
      </w:r>
    </w:p>
    <w:p w14:paraId="000000C8">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If financing is later proposed, document reporting duties, approval rights, repayment or distribution terms and any security with the relevant advisers. No legal rights or protections are assumed to exist in the current project.</w:t>
      </w:r>
      <w:r>
        <w:rPr>
          <w:rtl w:val="0"/>
        </w:rPr>
      </w:r>
    </w:p>
    <w:p w14:paraId="000000C9">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Closing conditions and key dates</w:t>
      </w:r>
      <w:r>
        <w:rPr>
          <w:rtl w:val="0"/>
        </w:rPr>
      </w:r>
    </w:p>
    <w:p w14:paraId="000000CA">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Suggested sequence: identify EDC; complete the affected formulations and costs; verify equipment and staffing; record independent commissioning trials; measure sales and returns; assemble a priced funding proposal. Owners, dates and expenditure authority require management confirmation.</w:t>
      </w:r>
      <w:r>
        <w:rPr>
          <w:rtl w:val="0"/>
        </w:rPr>
      </w:r>
    </w:p>
    <w:p w14:paraId="000000CB">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Term assessment</w:t>
      </w:r>
      <w:r>
        <w:rPr>
          <w:rtl w:val="0"/>
        </w:rPr>
      </w:r>
    </w:p>
    <w:p w14:paraId="000000CC">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Terms cannot be assessed without an actual proposal. Compare funding alternatives only after capital need and cash-generation assumptions are supported.</w:t>
      </w:r>
      <w:r>
        <w:rPr>
          <w:rtl w:val="0"/>
        </w:rPr>
      </w:r>
    </w:p>
    <w:p w14:paraId="000000CD">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Staged capital</w:t>
      </w:r>
      <w:r>
        <w:rPr>
          <w:rtl w:val="0"/>
        </w:rPr>
      </w:r>
    </w:p>
    <w:tbl>
      <w:tblPr>
        <w:tblStyle w:val="Table5"/>
        <w:tblW w:w="9345.0" w:type="dxa"/>
        <w:jc w:val="left"/>
        <w:tblLayout w:type="fixed"/>
        <w:tblLook w:val="0400"/>
      </w:tblPr>
      <w:tblGrid>
        <w:gridCol w:w="2100"/>
        <w:gridCol w:w="1100"/>
        <w:gridCol w:w="2450"/>
        <w:gridCol w:w="1600"/>
        <w:gridCol w:w="2095"/>
        <w:tblGridChange w:id="0">
          <w:tblGrid>
            <w:gridCol w:w="2100"/>
            <w:gridCol w:w="1100"/>
            <w:gridCol w:w="2450"/>
            <w:gridCol w:w="1600"/>
            <w:gridCol w:w="2095"/>
          </w:tblGrid>
        </w:tblGridChange>
      </w:tblGrid>
      <w:tr>
        <w:trPr>
          <w:cantSplit w:val="0"/>
          <w:trHeight w:val="480" w:hRule="atLeast"/>
          <w:tblHeader w:val="1"/>
        </w:trPr>
        <w:tc>
          <w:tcPr>
            <w:tcBorders>
              <w:top w:color="e6e6e6" w:space="0" w:sz="4" w:val="single"/>
              <w:bottom w:color="e6e6e6" w:space="0" w:sz="4" w:val="single"/>
            </w:tcBorders>
            <w:shd w:fill="111111" w:val="clear"/>
            <w:tcMar>
              <w:top w:w="120.0" w:type="dxa"/>
              <w:bottom w:w="120.0" w:type="dxa"/>
            </w:tcMar>
            <w:vAlign w:val="center"/>
          </w:tcPr>
          <w:p w14:paraId="000000CE">
            <w:pPr>
              <w:keepNext w:val="0"/>
              <w:spacing w:after="0" w:before="0" w:line="240" w:lineRule="auto"/>
              <w:jc w:val="center"/>
              <w:rPr/>
            </w:pPr>
            <w:r>
              <w:rPr>
                <w:rFonts w:ascii="Arial" w:cs="Arial" w:eastAsia="Arial" w:hAnsi="Arial"/>
                <w:b w:val="1"/>
                <w:bCs w:val="1"/>
                <w:i w:val="0"/>
                <w:iCs w:val="0"/>
                <w:color w:val="ffffff"/>
                <w:sz w:val="15"/>
                <w:szCs w:val="15"/>
                <w:rtl w:val="0"/>
              </w:rPr>
              <w:t xml:space="preserve">Capital stage</w:t>
            </w:r>
            <w:r>
              <w:rPr>
                <w:rtl w:val="0"/>
              </w:rPr>
            </w:r>
          </w:p>
        </w:tc>
        <w:tc>
          <w:tcPr>
            <w:tcBorders>
              <w:top w:color="e6e6e6" w:space="0" w:sz="4" w:val="single"/>
              <w:bottom w:color="e6e6e6" w:space="0" w:sz="4" w:val="single"/>
            </w:tcBorders>
            <w:shd w:fill="111111" w:val="clear"/>
            <w:tcMar>
              <w:top w:w="120.0" w:type="dxa"/>
              <w:bottom w:w="120.0" w:type="dxa"/>
            </w:tcMar>
            <w:vAlign w:val="center"/>
          </w:tcPr>
          <w:p w14:paraId="000000CF">
            <w:pPr>
              <w:keepNext w:val="0"/>
              <w:spacing w:after="0" w:before="0" w:line="240" w:lineRule="auto"/>
              <w:jc w:val="center"/>
              <w:rPr/>
            </w:pPr>
            <w:r>
              <w:rPr>
                <w:rFonts w:ascii="Arial" w:cs="Arial" w:eastAsia="Arial" w:hAnsi="Arial"/>
                <w:b w:val="1"/>
                <w:bCs w:val="1"/>
                <w:i w:val="0"/>
                <w:iCs w:val="0"/>
                <w:color w:val="ffffff"/>
                <w:sz w:val="15"/>
                <w:szCs w:val="15"/>
                <w:rtl w:val="0"/>
              </w:rPr>
              <w:t xml:space="preserve">Amount</w:t>
            </w:r>
            <w:r>
              <w:rPr>
                <w:rtl w:val="0"/>
              </w:rPr>
            </w:r>
          </w:p>
        </w:tc>
        <w:tc>
          <w:tcPr>
            <w:tcBorders>
              <w:top w:color="e6e6e6" w:space="0" w:sz="4" w:val="single"/>
              <w:bottom w:color="e6e6e6" w:space="0" w:sz="4" w:val="single"/>
            </w:tcBorders>
            <w:shd w:fill="111111" w:val="clear"/>
            <w:tcMar>
              <w:top w:w="120.0" w:type="dxa"/>
              <w:bottom w:w="120.0" w:type="dxa"/>
            </w:tcMar>
            <w:vAlign w:val="center"/>
          </w:tcPr>
          <w:p w14:paraId="000000D0">
            <w:pPr>
              <w:keepNext w:val="0"/>
              <w:spacing w:after="0" w:before="0" w:line="240" w:lineRule="auto"/>
              <w:jc w:val="center"/>
              <w:rPr/>
            </w:pPr>
            <w:r>
              <w:rPr>
                <w:rFonts w:ascii="Arial" w:cs="Arial" w:eastAsia="Arial" w:hAnsi="Arial"/>
                <w:b w:val="1"/>
                <w:bCs w:val="1"/>
                <w:i w:val="0"/>
                <w:iCs w:val="0"/>
                <w:color w:val="ffffff"/>
                <w:sz w:val="15"/>
                <w:szCs w:val="15"/>
                <w:rtl w:val="0"/>
              </w:rPr>
              <w:t xml:space="preserve">Authorization status</w:t>
            </w:r>
            <w:r>
              <w:rPr>
                <w:rtl w:val="0"/>
              </w:rPr>
            </w:r>
          </w:p>
        </w:tc>
        <w:tc>
          <w:tcPr>
            <w:tcBorders>
              <w:top w:color="e6e6e6" w:space="0" w:sz="4" w:val="single"/>
              <w:bottom w:color="e6e6e6" w:space="0" w:sz="4" w:val="single"/>
            </w:tcBorders>
            <w:shd w:fill="111111" w:val="clear"/>
            <w:tcMar>
              <w:top w:w="120.0" w:type="dxa"/>
              <w:bottom w:w="120.0" w:type="dxa"/>
            </w:tcMar>
            <w:vAlign w:val="center"/>
          </w:tcPr>
          <w:p w14:paraId="000000D1">
            <w:pPr>
              <w:keepNext w:val="0"/>
              <w:spacing w:after="0" w:before="0" w:line="240" w:lineRule="auto"/>
              <w:jc w:val="center"/>
              <w:rPr/>
            </w:pPr>
            <w:r>
              <w:rPr>
                <w:rFonts w:ascii="Arial" w:cs="Arial" w:eastAsia="Arial" w:hAnsi="Arial"/>
                <w:b w:val="1"/>
                <w:bCs w:val="1"/>
                <w:i w:val="0"/>
                <w:iCs w:val="0"/>
                <w:color w:val="ffffff"/>
                <w:sz w:val="15"/>
                <w:szCs w:val="15"/>
                <w:rtl w:val="0"/>
              </w:rPr>
              <w:t xml:space="preserve">Timing / trigger</w:t>
            </w:r>
            <w:r>
              <w:rPr>
                <w:rtl w:val="0"/>
              </w:rPr>
            </w:r>
          </w:p>
        </w:tc>
        <w:tc>
          <w:tcPr>
            <w:tcBorders>
              <w:top w:color="e6e6e6" w:space="0" w:sz="4" w:val="single"/>
              <w:bottom w:color="e6e6e6" w:space="0" w:sz="4" w:val="single"/>
            </w:tcBorders>
            <w:shd w:fill="111111" w:val="clear"/>
            <w:tcMar>
              <w:top w:w="120.0" w:type="dxa"/>
              <w:bottom w:w="120.0" w:type="dxa"/>
            </w:tcMar>
            <w:vAlign w:val="center"/>
          </w:tcPr>
          <w:p w14:paraId="000000D2">
            <w:pPr>
              <w:keepNext w:val="0"/>
              <w:spacing w:after="0" w:before="0" w:line="240" w:lineRule="auto"/>
              <w:jc w:val="center"/>
              <w:rPr/>
            </w:pPr>
            <w:r>
              <w:rPr>
                <w:rFonts w:ascii="Arial" w:cs="Arial" w:eastAsia="Arial" w:hAnsi="Arial"/>
                <w:b w:val="1"/>
                <w:bCs w:val="1"/>
                <w:i w:val="0"/>
                <w:iCs w:val="0"/>
                <w:color w:val="ffffff"/>
                <w:sz w:val="15"/>
                <w:szCs w:val="15"/>
                <w:rtl w:val="0"/>
              </w:rPr>
              <w:t xml:space="preserve">Conditions</w:t>
            </w:r>
            <w:r>
              <w:rPr>
                <w:rtl w:val="0"/>
              </w:rPr>
            </w:r>
          </w:p>
        </w:tc>
      </w:tr>
      <w:tr>
        <w:trPr>
          <w:cantSplit w:val="1"/>
          <w:trHeight w:val="440" w:hRule="atLeast"/>
          <w:tblHeader w:val="0"/>
        </w:trPr>
        <w:tc>
          <w:tcPr>
            <w:tcBorders>
              <w:top w:color="e6e6e6" w:space="0" w:sz="4" w:val="single"/>
              <w:bottom w:color="e6e6e6" w:space="0" w:sz="4" w:val="single"/>
            </w:tcBorders>
            <w:shd w:fill="f7f7f7" w:val="clear"/>
            <w:tcMar>
              <w:top w:w="100.0" w:type="dxa"/>
              <w:bottom w:w="100.0" w:type="dxa"/>
            </w:tcMar>
            <w:vAlign w:val="center"/>
          </w:tcPr>
          <w:p w14:paraId="000000D3">
            <w:pPr>
              <w:keepNext w:val="0"/>
              <w:spacing w:after="0" w:before="0" w:line="240" w:lineRule="auto"/>
              <w:jc w:val="left"/>
              <w:rPr/>
            </w:pPr>
            <w:r>
              <w:rPr>
                <w:rFonts w:ascii="Arial" w:cs="Arial" w:eastAsia="Arial" w:hAnsi="Arial"/>
                <w:b w:val="0"/>
                <w:bCs w:val="0"/>
                <w:i w:val="0"/>
                <w:iCs w:val="0"/>
                <w:color w:val="111111"/>
                <w:sz w:val="15"/>
                <w:szCs w:val="15"/>
                <w:rtl w:val="0"/>
              </w:rPr>
              <w:t xml:space="preserve">Existing commitments</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D4">
            <w:pPr>
              <w:keepNext w:val="0"/>
              <w:spacing w:after="0" w:before="0" w:line="240" w:lineRule="auto"/>
              <w:jc w:val="right"/>
              <w:rPr/>
            </w:pPr>
            <w:r>
              <w:rPr>
                <w:rFonts w:ascii="Arial" w:cs="Arial" w:eastAsia="Arial" w:hAnsi="Arial"/>
                <w:b w:val="0"/>
                <w:bCs w:val="0"/>
                <w:i w:val="0"/>
                <w:iCs w:val="0"/>
                <w:color w:val="111111"/>
                <w:sz w:val="15"/>
                <w:szCs w:val="15"/>
                <w:rtl w:val="0"/>
              </w:rPr>
              <w:t xml:space="preserve">Unknown</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D5">
            <w:pPr>
              <w:keepNext w:val="0"/>
              <w:spacing w:after="0" w:before="0" w:line="240" w:lineRule="auto"/>
              <w:jc w:val="left"/>
              <w:rPr/>
            </w:pPr>
            <w:r>
              <w:rPr>
                <w:rFonts w:ascii="Arial" w:cs="Arial" w:eastAsia="Arial" w:hAnsi="Arial"/>
                <w:b w:val="0"/>
                <w:bCs w:val="0"/>
                <w:i w:val="0"/>
                <w:iCs w:val="0"/>
                <w:color w:val="111111"/>
                <w:sz w:val="15"/>
                <w:szCs w:val="15"/>
                <w:rtl w:val="0"/>
              </w:rPr>
              <w:t xml:space="preserve">Records not supplied</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D6">
            <w:pPr>
              <w:keepNext w:val="0"/>
              <w:spacing w:after="0" w:before="0" w:line="240" w:lineRule="auto"/>
              <w:jc w:val="left"/>
              <w:rPr/>
            </w:pPr>
            <w:r>
              <w:rPr>
                <w:rFonts w:ascii="Arial" w:cs="Arial" w:eastAsia="Arial" w:hAnsi="Arial"/>
                <w:b w:val="0"/>
                <w:bCs w:val="0"/>
                <w:i w:val="0"/>
                <w:iCs w:val="0"/>
                <w:color w:val="111111"/>
                <w:sz w:val="15"/>
                <w:szCs w:val="15"/>
                <w:rtl w:val="0"/>
              </w:rPr>
              <w:t xml:space="preserve">Owner confirmation</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D7">
            <w:pPr>
              <w:keepNext w:val="0"/>
              <w:spacing w:after="0" w:before="0" w:line="240" w:lineRule="auto"/>
              <w:jc w:val="left"/>
              <w:rPr/>
            </w:pPr>
            <w:r>
              <w:rPr>
                <w:rFonts w:ascii="Arial" w:cs="Arial" w:eastAsia="Arial" w:hAnsi="Arial"/>
                <w:b w:val="0"/>
                <w:bCs w:val="0"/>
                <w:i w:val="0"/>
                <w:iCs w:val="0"/>
                <w:color w:val="111111"/>
                <w:sz w:val="15"/>
                <w:szCs w:val="15"/>
                <w:rtl w:val="0"/>
              </w:rPr>
              <w:t xml:space="preserve">Reconcile obligations</w:t>
            </w:r>
            <w:r>
              <w:rPr>
                <w:rtl w:val="0"/>
              </w:rPr>
            </w:r>
          </w:p>
        </w:tc>
      </w:tr>
      <w:tr>
        <w:trPr>
          <w:cantSplit w:val="1"/>
          <w:trHeight w:val="440" w:hRule="atLeast"/>
          <w:tblHeader w:val="0"/>
        </w:trPr>
        <w:tc>
          <w:tcPr>
            <w:tcBorders>
              <w:top w:color="e6e6e6" w:space="0" w:sz="4" w:val="single"/>
              <w:bottom w:color="e6e6e6" w:space="0" w:sz="4" w:val="single"/>
            </w:tcBorders>
            <w:shd w:fill="ffffff" w:val="clear"/>
            <w:tcMar>
              <w:top w:w="100.0" w:type="dxa"/>
              <w:bottom w:w="100.0" w:type="dxa"/>
            </w:tcMar>
            <w:vAlign w:val="center"/>
          </w:tcPr>
          <w:p w14:paraId="000000D8">
            <w:pPr>
              <w:keepNext w:val="0"/>
              <w:spacing w:after="0" w:before="0" w:line="240" w:lineRule="auto"/>
              <w:jc w:val="left"/>
              <w:rPr/>
            </w:pPr>
            <w:r>
              <w:rPr>
                <w:rFonts w:ascii="Arial" w:cs="Arial" w:eastAsia="Arial" w:hAnsi="Arial"/>
                <w:b w:val="0"/>
                <w:bCs w:val="0"/>
                <w:i w:val="0"/>
                <w:iCs w:val="0"/>
                <w:color w:val="111111"/>
                <w:sz w:val="15"/>
                <w:szCs w:val="15"/>
                <w:rtl w:val="0"/>
              </w:rPr>
              <w:t xml:space="preserve">Commissioning request</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D9">
            <w:pPr>
              <w:keepNext w:val="0"/>
              <w:spacing w:after="0" w:before="0" w:line="240" w:lineRule="auto"/>
              <w:jc w:val="right"/>
              <w:rPr/>
            </w:pPr>
            <w:r>
              <w:rPr>
                <w:rFonts w:ascii="Arial" w:cs="Arial" w:eastAsia="Arial" w:hAnsi="Arial"/>
                <w:b w:val="0"/>
                <w:bCs w:val="0"/>
                <w:i w:val="0"/>
                <w:iCs w:val="0"/>
                <w:color w:val="111111"/>
                <w:sz w:val="15"/>
                <w:szCs w:val="15"/>
                <w:rtl w:val="0"/>
              </w:rPr>
              <w:t xml:space="preserve">Not supplied</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DA">
            <w:pPr>
              <w:keepNext w:val="0"/>
              <w:spacing w:after="0" w:before="0" w:line="240" w:lineRule="auto"/>
              <w:jc w:val="left"/>
              <w:rPr/>
            </w:pPr>
            <w:r>
              <w:rPr>
                <w:rFonts w:ascii="Arial" w:cs="Arial" w:eastAsia="Arial" w:hAnsi="Arial"/>
                <w:b w:val="0"/>
                <w:bCs w:val="0"/>
                <w:i w:val="0"/>
                <w:iCs w:val="0"/>
                <w:color w:val="111111"/>
                <w:sz w:val="15"/>
                <w:szCs w:val="15"/>
                <w:rtl w:val="0"/>
              </w:rPr>
              <w:t xml:space="preserve">No approval recorded</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DB">
            <w:pPr>
              <w:keepNext w:val="0"/>
              <w:spacing w:after="0" w:before="0" w:line="240" w:lineRule="auto"/>
              <w:jc w:val="left"/>
              <w:rPr/>
            </w:pPr>
            <w:r>
              <w:rPr>
                <w:rFonts w:ascii="Arial" w:cs="Arial" w:eastAsia="Arial" w:hAnsi="Arial"/>
                <w:b w:val="0"/>
                <w:bCs w:val="0"/>
                <w:i w:val="0"/>
                <w:iCs w:val="0"/>
                <w:color w:val="111111"/>
                <w:sz w:val="15"/>
                <w:szCs w:val="15"/>
                <w:rtl w:val="0"/>
              </w:rPr>
              <w:t xml:space="preserve">Priced budget</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DC">
            <w:pPr>
              <w:keepNext w:val="0"/>
              <w:spacing w:after="0" w:before="0" w:line="240" w:lineRule="auto"/>
              <w:jc w:val="left"/>
              <w:rPr/>
            </w:pPr>
            <w:r>
              <w:rPr>
                <w:rFonts w:ascii="Arial" w:cs="Arial" w:eastAsia="Arial" w:hAnsi="Arial"/>
                <w:b w:val="0"/>
                <w:bCs w:val="0"/>
                <w:i w:val="0"/>
                <w:iCs w:val="0"/>
                <w:color w:val="111111"/>
                <w:sz w:val="15"/>
                <w:szCs w:val="15"/>
                <w:rtl w:val="0"/>
              </w:rPr>
              <w:t xml:space="preserve">Identify staff and costs</w:t>
            </w:r>
            <w:r>
              <w:rPr>
                <w:rtl w:val="0"/>
              </w:rPr>
            </w:r>
          </w:p>
        </w:tc>
      </w:tr>
      <w:tr>
        <w:trPr>
          <w:cantSplit w:val="1"/>
          <w:trHeight w:val="440" w:hRule="atLeast"/>
          <w:tblHeader w:val="0"/>
        </w:trPr>
        <w:tc>
          <w:tcPr>
            <w:tcBorders>
              <w:top w:color="e6e6e6" w:space="0" w:sz="4" w:val="single"/>
              <w:bottom w:color="e6e6e6" w:space="0" w:sz="4" w:val="single"/>
            </w:tcBorders>
            <w:shd w:fill="f7f7f7" w:val="clear"/>
            <w:tcMar>
              <w:top w:w="100.0" w:type="dxa"/>
              <w:bottom w:w="100.0" w:type="dxa"/>
            </w:tcMar>
            <w:vAlign w:val="center"/>
          </w:tcPr>
          <w:p w14:paraId="000000DD">
            <w:pPr>
              <w:keepNext w:val="0"/>
              <w:spacing w:after="0" w:before="0" w:line="240" w:lineRule="auto"/>
              <w:jc w:val="left"/>
              <w:rPr/>
            </w:pPr>
            <w:r>
              <w:rPr>
                <w:rFonts w:ascii="Arial" w:cs="Arial" w:eastAsia="Arial" w:hAnsi="Arial"/>
                <w:b w:val="0"/>
                <w:bCs w:val="0"/>
                <w:i w:val="0"/>
                <w:iCs w:val="0"/>
                <w:color w:val="111111"/>
                <w:sz w:val="15"/>
                <w:szCs w:val="15"/>
                <w:rtl w:val="0"/>
              </w:rPr>
              <w:t xml:space="preserve">Conditional expansion</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DE">
            <w:pPr>
              <w:keepNext w:val="0"/>
              <w:spacing w:after="0" w:before="0" w:line="240" w:lineRule="auto"/>
              <w:jc w:val="right"/>
              <w:rPr/>
            </w:pPr>
            <w:r>
              <w:rPr>
                <w:rFonts w:ascii="Arial" w:cs="Arial" w:eastAsia="Arial" w:hAnsi="Arial"/>
                <w:b w:val="0"/>
                <w:bCs w:val="0"/>
                <w:i w:val="0"/>
                <w:iCs w:val="0"/>
                <w:color w:val="111111"/>
                <w:sz w:val="15"/>
                <w:szCs w:val="15"/>
                <w:rtl w:val="0"/>
              </w:rPr>
              <w:t xml:space="preserve">Unknown</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DF">
            <w:pPr>
              <w:keepNext w:val="0"/>
              <w:spacing w:after="0" w:before="0" w:line="240" w:lineRule="auto"/>
              <w:jc w:val="left"/>
              <w:rPr/>
            </w:pPr>
            <w:r>
              <w:rPr>
                <w:rFonts w:ascii="Arial" w:cs="Arial" w:eastAsia="Arial" w:hAnsi="Arial"/>
                <w:b w:val="0"/>
                <w:bCs w:val="0"/>
                <w:i w:val="0"/>
                <w:iCs w:val="0"/>
                <w:color w:val="111111"/>
                <w:sz w:val="15"/>
                <w:szCs w:val="15"/>
                <w:rtl w:val="0"/>
              </w:rPr>
              <w:t xml:space="preserve">Not authorized</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E0">
            <w:pPr>
              <w:keepNext w:val="0"/>
              <w:spacing w:after="0" w:before="0" w:line="240" w:lineRule="auto"/>
              <w:jc w:val="left"/>
              <w:rPr/>
            </w:pPr>
            <w:r>
              <w:rPr>
                <w:rFonts w:ascii="Arial" w:cs="Arial" w:eastAsia="Arial" w:hAnsi="Arial"/>
                <w:b w:val="0"/>
                <w:bCs w:val="0"/>
                <w:i w:val="0"/>
                <w:iCs w:val="0"/>
                <w:color w:val="111111"/>
                <w:sz w:val="15"/>
                <w:szCs w:val="15"/>
                <w:rtl w:val="0"/>
              </w:rPr>
              <w:t xml:space="preserve">Successful trials</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E1">
            <w:pPr>
              <w:keepNext w:val="0"/>
              <w:spacing w:after="0" w:before="0" w:line="240" w:lineRule="auto"/>
              <w:jc w:val="left"/>
              <w:rPr/>
            </w:pPr>
            <w:r>
              <w:rPr>
                <w:rFonts w:ascii="Arial" w:cs="Arial" w:eastAsia="Arial" w:hAnsi="Arial"/>
                <w:b w:val="0"/>
                <w:bCs w:val="0"/>
                <w:i w:val="0"/>
                <w:iCs w:val="0"/>
                <w:color w:val="111111"/>
                <w:sz w:val="15"/>
                <w:szCs w:val="15"/>
                <w:rtl w:val="0"/>
              </w:rPr>
              <w:t xml:space="preserve">Demand and cash model</w:t>
            </w:r>
            <w:r>
              <w:rPr>
                <w:rtl w:val="0"/>
              </w:rPr>
            </w:r>
          </w:p>
        </w:tc>
      </w:tr>
      <w:tr>
        <w:trPr>
          <w:cantSplit w:val="1"/>
          <w:trHeight w:val="440" w:hRule="atLeast"/>
          <w:tblHeader w:val="0"/>
        </w:trPr>
        <w:tc>
          <w:tcPr>
            <w:tcBorders>
              <w:top w:color="e6e6e6" w:space="0" w:sz="4" w:val="single"/>
              <w:bottom w:color="e6e6e6" w:space="0" w:sz="4" w:val="single"/>
            </w:tcBorders>
            <w:shd w:fill="ffffff" w:val="clear"/>
            <w:tcMar>
              <w:top w:w="100.0" w:type="dxa"/>
              <w:bottom w:w="100.0" w:type="dxa"/>
            </w:tcMar>
            <w:vAlign w:val="center"/>
          </w:tcPr>
          <w:p w14:paraId="000000E2">
            <w:pPr>
              <w:keepNext w:val="0"/>
              <w:spacing w:after="0" w:before="0" w:line="240" w:lineRule="auto"/>
              <w:jc w:val="left"/>
              <w:rPr/>
            </w:pPr>
            <w:r>
              <w:rPr>
                <w:rFonts w:ascii="Arial" w:cs="Arial" w:eastAsia="Arial" w:hAnsi="Arial"/>
                <w:b w:val="0"/>
                <w:bCs w:val="0"/>
                <w:i w:val="0"/>
                <w:iCs w:val="0"/>
                <w:color w:val="111111"/>
                <w:sz w:val="15"/>
                <w:szCs w:val="15"/>
                <w:rtl w:val="0"/>
              </w:rPr>
              <w:t xml:space="preserve">Further capacity</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E3">
            <w:pPr>
              <w:keepNext w:val="0"/>
              <w:spacing w:after="0" w:before="0" w:line="240" w:lineRule="auto"/>
              <w:jc w:val="right"/>
              <w:rPr/>
            </w:pPr>
            <w:r>
              <w:rPr>
                <w:rFonts w:ascii="Arial" w:cs="Arial" w:eastAsia="Arial" w:hAnsi="Arial"/>
                <w:b w:val="0"/>
                <w:bCs w:val="0"/>
                <w:i w:val="0"/>
                <w:iCs w:val="0"/>
                <w:color w:val="111111"/>
                <w:sz w:val="15"/>
                <w:szCs w:val="15"/>
                <w:rtl w:val="0"/>
              </w:rPr>
              <w:t xml:space="preserve">Unknown</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E4">
            <w:pPr>
              <w:keepNext w:val="0"/>
              <w:spacing w:after="0" w:before="0" w:line="240" w:lineRule="auto"/>
              <w:jc w:val="left"/>
              <w:rPr/>
            </w:pPr>
            <w:r>
              <w:rPr>
                <w:rFonts w:ascii="Arial" w:cs="Arial" w:eastAsia="Arial" w:hAnsi="Arial"/>
                <w:b w:val="0"/>
                <w:bCs w:val="0"/>
                <w:i w:val="0"/>
                <w:iCs w:val="0"/>
                <w:color w:val="111111"/>
                <w:sz w:val="15"/>
                <w:szCs w:val="15"/>
                <w:rtl w:val="0"/>
              </w:rPr>
              <w:t xml:space="preserve">Not authorized</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E5">
            <w:pPr>
              <w:keepNext w:val="0"/>
              <w:spacing w:after="0" w:before="0" w:line="240" w:lineRule="auto"/>
              <w:jc w:val="left"/>
              <w:rPr/>
            </w:pPr>
            <w:r>
              <w:rPr>
                <w:rFonts w:ascii="Arial" w:cs="Arial" w:eastAsia="Arial" w:hAnsi="Arial"/>
                <w:b w:val="0"/>
                <w:bCs w:val="0"/>
                <w:i w:val="0"/>
                <w:iCs w:val="0"/>
                <w:color w:val="111111"/>
                <w:sz w:val="15"/>
                <w:szCs w:val="15"/>
                <w:rtl w:val="0"/>
              </w:rPr>
              <w:t xml:space="preserve">Proven bottleneck</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E6">
            <w:pPr>
              <w:keepNext w:val="0"/>
              <w:spacing w:after="0" w:before="0" w:line="240" w:lineRule="auto"/>
              <w:jc w:val="left"/>
              <w:rPr/>
            </w:pPr>
            <w:r>
              <w:rPr>
                <w:rFonts w:ascii="Arial" w:cs="Arial" w:eastAsia="Arial" w:hAnsi="Arial"/>
                <w:b w:val="0"/>
                <w:bCs w:val="0"/>
                <w:i w:val="0"/>
                <w:iCs w:val="0"/>
                <w:color w:val="111111"/>
                <w:sz w:val="15"/>
                <w:szCs w:val="15"/>
                <w:rtl w:val="0"/>
              </w:rPr>
              <w:t xml:space="preserve">Compare alternatives</w:t>
            </w:r>
            <w:r>
              <w:rPr>
                <w:rtl w:val="0"/>
              </w:rPr>
            </w:r>
          </w:p>
        </w:tc>
      </w:tr>
      <w:tr>
        <w:trPr>
          <w:cantSplit w:val="1"/>
          <w:trHeight w:val="440" w:hRule="atLeast"/>
          <w:tblHeader w:val="0"/>
        </w:trPr>
        <w:tc>
          <w:tcPr>
            <w:tcBorders>
              <w:top w:color="e6e6e6" w:space="0" w:sz="4" w:val="single"/>
              <w:bottom w:color="e6e6e6" w:space="0" w:sz="4" w:val="single"/>
            </w:tcBorders>
            <w:shd w:fill="111111" w:val="clear"/>
            <w:tcMar>
              <w:top w:w="100.0" w:type="dxa"/>
              <w:bottom w:w="100.0" w:type="dxa"/>
            </w:tcMar>
            <w:vAlign w:val="center"/>
          </w:tcPr>
          <w:p w14:paraId="000000E7">
            <w:pPr>
              <w:keepNext w:val="0"/>
              <w:spacing w:after="0" w:before="0" w:line="240" w:lineRule="auto"/>
              <w:jc w:val="left"/>
              <w:rPr/>
            </w:pPr>
            <w:r>
              <w:rPr>
                <w:rFonts w:ascii="Arial" w:cs="Arial" w:eastAsia="Arial" w:hAnsi="Arial"/>
                <w:b w:val="1"/>
                <w:bCs w:val="1"/>
                <w:i w:val="0"/>
                <w:iCs w:val="0"/>
                <w:color w:val="ffffff"/>
                <w:sz w:val="15"/>
                <w:szCs w:val="15"/>
                <w:rtl w:val="0"/>
              </w:rPr>
              <w:t xml:space="preserve">Total potential exposure</w:t>
            </w:r>
            <w:r>
              <w:rPr>
                <w:rtl w:val="0"/>
              </w:rPr>
            </w:r>
          </w:p>
        </w:tc>
        <w:tc>
          <w:tcPr>
            <w:tcBorders>
              <w:top w:color="e6e6e6" w:space="0" w:sz="4" w:val="single"/>
              <w:bottom w:color="e6e6e6" w:space="0" w:sz="4" w:val="single"/>
            </w:tcBorders>
            <w:shd w:fill="111111" w:val="clear"/>
            <w:tcMar>
              <w:top w:w="100.0" w:type="dxa"/>
              <w:bottom w:w="100.0" w:type="dxa"/>
            </w:tcMar>
            <w:vAlign w:val="center"/>
          </w:tcPr>
          <w:p w14:paraId="000000E8">
            <w:pPr>
              <w:keepNext w:val="0"/>
              <w:spacing w:after="0" w:before="0" w:line="240" w:lineRule="auto"/>
              <w:jc w:val="right"/>
              <w:rPr/>
            </w:pPr>
            <w:r>
              <w:rPr>
                <w:rFonts w:ascii="Arial" w:cs="Arial" w:eastAsia="Arial" w:hAnsi="Arial"/>
                <w:b w:val="1"/>
                <w:bCs w:val="1"/>
                <w:i w:val="0"/>
                <w:iCs w:val="0"/>
                <w:color w:val="ffffff"/>
                <w:sz w:val="15"/>
                <w:szCs w:val="15"/>
                <w:rtl w:val="0"/>
              </w:rPr>
              <w:t xml:space="preserve">Unknown</w:t>
            </w:r>
            <w:r>
              <w:rPr>
                <w:rtl w:val="0"/>
              </w:rPr>
            </w:r>
          </w:p>
        </w:tc>
        <w:tc>
          <w:tcPr>
            <w:tcBorders>
              <w:top w:color="e6e6e6" w:space="0" w:sz="4" w:val="single"/>
              <w:bottom w:color="e6e6e6" w:space="0" w:sz="4" w:val="single"/>
            </w:tcBorders>
            <w:shd w:fill="111111" w:val="clear"/>
            <w:tcMar>
              <w:top w:w="100.0" w:type="dxa"/>
              <w:bottom w:w="100.0" w:type="dxa"/>
            </w:tcMar>
            <w:vAlign w:val="center"/>
          </w:tcPr>
          <w:p w14:paraId="000000E9">
            <w:pPr>
              <w:keepNext w:val="0"/>
              <w:spacing w:after="0" w:before="0" w:line="240" w:lineRule="auto"/>
              <w:jc w:val="left"/>
              <w:rPr/>
            </w:pPr>
            <w:r>
              <w:rPr>
                <w:rFonts w:ascii="Arial" w:cs="Arial" w:eastAsia="Arial" w:hAnsi="Arial"/>
                <w:b w:val="1"/>
                <w:bCs w:val="1"/>
                <w:i w:val="0"/>
                <w:iCs w:val="0"/>
                <w:color w:val="ffffff"/>
                <w:sz w:val="15"/>
                <w:szCs w:val="15"/>
                <w:rtl w:val="0"/>
              </w:rPr>
              <w:t xml:space="preserve">Not a funding authorization</w:t>
            </w:r>
            <w:r>
              <w:rPr>
                <w:rtl w:val="0"/>
              </w:rPr>
            </w:r>
          </w:p>
        </w:tc>
        <w:tc>
          <w:tcPr>
            <w:tcBorders>
              <w:top w:color="e6e6e6" w:space="0" w:sz="4" w:val="single"/>
              <w:bottom w:color="e6e6e6" w:space="0" w:sz="4" w:val="single"/>
            </w:tcBorders>
            <w:shd w:fill="111111" w:val="clear"/>
            <w:tcMar>
              <w:top w:w="100.0" w:type="dxa"/>
              <w:bottom w:w="100.0" w:type="dxa"/>
            </w:tcMar>
            <w:vAlign w:val="center"/>
          </w:tcPr>
          <w:p w14:paraId="000000EA">
            <w:pPr>
              <w:keepNext w:val="0"/>
              <w:spacing w:after="0" w:before="0" w:line="240" w:lineRule="auto"/>
              <w:jc w:val="left"/>
              <w:rPr/>
            </w:pPr>
            <w:r>
              <w:rPr>
                <w:rFonts w:ascii="Arial" w:cs="Arial" w:eastAsia="Arial" w:hAnsi="Arial"/>
                <w:b w:val="1"/>
                <w:bCs w:val="1"/>
                <w:i w:val="0"/>
                <w:iCs w:val="0"/>
                <w:color w:val="ffffff"/>
                <w:sz w:val="15"/>
                <w:szCs w:val="15"/>
                <w:rtl w:val="0"/>
              </w:rPr>
              <w:t xml:space="preserve">Before commitment</w:t>
            </w:r>
            <w:r>
              <w:rPr>
                <w:rtl w:val="0"/>
              </w:rPr>
            </w:r>
          </w:p>
        </w:tc>
        <w:tc>
          <w:tcPr>
            <w:tcBorders>
              <w:top w:color="e6e6e6" w:space="0" w:sz="4" w:val="single"/>
              <w:bottom w:color="e6e6e6" w:space="0" w:sz="4" w:val="single"/>
            </w:tcBorders>
            <w:shd w:fill="111111" w:val="clear"/>
            <w:tcMar>
              <w:top w:w="100.0" w:type="dxa"/>
              <w:bottom w:w="100.0" w:type="dxa"/>
            </w:tcMar>
            <w:vAlign w:val="center"/>
          </w:tcPr>
          <w:p w14:paraId="000000EB">
            <w:pPr>
              <w:keepNext w:val="0"/>
              <w:spacing w:after="0" w:before="0" w:line="240" w:lineRule="auto"/>
              <w:jc w:val="left"/>
              <w:rPr/>
            </w:pPr>
            <w:r>
              <w:rPr>
                <w:rFonts w:ascii="Arial" w:cs="Arial" w:eastAsia="Arial" w:hAnsi="Arial"/>
                <w:b w:val="1"/>
                <w:bCs w:val="1"/>
                <w:i w:val="0"/>
                <w:iCs w:val="0"/>
                <w:color w:val="ffffff"/>
                <w:sz w:val="15"/>
                <w:szCs w:val="15"/>
                <w:rtl w:val="0"/>
              </w:rPr>
              <w:t xml:space="preserve">Reconcile every stage</w:t>
            </w:r>
            <w:r>
              <w:rPr>
                <w:rtl w:val="0"/>
              </w:rPr>
            </w:r>
          </w:p>
        </w:tc>
      </w:tr>
    </w:tbl>
    <w:p w14:paraId="000000EC">
      <w:pPr>
        <w:keepNext w:val="0"/>
        <w:pageBreakBefore w:val="0"/>
        <w:spacing w:after="20" w:before="0" w:line="240" w:lineRule="auto"/>
        <w:rPr/>
      </w:pPr>
      <w:r>
        <w:rPr>
          <w:rtl w:val="0"/>
        </w:rPr>
      </w:r>
    </w:p>
    <w:p w14:paraId="000000ED">
      <w:pPr>
        <w:pStyle w:val="Heading1"/>
        <w:keepNext w:val="1"/>
        <w:pageBreakBefore w:val="1"/>
        <w:spacing w:after="200" w:before="320" w:line="240" w:lineRule="auto"/>
        <w:rPr/>
      </w:pPr>
      <w:r>
        <w:rPr>
          <w:rFonts w:ascii="Arial" w:cs="Arial" w:eastAsia="Arial" w:hAnsi="Arial"/>
          <w:b w:val="1"/>
          <w:bCs w:val="1"/>
          <w:i w:val="0"/>
          <w:iCs w:val="0"/>
          <w:color w:val="111111"/>
          <w:sz w:val="22"/>
          <w:szCs w:val="22"/>
          <w:rtl w:val="0"/>
        </w:rPr>
        <w:t xml:space="preserve">13.   Key Risks, Diligence Items, and What Needs to Be True</w:t>
      </w:r>
      <w:r>
        <w:rPr>
          <w:rtl w:val="0"/>
        </w:rPr>
      </w:r>
    </w:p>
    <w:p w14:paraId="000000EE">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Ingredient identity and recipe release</w:t>
      </w:r>
      <w:r>
        <w:rPr>
          <w:rtl w:val="0"/>
        </w:rPr>
      </w:r>
    </w:p>
    <w:p w14:paraId="000000EF">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The owner states that EDC does not mean butter. H3 separates it from margarine in 92 historical variants and the T01 and H05 working cards. Its composition, function, dose, method and price are unknown. Those cards remain held; historical amounts are evidence only. Proposed owner: production lead, to be assigned. Required before either affected formula is manufactured. [R3]</w:t>
      </w:r>
      <w:r>
        <w:rPr>
          <w:rtl w:val="0"/>
        </w:rPr>
      </w:r>
    </w:p>
    <w:p w14:paraId="000000F0">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Capacity and product handling</w:t>
      </w:r>
      <w:r>
        <w:rPr>
          <w:rtl w:val="0"/>
        </w:rPr>
      </w:r>
    </w:p>
    <w:p w14:paraId="000000F1">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Reported equipment ratings do not prove complete-line throughput. Verify tray clearance, mixer load range, proofing bays, rack inventory, cooling readiness and the delivery route. Existing perishable-food controls in the anthology remain applicable. Proposed owner: operations lead, to be assigned. Required before the relevant campaign is released. [R1, R2]</w:t>
      </w:r>
      <w:r>
        <w:rPr>
          <w:rtl w:val="0"/>
        </w:rPr>
      </w:r>
    </w:p>
    <w:p w14:paraId="000000F2">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Demand and complete economics</w:t>
      </w:r>
      <w:r>
        <w:rPr>
          <w:rtl w:val="0"/>
        </w:rPr>
      </w:r>
    </w:p>
    <w:p w14:paraId="000000F3">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Missing sale prices, sell-through, overhead and operating costs prevent a profitability conclusion. Obtain observed demand and a complete cash-cost model before selecting an expansion budget. Proposed owner: business owner or finance lead, to be assigned. No funding decision date is assumed. [R2, R4]</w:t>
      </w:r>
      <w:r>
        <w:rPr>
          <w:rtl w:val="0"/>
        </w:rPr>
      </w:r>
    </w:p>
    <w:p w14:paraId="000000F4">
      <w:pPr>
        <w:pStyle w:val="Heading2"/>
        <w:keepNext w:val="1"/>
        <w:pageBreakBefore w:val="0"/>
        <w:spacing w:after="80" w:before="140" w:line="240" w:lineRule="auto"/>
        <w:rPr/>
      </w:pPr>
      <w:r>
        <w:rPr>
          <w:rFonts w:ascii="Arial" w:cs="Arial" w:eastAsia="Arial" w:hAnsi="Arial"/>
          <w:b w:val="1"/>
          <w:bCs w:val="1"/>
          <w:i w:val="0"/>
          <w:iCs w:val="0"/>
          <w:color w:val="111111"/>
          <w:sz w:val="18"/>
          <w:szCs w:val="18"/>
          <w:rtl w:val="0"/>
        </w:rPr>
        <w:t xml:space="preserve">Decision blockers and conditions to approval</w:t>
      </w:r>
      <w:r>
        <w:rPr>
          <w:rtl w:val="0"/>
        </w:rPr>
      </w:r>
    </w:p>
    <w:p w14:paraId="000000F5">
      <w:pPr>
        <w:keepNext w:val="0"/>
        <w:keepLines w:val="1"/>
        <w:pageBreakBefore w:val="0"/>
        <w:spacing w:after="180" w:before="0" w:line="240" w:lineRule="auto"/>
        <w:rPr/>
      </w:pPr>
      <w:r>
        <w:rPr>
          <w:rFonts w:ascii="Arial" w:cs="Arial" w:eastAsia="Arial" w:hAnsi="Arial"/>
          <w:b w:val="0"/>
          <w:bCs w:val="0"/>
          <w:i w:val="0"/>
          <w:iCs w:val="0"/>
          <w:color w:val="111111"/>
          <w:sz w:val="18"/>
          <w:szCs w:val="18"/>
          <w:rtl w:val="0"/>
        </w:rPr>
        <w:t xml:space="preserve">Decision status: retain the recipe-development and commissioning programme, with the EDC holds in force. A capital approval requires a priced request, clear existing obligations, measured production performance and sales evidence. No money, transaction or production release is authorized by this memo. The H3 correction supersedes the EDC interpretation in H1 and H2.</w:t>
      </w:r>
      <w:r>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s>
      <w:rPr>
        <w:color w:val="999999"/>
        <w:sz w:val="18"/>
        <w:szCs w:val="18"/>
      </w:rPr>
    </w:pPr>
    <w:r>
      <w:rPr>
        <w:color w:val="999999"/>
        <w:sz w:val="18"/>
        <w:szCs w:val="18"/>
        <w:rtl w:val="0"/>
      </w:rPr>
      <w:t xml:space="preserve">Confidential - Internal Use Only · Nkambe Bakery</w:t>
      <w:tab/>
    </w:r>
    <w:r>
      <w:rPr>
        <w:color w:val="999999"/>
        <w:sz w:val="18"/>
        <w:szCs w:val="18"/>
      </w:rPr>
      <w:fldChar w:fldCharType="begin"/>
      <w:instrText xml:space="preserve">PAGE</w:instrText>
      <w:fldChar w:fldCharType="separate"/>
      <w:fldChar w:fldCharType="end"/>
    </w: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right"/>
      <w:rPr>
        <w:color w:val="999999"/>
        <w:sz w:val="24"/>
        <w:szCs w:val="24"/>
      </w:rPr>
    </w:pPr>
    <w:r>
      <w:rPr>
        <w:color w:val="999999"/>
        <w:sz w:val="18"/>
        <w:szCs w:val="18"/>
        <w:rtl w:val="0"/>
      </w:rPr>
      <w:t xml:space="preserve">Nkambe Bakery Investment Review  ·  October 2026</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