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t xml:space="preserve"/>
      </w:r>
    </w:p>
    <w:p>
      <w:pPr>
        <w:spacing w:after="120" w:before="0"/>
        <w:jc w:val="center"/>
      </w:pPr>
      <w:r>
        <w:rPr>
          <w:rFonts w:ascii="Arial" w:cs="Arial" w:eastAsia="Arial" w:hAnsi="Arial"/>
          <w:b/>
          <w:bCs/>
          <w:color w:val="1B3A6B"/>
          <w:sz w:val="48"/>
          <w:szCs w:val="48"/>
        </w:rPr>
        <w:t xml:space="preserve">BANK OF COMMERCE</w:t>
      </w:r>
    </w:p>
    <w:p>
      <w:pPr>
        <w:spacing w:after="60" w:before="0"/>
        <w:jc w:val="center"/>
      </w:pPr>
      <w:r>
        <w:rPr>
          <w:rFonts w:ascii="Arial" w:cs="Arial" w:eastAsia="Arial" w:hAnsi="Arial"/>
          <w:b/>
          <w:bCs/>
          <w:color w:val="B8952A"/>
          <w:sz w:val="30"/>
          <w:szCs w:val="30"/>
        </w:rPr>
        <w:t xml:space="preserve">ACH ORIGINATION AND API ACCESS AGREEMENT</w:t>
      </w:r>
    </w:p>
    <w:p>
      <w:pPr>
        <w:spacing w:after="200" w:before="0"/>
        <w:jc w:val="center"/>
      </w:pPr>
      <w:r>
        <w:rPr>
          <w:rFonts w:ascii="Arial" w:cs="Arial" w:eastAsia="Arial" w:hAnsi="Arial"/>
          <w:color w:val="555555"/>
          <w:sz w:val="20"/>
          <w:szCs w:val="20"/>
        </w:rPr>
        <w:t xml:space="preserve">For Customer-Initiated ACH Debit Origination via Bank of Commerce API Platform</w:t>
      </w:r>
    </w:p>
    <w:p>
      <w:pPr>
        <w:pBdr>
          <w:bottom w:val="single" w:color="B8952A" w:sz="8"/>
        </w:pBdr>
        <w:spacing w:after="20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6820"/>
      </w:tblGrid>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Agreement Date</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[________________], 2026</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Bank</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Bank of Commerce</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Bank Address</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[Street Address, City, State, ZIP]</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Bank ABA/Routing No.</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[Routing Number]</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Customer / Originator</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Spearhead 39th Street, LLC</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Customer Address</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[Address], Austin, Texas 78___</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Customer EIN</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[XX-XXXXXXX]</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Customer Contact</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Katherine Wallin | katherine@spearheadproperties.com</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Settlement Account</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[Account Number] — Business Checking</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Permitted SEC Codes</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PPD; WEB</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Initial Exposure Limit</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$[__________] per banking day</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Purpose</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Residential rent collection — ACH debit entries initiated via Bank of Commerce API</w:t>
            </w:r>
          </w:p>
        </w:tc>
      </w:tr>
    </w:tbl>
    <w:p>
      <w:pPr>
        <w:spacing w:after="100" w:before="160"/>
      </w:pPr>
      <w:r>
        <w:t xml:space="preserve"/>
      </w:r>
    </w:p>
    <w:p>
      <w:pPr>
        <w:shd w:fill="D6E4F0" w:val="clear"/>
        <w:spacing w:after="120" w:before="120"/>
        <w:ind w:left="240" w:right="240"/>
        <w:jc w:val="center"/>
      </w:pPr>
      <w:r>
        <w:rPr>
          <w:rFonts w:ascii="Arial" w:cs="Arial" w:eastAsia="Arial" w:hAnsi="Arial"/>
          <w:color w:val="1B3A6B"/>
          <w:sz w:val="18"/>
          <w:szCs w:val="18"/>
        </w:rPr>
        <w:t xml:space="preserve">This Agreement is entered into by Bank of Commerce and the Customer identified above. By signing below, Customer agrees to be bound by all terms of this Agreement and the NACHA Operating Rules, as amended from time to time.</w:t>
      </w:r>
    </w:p>
    <w:p>
      <w:pPr>
        <w:pStyle w:val="Heading1"/>
        <w:shd w:fill="1B3A6B" w:val="clear"/>
        <w:spacing w:after="100" w:before="280"/>
        <w:ind w:left="180" w:right="180"/>
      </w:pPr>
      <w:r>
        <w:rPr>
          <w:rFonts w:ascii="Arial" w:cs="Arial" w:eastAsia="Arial" w:hAnsi="Arial"/>
          <w:b/>
          <w:bCs/>
          <w:color w:val="FFFFFF"/>
          <w:sz w:val="24"/>
          <w:szCs w:val="24"/>
        </w:rPr>
        <w:t xml:space="preserve">1.  PARTIES AND PURPOSE</w:t>
      </w:r>
    </w:p>
    <w:p>
      <w:pPr>
        <w:spacing w:after="60" w:before="60"/>
        <w:ind w:left="0"/>
        <w:jc w:val="left"/>
      </w:pPr>
      <w:r>
        <w:rPr>
          <w:rFonts w:ascii="Arial" w:cs="Arial" w:eastAsia="Arial" w:hAnsi="Arial"/>
          <w:b w:val="false"/>
          <w:bCs w:val="false"/>
          <w:color w:val="000000"/>
          <w:sz w:val="20"/>
          <w:szCs w:val="20"/>
        </w:rPr>
        <w:t xml:space="preserve">Bank of Commerce ("Bank") is a [state/federally chartered] financial institution and a member institution of the Automated Clearing House Network, acting as Originating Depository Financial Institution ("ODFI") for purposes of this Agreement.</w:t>
      </w:r>
    </w:p>
    <w:p>
      <w:pPr>
        <w:spacing w:after="60" w:before="60"/>
        <w:ind w:left="0"/>
        <w:jc w:val="left"/>
      </w:pPr>
      <w:r>
        <w:rPr>
          <w:rFonts w:ascii="Arial" w:cs="Arial" w:eastAsia="Arial" w:hAnsi="Arial"/>
          <w:b w:val="false"/>
          <w:bCs w:val="false"/>
          <w:color w:val="000000"/>
          <w:sz w:val="20"/>
          <w:szCs w:val="20"/>
        </w:rPr>
        <w:t xml:space="preserve">Spearhead 39th Street, LLC ("Customer") is a Texas limited liability company that owns and manages eighteen (18) residential rental units located at or near 39th Street, Austin, Texas, and desires to collect monthly rent and lawful lease charges from tenants by initiating ACH debit entries through the Bank's API Platform.</w:t>
      </w:r>
    </w:p>
    <w:p>
      <w:pPr>
        <w:spacing w:after="60" w:before="60"/>
        <w:ind w:left="0"/>
        <w:jc w:val="left"/>
      </w:pPr>
      <w:r>
        <w:rPr>
          <w:rFonts w:ascii="Arial" w:cs="Arial" w:eastAsia="Arial" w:hAnsi="Arial"/>
          <w:b w:val="false"/>
          <w:bCs w:val="false"/>
          <w:color w:val="000000"/>
          <w:sz w:val="20"/>
          <w:szCs w:val="20"/>
        </w:rPr>
        <w:t xml:space="preserve">Bank agrees to provide Customer with ACH origination services and access to Bank's ACH API Platform solely for the purpose of originating debit entries against tenant-authorized accounts for residential rent collection, subject to the terms and conditions set forth herein.</w:t>
      </w:r>
    </w:p>
    <w:p>
      <w:pPr>
        <w:pStyle w:val="Heading1"/>
        <w:shd w:fill="1B3A6B" w:val="clear"/>
        <w:spacing w:after="100" w:before="280"/>
        <w:ind w:left="180" w:right="180"/>
      </w:pPr>
      <w:r>
        <w:rPr>
          <w:rFonts w:ascii="Arial" w:cs="Arial" w:eastAsia="Arial" w:hAnsi="Arial"/>
          <w:b/>
          <w:bCs/>
          <w:color w:val="FFFFFF"/>
          <w:sz w:val="24"/>
          <w:szCs w:val="24"/>
        </w:rPr>
        <w:t xml:space="preserve">2.  DEFINITIONS</w:t>
      </w:r>
    </w:p>
    <w:p>
      <w:pPr>
        <w:spacing w:after="60" w:before="60"/>
        <w:ind w:left="0"/>
        <w:jc w:val="left"/>
      </w:pPr>
      <w:r>
        <w:rPr>
          <w:rFonts w:ascii="Arial" w:cs="Arial" w:eastAsia="Arial" w:hAnsi="Arial"/>
          <w:b w:val="false"/>
          <w:bCs w:val="false"/>
          <w:color w:val="000000"/>
          <w:sz w:val="20"/>
          <w:szCs w:val="20"/>
        </w:rPr>
        <w:t xml:space="preserve">The following terms have the meanings ascribed to them below. Capitalized terms not defined herein have the meanings given in the NACHA Operating Rules.</w:t>
      </w:r>
    </w:p>
    <w:p>
      <w:pPr>
        <w:spacing w:after="100" w:before="40"/>
      </w:pPr>
      <w:r>
        <w:t xml:space="preserve"/>
      </w:r>
    </w:p>
    <w:p>
      <w:pPr>
        <w:spacing w:after="60" w:before="80"/>
        <w:ind w:left="600" w:hanging="0"/>
      </w:pPr>
      <w:r>
        <w:rPr>
          <w:rFonts w:ascii="Arial" w:cs="Arial" w:eastAsia="Arial" w:hAnsi="Arial"/>
          <w:b/>
          <w:bCs/>
          <w:color w:val="1B3A6B"/>
          <w:sz w:val="20"/>
          <w:szCs w:val="20"/>
        </w:rPr>
        <w:t xml:space="preserve">"ACH Network"</w:t>
      </w:r>
      <w:r>
        <w:rPr>
          <w:rFonts w:ascii="Arial" w:cs="Arial" w:eastAsia="Arial" w:hAnsi="Arial"/>
          <w:color w:val="000000"/>
          <w:sz w:val="20"/>
          <w:szCs w:val="20"/>
        </w:rPr>
        <w:t xml:space="preserve">  means the national automated clearing house payment network governed by Nacha (formerly NACHA — The Electronic Payments Association).</w:t>
      </w:r>
    </w:p>
    <w:p>
      <w:pPr>
        <w:spacing w:after="60" w:before="80"/>
        <w:ind w:left="600" w:hanging="0"/>
      </w:pPr>
      <w:r>
        <w:rPr>
          <w:rFonts w:ascii="Arial" w:cs="Arial" w:eastAsia="Arial" w:hAnsi="Arial"/>
          <w:b/>
          <w:bCs/>
          <w:color w:val="1B3A6B"/>
          <w:sz w:val="20"/>
          <w:szCs w:val="20"/>
        </w:rPr>
        <w:t xml:space="preserve">"ACH Entry"</w:t>
      </w:r>
      <w:r>
        <w:rPr>
          <w:rFonts w:ascii="Arial" w:cs="Arial" w:eastAsia="Arial" w:hAnsi="Arial"/>
          <w:color w:val="000000"/>
          <w:sz w:val="20"/>
          <w:szCs w:val="20"/>
        </w:rPr>
        <w:t xml:space="preserve">  means an electronic debit or credit fund transfer initiated in accordance with the NACHA Operating Rules.</w:t>
      </w:r>
    </w:p>
    <w:p>
      <w:pPr>
        <w:spacing w:after="60" w:before="80"/>
        <w:ind w:left="600" w:hanging="0"/>
      </w:pPr>
      <w:r>
        <w:rPr>
          <w:rFonts w:ascii="Arial" w:cs="Arial" w:eastAsia="Arial" w:hAnsi="Arial"/>
          <w:b/>
          <w:bCs/>
          <w:color w:val="1B3A6B"/>
          <w:sz w:val="20"/>
          <w:szCs w:val="20"/>
        </w:rPr>
        <w:t xml:space="preserve">"API"</w:t>
      </w:r>
      <w:r>
        <w:rPr>
          <w:rFonts w:ascii="Arial" w:cs="Arial" w:eastAsia="Arial" w:hAnsi="Arial"/>
          <w:color w:val="000000"/>
          <w:sz w:val="20"/>
          <w:szCs w:val="20"/>
        </w:rPr>
        <w:t xml:space="preserve">  means the application programming interface, including all endpoints, webhooks, SDKs, sandbox environments, and developer documentation, made available by Bank to Customer for the programmatic initiation and management of ACH transactions.</w:t>
      </w:r>
    </w:p>
    <w:p>
      <w:pPr>
        <w:spacing w:after="60" w:before="80"/>
        <w:ind w:left="600" w:hanging="0"/>
      </w:pPr>
      <w:r>
        <w:rPr>
          <w:rFonts w:ascii="Arial" w:cs="Arial" w:eastAsia="Arial" w:hAnsi="Arial"/>
          <w:b/>
          <w:bCs/>
          <w:color w:val="1B3A6B"/>
          <w:sz w:val="20"/>
          <w:szCs w:val="20"/>
        </w:rPr>
        <w:t xml:space="preserve">"API Credentials"</w:t>
      </w:r>
      <w:r>
        <w:rPr>
          <w:rFonts w:ascii="Arial" w:cs="Arial" w:eastAsia="Arial" w:hAnsi="Arial"/>
          <w:color w:val="000000"/>
          <w:sz w:val="20"/>
          <w:szCs w:val="20"/>
        </w:rPr>
        <w:t xml:space="preserve">  means the client ID, client secret, API key, OAuth 2.0 tokens, or other authentication artifacts issued by Bank to Customer for access to the API.</w:t>
      </w:r>
    </w:p>
    <w:p>
      <w:pPr>
        <w:spacing w:after="60" w:before="80"/>
        <w:ind w:left="600" w:hanging="0"/>
      </w:pPr>
      <w:r>
        <w:rPr>
          <w:rFonts w:ascii="Arial" w:cs="Arial" w:eastAsia="Arial" w:hAnsi="Arial"/>
          <w:b/>
          <w:bCs/>
          <w:color w:val="1B3A6B"/>
          <w:sz w:val="20"/>
          <w:szCs w:val="20"/>
        </w:rPr>
        <w:t xml:space="preserve">"Authorization"</w:t>
      </w:r>
      <w:r>
        <w:rPr>
          <w:rFonts w:ascii="Arial" w:cs="Arial" w:eastAsia="Arial" w:hAnsi="Arial"/>
          <w:color w:val="000000"/>
          <w:sz w:val="20"/>
          <w:szCs w:val="20"/>
        </w:rPr>
        <w:t xml:space="preserve">  means a written or electronic authorization obtained by Customer from a Receiver that complies with the NACHA Operating Rules and this Agreement, permitting Customer to initiate ACH debit entries against the Receiver's designated account.</w:t>
      </w:r>
    </w:p>
    <w:p>
      <w:pPr>
        <w:spacing w:after="60" w:before="80"/>
        <w:ind w:left="600" w:hanging="0"/>
      </w:pPr>
      <w:r>
        <w:rPr>
          <w:rFonts w:ascii="Arial" w:cs="Arial" w:eastAsia="Arial" w:hAnsi="Arial"/>
          <w:b/>
          <w:bCs/>
          <w:color w:val="1B3A6B"/>
          <w:sz w:val="20"/>
          <w:szCs w:val="20"/>
        </w:rPr>
        <w:t xml:space="preserve">"Banking Day"</w:t>
      </w:r>
      <w:r>
        <w:rPr>
          <w:rFonts w:ascii="Arial" w:cs="Arial" w:eastAsia="Arial" w:hAnsi="Arial"/>
          <w:color w:val="000000"/>
          <w:sz w:val="20"/>
          <w:szCs w:val="20"/>
        </w:rPr>
        <w:t xml:space="preserve">  means any day on which Bank is open to the public for carrying on substantially all of its banking functions, excluding Saturdays, Sundays, and federal holidays.</w:t>
      </w:r>
    </w:p>
    <w:p>
      <w:pPr>
        <w:spacing w:after="60" w:before="80"/>
        <w:ind w:left="600" w:hanging="0"/>
      </w:pPr>
      <w:r>
        <w:rPr>
          <w:rFonts w:ascii="Arial" w:cs="Arial" w:eastAsia="Arial" w:hAnsi="Arial"/>
          <w:b/>
          <w:bCs/>
          <w:color w:val="1B3A6B"/>
          <w:sz w:val="20"/>
          <w:szCs w:val="20"/>
        </w:rPr>
        <w:t xml:space="preserve">"Customer"</w:t>
      </w:r>
      <w:r>
        <w:rPr>
          <w:rFonts w:ascii="Arial" w:cs="Arial" w:eastAsia="Arial" w:hAnsi="Arial"/>
          <w:color w:val="000000"/>
          <w:sz w:val="20"/>
          <w:szCs w:val="20"/>
        </w:rPr>
        <w:t xml:space="preserve">  means Spearhead 39th Street, LLC, the party identified as "Customer / Originator" on the cover page of this Agreement.</w:t>
      </w:r>
    </w:p>
    <w:p>
      <w:pPr>
        <w:spacing w:after="60" w:before="80"/>
        <w:ind w:left="600" w:hanging="0"/>
      </w:pPr>
      <w:r>
        <w:rPr>
          <w:rFonts w:ascii="Arial" w:cs="Arial" w:eastAsia="Arial" w:hAnsi="Arial"/>
          <w:b/>
          <w:bCs/>
          <w:color w:val="1B3A6B"/>
          <w:sz w:val="20"/>
          <w:szCs w:val="20"/>
        </w:rPr>
        <w:t xml:space="preserve">"Debit Entry"</w:t>
      </w:r>
      <w:r>
        <w:rPr>
          <w:rFonts w:ascii="Arial" w:cs="Arial" w:eastAsia="Arial" w:hAnsi="Arial"/>
          <w:color w:val="000000"/>
          <w:sz w:val="20"/>
          <w:szCs w:val="20"/>
        </w:rPr>
        <w:t xml:space="preserve">  means an ACH entry that withdraws funds from a Receiver's account at the RDFI.</w:t>
      </w:r>
    </w:p>
    <w:p>
      <w:pPr>
        <w:spacing w:after="60" w:before="80"/>
        <w:ind w:left="600" w:hanging="0"/>
      </w:pPr>
      <w:r>
        <w:rPr>
          <w:rFonts w:ascii="Arial" w:cs="Arial" w:eastAsia="Arial" w:hAnsi="Arial"/>
          <w:b/>
          <w:bCs/>
          <w:color w:val="1B3A6B"/>
          <w:sz w:val="20"/>
          <w:szCs w:val="20"/>
        </w:rPr>
        <w:t xml:space="preserve">"Effective Entry Date"</w:t>
      </w:r>
      <w:r>
        <w:rPr>
          <w:rFonts w:ascii="Arial" w:cs="Arial" w:eastAsia="Arial" w:hAnsi="Arial"/>
          <w:color w:val="000000"/>
          <w:sz w:val="20"/>
          <w:szCs w:val="20"/>
        </w:rPr>
        <w:t xml:space="preserve">  means the date Customer requests an ACH Entry to settle to a Receiver's account, as specified in the ACH batch header record.</w:t>
      </w:r>
    </w:p>
    <w:p>
      <w:pPr>
        <w:spacing w:after="60" w:before="80"/>
        <w:ind w:left="600" w:hanging="0"/>
      </w:pPr>
      <w:r>
        <w:rPr>
          <w:rFonts w:ascii="Arial" w:cs="Arial" w:eastAsia="Arial" w:hAnsi="Arial"/>
          <w:b/>
          <w:bCs/>
          <w:color w:val="1B3A6B"/>
          <w:sz w:val="20"/>
          <w:szCs w:val="20"/>
        </w:rPr>
        <w:t xml:space="preserve">"Exposure Limit"</w:t>
      </w:r>
      <w:r>
        <w:rPr>
          <w:rFonts w:ascii="Arial" w:cs="Arial" w:eastAsia="Arial" w:hAnsi="Arial"/>
          <w:color w:val="000000"/>
          <w:sz w:val="20"/>
          <w:szCs w:val="20"/>
        </w:rPr>
        <w:t xml:space="preserve">  means the maximum aggregate dollar value of ACH debit entries submitted by Customer that may be outstanding (transmitted but not yet settled or returned) at any one time, as established by Bank and set forth on the cover page, subject to adjustment per Section 5.2.</w:t>
      </w:r>
    </w:p>
    <w:p>
      <w:pPr>
        <w:spacing w:after="60" w:before="80"/>
        <w:ind w:left="600" w:hanging="0"/>
      </w:pPr>
      <w:r>
        <w:rPr>
          <w:rFonts w:ascii="Arial" w:cs="Arial" w:eastAsia="Arial" w:hAnsi="Arial"/>
          <w:b/>
          <w:bCs/>
          <w:color w:val="1B3A6B"/>
          <w:sz w:val="20"/>
          <w:szCs w:val="20"/>
        </w:rPr>
        <w:t xml:space="preserve">"NACHA Operating Rules"</w:t>
      </w:r>
      <w:r>
        <w:rPr>
          <w:rFonts w:ascii="Arial" w:cs="Arial" w:eastAsia="Arial" w:hAnsi="Arial"/>
          <w:color w:val="000000"/>
          <w:sz w:val="20"/>
          <w:szCs w:val="20"/>
        </w:rPr>
        <w:t xml:space="preserve">  means the rules, operating guidelines, and supplements published by Nacha governing ACH Network participation, as amended from time to time. The NACHA Operating Rules are incorporated herein by reference.</w:t>
      </w:r>
    </w:p>
    <w:p>
      <w:pPr>
        <w:spacing w:after="60" w:before="80"/>
        <w:ind w:left="600" w:hanging="0"/>
      </w:pPr>
      <w:r>
        <w:rPr>
          <w:rFonts w:ascii="Arial" w:cs="Arial" w:eastAsia="Arial" w:hAnsi="Arial"/>
          <w:b/>
          <w:bCs/>
          <w:color w:val="1B3A6B"/>
          <w:sz w:val="20"/>
          <w:szCs w:val="20"/>
        </w:rPr>
        <w:t xml:space="preserve">"NOC"</w:t>
      </w:r>
      <w:r>
        <w:rPr>
          <w:rFonts w:ascii="Arial" w:cs="Arial" w:eastAsia="Arial" w:hAnsi="Arial"/>
          <w:color w:val="000000"/>
          <w:sz w:val="20"/>
          <w:szCs w:val="20"/>
        </w:rPr>
        <w:t xml:space="preserve">  means a Notification of Change entry (COR) transmitted by an RDFI to notify Customer that account information associated with a posted entry is incorrect or has changed.</w:t>
      </w:r>
    </w:p>
    <w:p>
      <w:pPr>
        <w:spacing w:after="60" w:before="80"/>
        <w:ind w:left="600" w:hanging="0"/>
      </w:pPr>
      <w:r>
        <w:rPr>
          <w:rFonts w:ascii="Arial" w:cs="Arial" w:eastAsia="Arial" w:hAnsi="Arial"/>
          <w:b/>
          <w:bCs/>
          <w:color w:val="1B3A6B"/>
          <w:sz w:val="20"/>
          <w:szCs w:val="20"/>
        </w:rPr>
        <w:t xml:space="preserve">"ODFI"</w:t>
      </w:r>
      <w:r>
        <w:rPr>
          <w:rFonts w:ascii="Arial" w:cs="Arial" w:eastAsia="Arial" w:hAnsi="Arial"/>
          <w:color w:val="000000"/>
          <w:sz w:val="20"/>
          <w:szCs w:val="20"/>
        </w:rPr>
        <w:t xml:space="preserve">  means Originating Depository Financial Institution — Bank in its capacity as the financial institution that originates ACH entries into the ACH Network on behalf of Customer.</w:t>
      </w:r>
    </w:p>
    <w:p>
      <w:pPr>
        <w:spacing w:after="60" w:before="80"/>
        <w:ind w:left="600" w:hanging="0"/>
      </w:pPr>
      <w:r>
        <w:rPr>
          <w:rFonts w:ascii="Arial" w:cs="Arial" w:eastAsia="Arial" w:hAnsi="Arial"/>
          <w:b/>
          <w:bCs/>
          <w:color w:val="1B3A6B"/>
          <w:sz w:val="20"/>
          <w:szCs w:val="20"/>
        </w:rPr>
        <w:t xml:space="preserve">"RDFI"</w:t>
      </w:r>
      <w:r>
        <w:rPr>
          <w:rFonts w:ascii="Arial" w:cs="Arial" w:eastAsia="Arial" w:hAnsi="Arial"/>
          <w:color w:val="000000"/>
          <w:sz w:val="20"/>
          <w:szCs w:val="20"/>
        </w:rPr>
        <w:t xml:space="preserve">  means Receiving Depository Financial Institution — the financial institution that receives ACH entries and posts them to Receiver accounts.</w:t>
      </w:r>
    </w:p>
    <w:p>
      <w:pPr>
        <w:spacing w:after="60" w:before="80"/>
        <w:ind w:left="600" w:hanging="0"/>
      </w:pPr>
      <w:r>
        <w:rPr>
          <w:rFonts w:ascii="Arial" w:cs="Arial" w:eastAsia="Arial" w:hAnsi="Arial"/>
          <w:b/>
          <w:bCs/>
          <w:color w:val="1B3A6B"/>
          <w:sz w:val="20"/>
          <w:szCs w:val="20"/>
        </w:rPr>
        <w:t xml:space="preserve">"Receiver"</w:t>
      </w:r>
      <w:r>
        <w:rPr>
          <w:rFonts w:ascii="Arial" w:cs="Arial" w:eastAsia="Arial" w:hAnsi="Arial"/>
          <w:color w:val="000000"/>
          <w:sz w:val="20"/>
          <w:szCs w:val="20"/>
        </w:rPr>
        <w:t xml:space="preserve">  means a tenant or other individual or entity that has provided Customer with a valid Authorization to initiate ACH debit entries against their account.</w:t>
      </w:r>
    </w:p>
    <w:p>
      <w:pPr>
        <w:spacing w:after="60" w:before="80"/>
        <w:ind w:left="600" w:hanging="0"/>
      </w:pPr>
      <w:r>
        <w:rPr>
          <w:rFonts w:ascii="Arial" w:cs="Arial" w:eastAsia="Arial" w:hAnsi="Arial"/>
          <w:b/>
          <w:bCs/>
          <w:color w:val="1B3A6B"/>
          <w:sz w:val="20"/>
          <w:szCs w:val="20"/>
        </w:rPr>
        <w:t xml:space="preserve">"Return Entry"</w:t>
      </w:r>
      <w:r>
        <w:rPr>
          <w:rFonts w:ascii="Arial" w:cs="Arial" w:eastAsia="Arial" w:hAnsi="Arial"/>
          <w:color w:val="000000"/>
          <w:sz w:val="20"/>
          <w:szCs w:val="20"/>
        </w:rPr>
        <w:t xml:space="preserve">  means an ACH entry transmitted back to Bank by an RDFI in accordance with the NACHA Operating Rules, indicating that the entry could not be processed or is disputed.</w:t>
      </w:r>
    </w:p>
    <w:p>
      <w:pPr>
        <w:spacing w:after="60" w:before="80"/>
        <w:ind w:left="600" w:hanging="0"/>
      </w:pPr>
      <w:r>
        <w:rPr>
          <w:rFonts w:ascii="Arial" w:cs="Arial" w:eastAsia="Arial" w:hAnsi="Arial"/>
          <w:b/>
          <w:bCs/>
          <w:color w:val="1B3A6B"/>
          <w:sz w:val="20"/>
          <w:szCs w:val="20"/>
        </w:rPr>
        <w:t xml:space="preserve">"Reversal Entry"</w:t>
      </w:r>
      <w:r>
        <w:rPr>
          <w:rFonts w:ascii="Arial" w:cs="Arial" w:eastAsia="Arial" w:hAnsi="Arial"/>
          <w:color w:val="000000"/>
          <w:sz w:val="20"/>
          <w:szCs w:val="20"/>
        </w:rPr>
        <w:t xml:space="preserve">  means an offsetting ACH entry submitted by Customer to correct an erroneous Debit Entry, subject to the conditions in Section 7.5.</w:t>
      </w:r>
    </w:p>
    <w:p>
      <w:pPr>
        <w:spacing w:after="60" w:before="80"/>
        <w:ind w:left="600" w:hanging="0"/>
      </w:pPr>
      <w:r>
        <w:rPr>
          <w:rFonts w:ascii="Arial" w:cs="Arial" w:eastAsia="Arial" w:hAnsi="Arial"/>
          <w:b/>
          <w:bCs/>
          <w:color w:val="1B3A6B"/>
          <w:sz w:val="20"/>
          <w:szCs w:val="20"/>
        </w:rPr>
        <w:t xml:space="preserve">"Same-Day ACH"</w:t>
      </w:r>
      <w:r>
        <w:rPr>
          <w:rFonts w:ascii="Arial" w:cs="Arial" w:eastAsia="Arial" w:hAnsi="Arial"/>
          <w:color w:val="000000"/>
          <w:sz w:val="20"/>
          <w:szCs w:val="20"/>
        </w:rPr>
        <w:t xml:space="preserve">  means the ACH Network service that enables settlement of qualifying ACH entries on the same Banking Day as submission, subject to applicable cutoff windows and per-entry dollar limits established by Nacha.</w:t>
      </w:r>
    </w:p>
    <w:p>
      <w:pPr>
        <w:spacing w:after="60" w:before="80"/>
        <w:ind w:left="600" w:hanging="0"/>
      </w:pPr>
      <w:r>
        <w:rPr>
          <w:rFonts w:ascii="Arial" w:cs="Arial" w:eastAsia="Arial" w:hAnsi="Arial"/>
          <w:b/>
          <w:bCs/>
          <w:color w:val="1B3A6B"/>
          <w:sz w:val="20"/>
          <w:szCs w:val="20"/>
        </w:rPr>
        <w:t xml:space="preserve">"SEC Code"</w:t>
      </w:r>
      <w:r>
        <w:rPr>
          <w:rFonts w:ascii="Arial" w:cs="Arial" w:eastAsia="Arial" w:hAnsi="Arial"/>
          <w:color w:val="000000"/>
          <w:sz w:val="20"/>
          <w:szCs w:val="20"/>
        </w:rPr>
        <w:t xml:space="preserve">  means Standard Entry Class code, as defined in the NACHA Operating Rules, designating the payment type and authorization format.</w:t>
      </w:r>
    </w:p>
    <w:p>
      <w:pPr>
        <w:spacing w:after="60" w:before="80"/>
        <w:ind w:left="600" w:hanging="0"/>
      </w:pPr>
      <w:r>
        <w:rPr>
          <w:rFonts w:ascii="Arial" w:cs="Arial" w:eastAsia="Arial" w:hAnsi="Arial"/>
          <w:b/>
          <w:bCs/>
          <w:color w:val="1B3A6B"/>
          <w:sz w:val="20"/>
          <w:szCs w:val="20"/>
        </w:rPr>
        <w:t xml:space="preserve">"Settlement Account"</w:t>
      </w:r>
      <w:r>
        <w:rPr>
          <w:rFonts w:ascii="Arial" w:cs="Arial" w:eastAsia="Arial" w:hAnsi="Arial"/>
          <w:color w:val="000000"/>
          <w:sz w:val="20"/>
          <w:szCs w:val="20"/>
        </w:rPr>
        <w:t xml:space="preserve">  means the Customer deposit account maintained at Bank designated on the cover page, into and from which Bank will post ACH settlement amounts, fees, returns, and adjustments.</w:t>
      </w:r>
    </w:p>
    <w:p>
      <w:pPr>
        <w:spacing w:after="60" w:before="80"/>
        <w:ind w:left="600" w:hanging="0"/>
      </w:pPr>
      <w:r>
        <w:rPr>
          <w:rFonts w:ascii="Arial" w:cs="Arial" w:eastAsia="Arial" w:hAnsi="Arial"/>
          <w:b/>
          <w:bCs/>
          <w:color w:val="1B3A6B"/>
          <w:sz w:val="20"/>
          <w:szCs w:val="20"/>
        </w:rPr>
        <w:t xml:space="preserve">"Transmission File"</w:t>
      </w:r>
      <w:r>
        <w:rPr>
          <w:rFonts w:ascii="Arial" w:cs="Arial" w:eastAsia="Arial" w:hAnsi="Arial"/>
          <w:color w:val="000000"/>
          <w:sz w:val="20"/>
          <w:szCs w:val="20"/>
        </w:rPr>
        <w:t xml:space="preserve">  means a NACHA-formatted ACH file, or the equivalent payload submitted via API, containing one or more ACH entries.</w:t>
      </w:r>
    </w:p>
    <w:p>
      <w:pPr>
        <w:pStyle w:val="Heading1"/>
        <w:shd w:fill="1B3A6B" w:val="clear"/>
        <w:spacing w:after="100" w:before="280"/>
        <w:ind w:left="180" w:right="180"/>
      </w:pPr>
      <w:r>
        <w:rPr>
          <w:rFonts w:ascii="Arial" w:cs="Arial" w:eastAsia="Arial" w:hAnsi="Arial"/>
          <w:b/>
          <w:bCs/>
          <w:color w:val="FFFFFF"/>
          <w:sz w:val="24"/>
          <w:szCs w:val="24"/>
        </w:rPr>
        <w:t xml:space="preserve">3.  BANK SERVICES</w:t>
      </w:r>
    </w:p>
    <w:p>
      <w:pPr>
        <w:pStyle w:val="Heading2"/>
        <w:pBdr>
          <w:bottom w:val="single" w:color="B8952A" w:sz="3" w:space="1"/>
        </w:pBdr>
        <w:spacing w:after="80" w:before="220"/>
      </w:pPr>
      <w:r>
        <w:rPr>
          <w:rFonts w:ascii="Arial" w:cs="Arial" w:eastAsia="Arial" w:hAnsi="Arial"/>
          <w:b/>
          <w:bCs/>
          <w:color w:val="1B3A6B"/>
          <w:sz w:val="21"/>
          <w:szCs w:val="21"/>
        </w:rPr>
        <w:t xml:space="preserve">3.1  ODFI Services</w:t>
      </w:r>
    </w:p>
    <w:p>
      <w:pPr>
        <w:spacing w:after="60" w:before="60"/>
        <w:ind w:left="0"/>
        <w:jc w:val="left"/>
      </w:pPr>
      <w:r>
        <w:rPr>
          <w:rFonts w:ascii="Arial" w:cs="Arial" w:eastAsia="Arial" w:hAnsi="Arial"/>
          <w:b w:val="false"/>
          <w:bCs w:val="false"/>
          <w:color w:val="000000"/>
          <w:sz w:val="20"/>
          <w:szCs w:val="20"/>
        </w:rPr>
        <w:t xml:space="preserve">Subject to the terms of this Agreement, Bank agrees to act as ODFI for ACH debit entries originated by Customer in accordance with the NACHA Operating Rules. Bank will:</w:t>
      </w:r>
    </w:p>
    <w:p>
      <w:pPr>
        <w:pStyle w:val="ListParagraph"/>
        <w:numPr>
          <w:ilvl w:val="0"/>
          <w:numId w:val="2"/>
        </w:numPr>
        <w:spacing w:after="40" w:before="40"/>
      </w:pPr>
      <w:r>
        <w:rPr>
          <w:rFonts w:ascii="Arial" w:cs="Arial" w:eastAsia="Arial" w:hAnsi="Arial"/>
          <w:color w:val="000000"/>
          <w:sz w:val="20"/>
          <w:szCs w:val="20"/>
        </w:rPr>
        <w:t xml:space="preserve">Receive Transmission Files or API-submitted ACH entries from Customer and transmit them to the ACH Operator (Federal Reserve Banks or EPN) by the applicable cutoff window;</w:t>
      </w:r>
    </w:p>
    <w:p>
      <w:pPr>
        <w:pStyle w:val="ListParagraph"/>
        <w:numPr>
          <w:ilvl w:val="0"/>
          <w:numId w:val="2"/>
        </w:numPr>
        <w:spacing w:after="40" w:before="40"/>
      </w:pPr>
      <w:r>
        <w:rPr>
          <w:rFonts w:ascii="Arial" w:cs="Arial" w:eastAsia="Arial" w:hAnsi="Arial"/>
          <w:color w:val="000000"/>
          <w:sz w:val="20"/>
          <w:szCs w:val="20"/>
        </w:rPr>
        <w:t xml:space="preserve">Return to Customer all Return Entries and NOC entries received from RDFIs, with accompanying reason codes, within the timeframes required by the NACHA Operating Rules;</w:t>
      </w:r>
    </w:p>
    <w:p>
      <w:pPr>
        <w:pStyle w:val="ListParagraph"/>
        <w:numPr>
          <w:ilvl w:val="0"/>
          <w:numId w:val="2"/>
        </w:numPr>
        <w:spacing w:after="40" w:before="40"/>
      </w:pPr>
      <w:r>
        <w:rPr>
          <w:rFonts w:ascii="Arial" w:cs="Arial" w:eastAsia="Arial" w:hAnsi="Arial"/>
          <w:color w:val="000000"/>
          <w:sz w:val="20"/>
          <w:szCs w:val="20"/>
        </w:rPr>
        <w:t xml:space="preserve">Credit Customer's Settlement Account for net ACH settlements on applicable Settlement Dates;</w:t>
      </w:r>
    </w:p>
    <w:p>
      <w:pPr>
        <w:pStyle w:val="ListParagraph"/>
        <w:numPr>
          <w:ilvl w:val="0"/>
          <w:numId w:val="2"/>
        </w:numPr>
        <w:spacing w:after="40" w:before="40"/>
      </w:pPr>
      <w:r>
        <w:rPr>
          <w:rFonts w:ascii="Arial" w:cs="Arial" w:eastAsia="Arial" w:hAnsi="Arial"/>
          <w:color w:val="000000"/>
          <w:sz w:val="20"/>
          <w:szCs w:val="20"/>
        </w:rPr>
        <w:t xml:space="preserve">Provide Customer with daily ACH activity reports accessible through the API and Bank's online banking portal;</w:t>
      </w:r>
    </w:p>
    <w:p>
      <w:pPr>
        <w:pStyle w:val="ListParagraph"/>
        <w:numPr>
          <w:ilvl w:val="0"/>
          <w:numId w:val="2"/>
        </w:numPr>
        <w:spacing w:after="40" w:before="40"/>
      </w:pPr>
      <w:r>
        <w:rPr>
          <w:rFonts w:ascii="Arial" w:cs="Arial" w:eastAsia="Arial" w:hAnsi="Arial"/>
          <w:color w:val="000000"/>
          <w:sz w:val="20"/>
          <w:szCs w:val="20"/>
        </w:rPr>
        <w:t xml:space="preserve">Maintain Bank's status as an active NACHA-compliant ODFI in good standing throughout the term of this Agreement.</w:t>
      </w:r>
    </w:p>
    <w:p>
      <w:pPr>
        <w:pStyle w:val="Heading2"/>
        <w:pBdr>
          <w:bottom w:val="single" w:color="B8952A" w:sz="3" w:space="1"/>
        </w:pBdr>
        <w:spacing w:after="80" w:before="220"/>
      </w:pPr>
      <w:r>
        <w:rPr>
          <w:rFonts w:ascii="Arial" w:cs="Arial" w:eastAsia="Arial" w:hAnsi="Arial"/>
          <w:b/>
          <w:bCs/>
          <w:color w:val="1B3A6B"/>
          <w:sz w:val="21"/>
          <w:szCs w:val="21"/>
        </w:rPr>
        <w:t xml:space="preserve">3.2  API Platform Access</w:t>
      </w:r>
    </w:p>
    <w:p>
      <w:pPr>
        <w:spacing w:after="60" w:before="60"/>
        <w:ind w:left="0"/>
        <w:jc w:val="left"/>
      </w:pPr>
      <w:r>
        <w:rPr>
          <w:rFonts w:ascii="Arial" w:cs="Arial" w:eastAsia="Arial" w:hAnsi="Arial"/>
          <w:b w:val="false"/>
          <w:bCs w:val="false"/>
          <w:color w:val="000000"/>
          <w:sz w:val="20"/>
          <w:szCs w:val="20"/>
        </w:rPr>
        <w:t xml:space="preserve">Bank grants Customer a non-exclusive, non-transferable right to access and use Bank's ACH API Platform solely for the purposes permitted under this Agreement. The API Platform enables Customer to:</w:t>
      </w:r>
    </w:p>
    <w:p>
      <w:pPr>
        <w:pStyle w:val="ListParagraph"/>
        <w:numPr>
          <w:ilvl w:val="0"/>
          <w:numId w:val="2"/>
        </w:numPr>
        <w:spacing w:after="40" w:before="40"/>
      </w:pPr>
      <w:r>
        <w:rPr>
          <w:rFonts w:ascii="Arial" w:cs="Arial" w:eastAsia="Arial" w:hAnsi="Arial"/>
          <w:color w:val="000000"/>
          <w:sz w:val="20"/>
          <w:szCs w:val="20"/>
        </w:rPr>
        <w:t xml:space="preserve">Submit ACH debit entries individually or in batch via HTTPS API requests without manual file upload;</w:t>
      </w:r>
    </w:p>
    <w:p>
      <w:pPr>
        <w:pStyle w:val="ListParagraph"/>
        <w:numPr>
          <w:ilvl w:val="0"/>
          <w:numId w:val="2"/>
        </w:numPr>
        <w:spacing w:after="40" w:before="40"/>
      </w:pPr>
      <w:r>
        <w:rPr>
          <w:rFonts w:ascii="Arial" w:cs="Arial" w:eastAsia="Arial" w:hAnsi="Arial"/>
          <w:color w:val="000000"/>
          <w:sz w:val="20"/>
          <w:szCs w:val="20"/>
        </w:rPr>
        <w:t xml:space="preserve">Schedule, modify (prior to cutoff), and cancel pending ACH entries;</w:t>
      </w:r>
    </w:p>
    <w:p>
      <w:pPr>
        <w:pStyle w:val="ListParagraph"/>
        <w:numPr>
          <w:ilvl w:val="0"/>
          <w:numId w:val="2"/>
        </w:numPr>
        <w:spacing w:after="40" w:before="40"/>
      </w:pPr>
      <w:r>
        <w:rPr>
          <w:rFonts w:ascii="Arial" w:cs="Arial" w:eastAsia="Arial" w:hAnsi="Arial"/>
          <w:color w:val="000000"/>
          <w:sz w:val="20"/>
          <w:szCs w:val="20"/>
        </w:rPr>
        <w:t xml:space="preserve">Retrieve real-time transaction status, settlement confirmations, and return code details;</w:t>
      </w:r>
    </w:p>
    <w:p>
      <w:pPr>
        <w:pStyle w:val="ListParagraph"/>
        <w:numPr>
          <w:ilvl w:val="0"/>
          <w:numId w:val="2"/>
        </w:numPr>
        <w:spacing w:after="40" w:before="40"/>
      </w:pPr>
      <w:r>
        <w:rPr>
          <w:rFonts w:ascii="Arial" w:cs="Arial" w:eastAsia="Arial" w:hAnsi="Arial"/>
          <w:color w:val="000000"/>
          <w:sz w:val="20"/>
          <w:szCs w:val="20"/>
        </w:rPr>
        <w:t xml:space="preserve">Receive event-driven webhook notifications for entry status changes, returns, NOCs, and settlement events;</w:t>
      </w:r>
    </w:p>
    <w:p>
      <w:pPr>
        <w:pStyle w:val="ListParagraph"/>
        <w:numPr>
          <w:ilvl w:val="0"/>
          <w:numId w:val="2"/>
        </w:numPr>
        <w:spacing w:after="40" w:before="40"/>
      </w:pPr>
      <w:r>
        <w:rPr>
          <w:rFonts w:ascii="Arial" w:cs="Arial" w:eastAsia="Arial" w:hAnsi="Arial"/>
          <w:color w:val="000000"/>
          <w:sz w:val="20"/>
          <w:szCs w:val="20"/>
        </w:rPr>
        <w:t xml:space="preserve">Query current Exposure Limit utilization and Settlement Account balance;</w:t>
      </w:r>
    </w:p>
    <w:p>
      <w:pPr>
        <w:pStyle w:val="ListParagraph"/>
        <w:numPr>
          <w:ilvl w:val="0"/>
          <w:numId w:val="2"/>
        </w:numPr>
        <w:spacing w:after="40" w:before="40"/>
      </w:pPr>
      <w:r>
        <w:rPr>
          <w:rFonts w:ascii="Arial" w:cs="Arial" w:eastAsia="Arial" w:hAnsi="Arial"/>
          <w:color w:val="000000"/>
          <w:sz w:val="20"/>
          <w:szCs w:val="20"/>
        </w:rPr>
        <w:t xml:space="preserve">Access historical transaction records, return rate reports, and downloadable NACHA-format activity files;</w:t>
      </w:r>
    </w:p>
    <w:p>
      <w:pPr>
        <w:pStyle w:val="ListParagraph"/>
        <w:numPr>
          <w:ilvl w:val="0"/>
          <w:numId w:val="2"/>
        </w:numPr>
        <w:spacing w:after="40" w:before="40"/>
      </w:pPr>
      <w:r>
        <w:rPr>
          <w:rFonts w:ascii="Arial" w:cs="Arial" w:eastAsia="Arial" w:hAnsi="Arial"/>
          <w:color w:val="000000"/>
          <w:sz w:val="20"/>
          <w:szCs w:val="20"/>
        </w:rPr>
        <w:t xml:space="preserve">Access Bank's developer sandbox environment for integration testing using non-live credentials.</w:t>
      </w:r>
    </w:p>
    <w:p>
      <w:pPr>
        <w:pStyle w:val="Heading2"/>
        <w:pBdr>
          <w:bottom w:val="single" w:color="B8952A" w:sz="3" w:space="1"/>
        </w:pBdr>
        <w:spacing w:after="80" w:before="220"/>
      </w:pPr>
      <w:r>
        <w:rPr>
          <w:rFonts w:ascii="Arial" w:cs="Arial" w:eastAsia="Arial" w:hAnsi="Arial"/>
          <w:b/>
          <w:bCs/>
          <w:color w:val="1B3A6B"/>
          <w:sz w:val="21"/>
          <w:szCs w:val="21"/>
        </w:rPr>
        <w:t xml:space="preserve">3.3  Permitted SEC Codes</w:t>
      </w:r>
    </w:p>
    <w:p>
      <w:pPr>
        <w:spacing w:after="60" w:before="60"/>
        <w:ind w:left="0"/>
        <w:jc w:val="left"/>
      </w:pPr>
      <w:r>
        <w:rPr>
          <w:rFonts w:ascii="Arial" w:cs="Arial" w:eastAsia="Arial" w:hAnsi="Arial"/>
          <w:b w:val="false"/>
          <w:bCs w:val="false"/>
          <w:color w:val="000000"/>
          <w:sz w:val="20"/>
          <w:szCs w:val="20"/>
        </w:rPr>
        <w:t xml:space="preserve">Bank authorizes Customer to originate ACH debit entries using the following SEC codes only:</w:t>
      </w:r>
    </w:p>
    <w:p>
      <w:pPr>
        <w:pStyle w:val="ListParagraph"/>
        <w:numPr>
          <w:ilvl w:val="0"/>
          <w:numId w:val="2"/>
        </w:numPr>
        <w:spacing w:after="40" w:before="40"/>
      </w:pPr>
      <w:r>
        <w:rPr>
          <w:rFonts w:ascii="Arial" w:cs="Arial" w:eastAsia="Arial" w:hAnsi="Arial"/>
          <w:color w:val="000000"/>
          <w:sz w:val="20"/>
          <w:szCs w:val="20"/>
        </w:rPr>
        <w:t xml:space="preserve">PPD (Prearranged Payment and Deposit): for recurring monthly rent debits supported by a signed paper or compliant electronic Authorization;</w:t>
      </w:r>
    </w:p>
    <w:p>
      <w:pPr>
        <w:pStyle w:val="ListParagraph"/>
        <w:numPr>
          <w:ilvl w:val="0"/>
          <w:numId w:val="2"/>
        </w:numPr>
        <w:spacing w:after="40" w:before="40"/>
      </w:pPr>
      <w:r>
        <w:rPr>
          <w:rFonts w:ascii="Arial" w:cs="Arial" w:eastAsia="Arial" w:hAnsi="Arial"/>
          <w:color w:val="000000"/>
          <w:sz w:val="20"/>
          <w:szCs w:val="20"/>
        </w:rPr>
        <w:t xml:space="preserve">WEB (Internet-initiated/Mobile): for debit entries initiated through Customer's web-based tenant portal, subject to the identity verification, fraud detection, and account validation requirements of the NACHA Operating Rules applicable to WEB entries.</w:t>
      </w:r>
    </w:p>
    <w:p>
      <w:pPr>
        <w:spacing w:after="60" w:before="60"/>
        <w:ind w:left="0"/>
        <w:jc w:val="left"/>
      </w:pPr>
      <w:r>
        <w:rPr>
          <w:rFonts w:ascii="Arial" w:cs="Arial" w:eastAsia="Arial" w:hAnsi="Arial"/>
          <w:b w:val="false"/>
          <w:bCs w:val="false"/>
          <w:color w:val="000000"/>
          <w:sz w:val="20"/>
          <w:szCs w:val="20"/>
        </w:rPr>
        <w:t xml:space="preserve">Customer may not use any other SEC code without Bank's prior written approval.</w:t>
      </w:r>
    </w:p>
    <w:p>
      <w:pPr>
        <w:pStyle w:val="Heading2"/>
        <w:pBdr>
          <w:bottom w:val="single" w:color="B8952A" w:sz="3" w:space="1"/>
        </w:pBdr>
        <w:spacing w:after="80" w:before="220"/>
      </w:pPr>
      <w:r>
        <w:rPr>
          <w:rFonts w:ascii="Arial" w:cs="Arial" w:eastAsia="Arial" w:hAnsi="Arial"/>
          <w:b/>
          <w:bCs/>
          <w:color w:val="1B3A6B"/>
          <w:sz w:val="21"/>
          <w:szCs w:val="21"/>
        </w:rPr>
        <w:t xml:space="preserve">3.4  Same-Day ACH</w:t>
      </w:r>
    </w:p>
    <w:p>
      <w:pPr>
        <w:spacing w:after="60" w:before="60"/>
        <w:ind w:left="0"/>
        <w:jc w:val="left"/>
      </w:pPr>
      <w:r>
        <w:rPr>
          <w:rFonts w:ascii="Arial" w:cs="Arial" w:eastAsia="Arial" w:hAnsi="Arial"/>
          <w:b w:val="false"/>
          <w:bCs w:val="false"/>
          <w:color w:val="000000"/>
          <w:sz w:val="20"/>
          <w:szCs w:val="20"/>
        </w:rPr>
        <w:t xml:space="preserve">Bank offers Same-Day ACH submission subject to the cutoff windows in Exhibit B, the per-entry dollar limit established by Nacha (currently $1,000,000), and the additional fees in Section 5.3. Bank reserves the right to decline Same-Day ACH submission of any individual entry at its discretion.</w:t>
      </w:r>
    </w:p>
    <w:p>
      <w:pPr>
        <w:pStyle w:val="Heading2"/>
        <w:pBdr>
          <w:bottom w:val="single" w:color="B8952A" w:sz="3" w:space="1"/>
        </w:pBdr>
        <w:spacing w:after="80" w:before="220"/>
      </w:pPr>
      <w:r>
        <w:rPr>
          <w:rFonts w:ascii="Arial" w:cs="Arial" w:eastAsia="Arial" w:hAnsi="Arial"/>
          <w:b/>
          <w:bCs/>
          <w:color w:val="1B3A6B"/>
          <w:sz w:val="21"/>
          <w:szCs w:val="21"/>
        </w:rPr>
        <w:t xml:space="preserve">3.5  API Availability</w:t>
      </w:r>
    </w:p>
    <w:p>
      <w:pPr>
        <w:spacing w:after="60" w:before="60"/>
        <w:ind w:left="0"/>
        <w:jc w:val="left"/>
      </w:pPr>
      <w:r>
        <w:rPr>
          <w:rFonts w:ascii="Arial" w:cs="Arial" w:eastAsia="Arial" w:hAnsi="Arial"/>
          <w:b w:val="false"/>
          <w:bCs w:val="false"/>
          <w:color w:val="000000"/>
          <w:sz w:val="20"/>
          <w:szCs w:val="20"/>
        </w:rPr>
        <w:t xml:space="preserve">Bank will use commercially reasonable efforts to maintain API availability of at least 99.5% per calendar month, excluding scheduled maintenance windows. Bank will provide Customer not less than 72 hours' advance notice of scheduled maintenance that will affect API availability. Bank's sole obligation for unscheduled API outages is to restore service as promptly as practicable; Bank shall have no liability for damages arising from API unavailability, whether scheduled or unscheduled.</w:t>
      </w:r>
    </w:p>
    <w:p>
      <w:pPr>
        <w:pStyle w:val="Heading1"/>
        <w:shd w:fill="1B3A6B" w:val="clear"/>
        <w:spacing w:after="100" w:before="280"/>
        <w:ind w:left="180" w:right="180"/>
      </w:pPr>
      <w:r>
        <w:rPr>
          <w:rFonts w:ascii="Arial" w:cs="Arial" w:eastAsia="Arial" w:hAnsi="Arial"/>
          <w:b/>
          <w:bCs/>
          <w:color w:val="FFFFFF"/>
          <w:sz w:val="24"/>
          <w:szCs w:val="24"/>
        </w:rPr>
        <w:t xml:space="preserve">4.  CUSTOMER ELIGIBILITY AND ONBOARDING</w:t>
      </w:r>
    </w:p>
    <w:p>
      <w:pPr>
        <w:pStyle w:val="Heading2"/>
        <w:pBdr>
          <w:bottom w:val="single" w:color="B8952A" w:sz="3" w:space="1"/>
        </w:pBdr>
        <w:spacing w:after="80" w:before="220"/>
      </w:pPr>
      <w:r>
        <w:rPr>
          <w:rFonts w:ascii="Arial" w:cs="Arial" w:eastAsia="Arial" w:hAnsi="Arial"/>
          <w:b/>
          <w:bCs/>
          <w:color w:val="1B3A6B"/>
          <w:sz w:val="21"/>
          <w:szCs w:val="21"/>
        </w:rPr>
        <w:t xml:space="preserve">4.1  Account Requirement</w:t>
      </w:r>
    </w:p>
    <w:p>
      <w:pPr>
        <w:spacing w:after="60" w:before="60"/>
        <w:ind w:left="0"/>
        <w:jc w:val="left"/>
      </w:pPr>
      <w:r>
        <w:rPr>
          <w:rFonts w:ascii="Arial" w:cs="Arial" w:eastAsia="Arial" w:hAnsi="Arial"/>
          <w:b w:val="false"/>
          <w:bCs w:val="false"/>
          <w:color w:val="000000"/>
          <w:sz w:val="20"/>
          <w:szCs w:val="20"/>
        </w:rPr>
        <w:t xml:space="preserve">Customer must maintain an active business checking account at Bank (the Settlement Account) in good standing as a condition of this Agreement. Closure, freeze, or levy of the Settlement Account is grounds for immediate suspension of origination privileges under Section 11.3.</w:t>
      </w:r>
    </w:p>
    <w:p>
      <w:pPr>
        <w:pStyle w:val="Heading2"/>
        <w:pBdr>
          <w:bottom w:val="single" w:color="B8952A" w:sz="3" w:space="1"/>
        </w:pBdr>
        <w:spacing w:after="80" w:before="220"/>
      </w:pPr>
      <w:r>
        <w:rPr>
          <w:rFonts w:ascii="Arial" w:cs="Arial" w:eastAsia="Arial" w:hAnsi="Arial"/>
          <w:b/>
          <w:bCs/>
          <w:color w:val="1B3A6B"/>
          <w:sz w:val="21"/>
          <w:szCs w:val="21"/>
        </w:rPr>
        <w:t xml:space="preserve">4.2  Underwriting and Approval</w:t>
      </w:r>
    </w:p>
    <w:p>
      <w:pPr>
        <w:spacing w:after="60" w:before="60"/>
        <w:ind w:left="0"/>
        <w:jc w:val="left"/>
      </w:pPr>
      <w:r>
        <w:rPr>
          <w:rFonts w:ascii="Arial" w:cs="Arial" w:eastAsia="Arial" w:hAnsi="Arial"/>
          <w:b w:val="false"/>
          <w:bCs w:val="false"/>
          <w:color w:val="000000"/>
          <w:sz w:val="20"/>
          <w:szCs w:val="20"/>
        </w:rPr>
        <w:t xml:space="preserve">Bank's agreement to provide ACH origination services is conditioned upon Bank's satisfactory completion of its underwriting review, including verification of Customer's business identity, review of Customer's financial condition, and assessment of the nature and volume of ACH activity contemplated. Bank may require Customer to provide:</w:t>
      </w:r>
    </w:p>
    <w:p>
      <w:pPr>
        <w:pStyle w:val="ListParagraph"/>
        <w:numPr>
          <w:ilvl w:val="0"/>
          <w:numId w:val="2"/>
        </w:numPr>
        <w:spacing w:after="40" w:before="40"/>
      </w:pPr>
      <w:r>
        <w:rPr>
          <w:rFonts w:ascii="Arial" w:cs="Arial" w:eastAsia="Arial" w:hAnsi="Arial"/>
          <w:color w:val="000000"/>
          <w:sz w:val="20"/>
          <w:szCs w:val="20"/>
        </w:rPr>
        <w:t xml:space="preserve">Executed copies of Customer's Certificate of Formation and Operating Agreement;</w:t>
      </w:r>
    </w:p>
    <w:p>
      <w:pPr>
        <w:pStyle w:val="ListParagraph"/>
        <w:numPr>
          <w:ilvl w:val="0"/>
          <w:numId w:val="2"/>
        </w:numPr>
        <w:spacing w:after="40" w:before="40"/>
      </w:pPr>
      <w:r>
        <w:rPr>
          <w:rFonts w:ascii="Arial" w:cs="Arial" w:eastAsia="Arial" w:hAnsi="Arial"/>
          <w:color w:val="000000"/>
          <w:sz w:val="20"/>
          <w:szCs w:val="20"/>
        </w:rPr>
        <w:t xml:space="preserve">EIN verification (IRS CP 575 or equivalent);</w:t>
      </w:r>
    </w:p>
    <w:p>
      <w:pPr>
        <w:pStyle w:val="ListParagraph"/>
        <w:numPr>
          <w:ilvl w:val="0"/>
          <w:numId w:val="2"/>
        </w:numPr>
        <w:spacing w:after="40" w:before="40"/>
      </w:pPr>
      <w:r>
        <w:rPr>
          <w:rFonts w:ascii="Arial" w:cs="Arial" w:eastAsia="Arial" w:hAnsi="Arial"/>
          <w:color w:val="000000"/>
          <w:sz w:val="20"/>
          <w:szCs w:val="20"/>
        </w:rPr>
        <w:t xml:space="preserve">Two (2) years of business bank statements or financial statements;</w:t>
      </w:r>
    </w:p>
    <w:p>
      <w:pPr>
        <w:pStyle w:val="ListParagraph"/>
        <w:numPr>
          <w:ilvl w:val="0"/>
          <w:numId w:val="2"/>
        </w:numPr>
        <w:spacing w:after="40" w:before="40"/>
      </w:pPr>
      <w:r>
        <w:rPr>
          <w:rFonts w:ascii="Arial" w:cs="Arial" w:eastAsia="Arial" w:hAnsi="Arial"/>
          <w:color w:val="000000"/>
          <w:sz w:val="20"/>
          <w:szCs w:val="20"/>
        </w:rPr>
        <w:t xml:space="preserve">A sample Receiver Authorization form for Bank's compliance review;</w:t>
      </w:r>
    </w:p>
    <w:p>
      <w:pPr>
        <w:pStyle w:val="ListParagraph"/>
        <w:numPr>
          <w:ilvl w:val="0"/>
          <w:numId w:val="2"/>
        </w:numPr>
        <w:spacing w:after="40" w:before="40"/>
      </w:pPr>
      <w:r>
        <w:rPr>
          <w:rFonts w:ascii="Arial" w:cs="Arial" w:eastAsia="Arial" w:hAnsi="Arial"/>
          <w:color w:val="000000"/>
          <w:sz w:val="20"/>
          <w:szCs w:val="20"/>
        </w:rPr>
        <w:t xml:space="preserve">A written description of Customer's tenant onboarding and authorization collection process.</w:t>
      </w:r>
    </w:p>
    <w:p>
      <w:pPr>
        <w:pStyle w:val="Heading2"/>
        <w:pBdr>
          <w:bottom w:val="single" w:color="B8952A" w:sz="3" w:space="1"/>
        </w:pBdr>
        <w:spacing w:after="80" w:before="220"/>
      </w:pPr>
      <w:r>
        <w:rPr>
          <w:rFonts w:ascii="Arial" w:cs="Arial" w:eastAsia="Arial" w:hAnsi="Arial"/>
          <w:b/>
          <w:bCs/>
          <w:color w:val="1B3A6B"/>
          <w:sz w:val="21"/>
          <w:szCs w:val="21"/>
        </w:rPr>
        <w:t xml:space="preserve">4.3  Third-Party Senders Prohibited</w:t>
      </w:r>
    </w:p>
    <w:p>
      <w:pPr>
        <w:spacing w:after="60" w:before="60"/>
        <w:ind w:left="0"/>
        <w:jc w:val="left"/>
      </w:pPr>
      <w:r>
        <w:rPr>
          <w:rFonts w:ascii="Arial" w:cs="Arial" w:eastAsia="Arial" w:hAnsi="Arial"/>
          <w:b w:val="false"/>
          <w:bCs w:val="false"/>
          <w:color w:val="000000"/>
          <w:sz w:val="20"/>
          <w:szCs w:val="20"/>
        </w:rPr>
        <w:t xml:space="preserve">Customer represents and warrants that it is the Originator of all ACH entries submitted under this Agreement and is NOT acting as a Third-Party Sender (as defined in the NACHA Operating Rules) for any other person or entity. Customer shall not use Bank's API Platform to originate entries on behalf of any entity other than Spearhead 39th Street, LLC without Bank's prior written consent and execution of a separate Third-Party Sender agreement. Violation of this section is a material breach.</w:t>
      </w:r>
    </w:p>
    <w:p>
      <w:pPr>
        <w:pStyle w:val="Heading1"/>
        <w:shd w:fill="1B3A6B" w:val="clear"/>
        <w:spacing w:after="100" w:before="280"/>
        <w:ind w:left="180" w:right="180"/>
      </w:pPr>
      <w:r>
        <w:rPr>
          <w:rFonts w:ascii="Arial" w:cs="Arial" w:eastAsia="Arial" w:hAnsi="Arial"/>
          <w:b/>
          <w:bCs/>
          <w:color w:val="FFFFFF"/>
          <w:sz w:val="24"/>
          <w:szCs w:val="24"/>
        </w:rPr>
        <w:t xml:space="preserve">5.  FINANCIAL TERMS</w:t>
      </w:r>
    </w:p>
    <w:p>
      <w:pPr>
        <w:pStyle w:val="Heading2"/>
        <w:pBdr>
          <w:bottom w:val="single" w:color="B8952A" w:sz="3" w:space="1"/>
        </w:pBdr>
        <w:spacing w:after="80" w:before="220"/>
      </w:pPr>
      <w:r>
        <w:rPr>
          <w:rFonts w:ascii="Arial" w:cs="Arial" w:eastAsia="Arial" w:hAnsi="Arial"/>
          <w:b/>
          <w:bCs/>
          <w:color w:val="1B3A6B"/>
          <w:sz w:val="21"/>
          <w:szCs w:val="21"/>
        </w:rPr>
        <w:t xml:space="preserve">5.1  Settlement</w:t>
      </w:r>
    </w:p>
    <w:p>
      <w:pPr>
        <w:spacing w:after="60" w:before="60"/>
        <w:ind w:left="0"/>
        <w:jc w:val="left"/>
      </w:pPr>
      <w:r>
        <w:rPr>
          <w:rFonts w:ascii="Arial" w:cs="Arial" w:eastAsia="Arial" w:hAnsi="Arial"/>
          <w:b w:val="false"/>
          <w:bCs w:val="false"/>
          <w:color w:val="000000"/>
          <w:sz w:val="20"/>
          <w:szCs w:val="20"/>
        </w:rPr>
        <w:t xml:space="preserve">Bank will settle ACH debit entries by crediting or debiting Customer's Settlement Account on the applicable Settlement Date in accordance with ACH Network settlement schedules. Customer acknowledges that credits to the Settlement Account representing collected funds are provisional until the applicable Return window has passed and may be reversed by Bank upon receipt of a Return Entry.</w:t>
      </w:r>
    </w:p>
    <w:p>
      <w:pPr>
        <w:pStyle w:val="Heading2"/>
        <w:pBdr>
          <w:bottom w:val="single" w:color="B8952A" w:sz="3" w:space="1"/>
        </w:pBdr>
        <w:spacing w:after="80" w:before="220"/>
      </w:pPr>
      <w:r>
        <w:rPr>
          <w:rFonts w:ascii="Arial" w:cs="Arial" w:eastAsia="Arial" w:hAnsi="Arial"/>
          <w:b/>
          <w:bCs/>
          <w:color w:val="1B3A6B"/>
          <w:sz w:val="21"/>
          <w:szCs w:val="21"/>
        </w:rPr>
        <w:t xml:space="preserve">5.2  Exposure Limit</w:t>
      </w:r>
    </w:p>
    <w:p>
      <w:pPr>
        <w:spacing w:after="60" w:before="60"/>
        <w:ind w:left="0"/>
        <w:jc w:val="left"/>
      </w:pPr>
      <w:r>
        <w:rPr>
          <w:rFonts w:ascii="Arial" w:cs="Arial" w:eastAsia="Arial" w:hAnsi="Arial"/>
          <w:b w:val="false"/>
          <w:bCs w:val="false"/>
          <w:color w:val="000000"/>
          <w:sz w:val="20"/>
          <w:szCs w:val="20"/>
        </w:rPr>
        <w:t xml:space="preserve">Bank establishes an initial Exposure Limit for Customer as set forth on the cover page. Customer shall not submit ACH entries that would cause aggregate outstanding debit entries to exceed the Exposure Limit at any time. Bank may, in its sole discretion:</w:t>
      </w:r>
    </w:p>
    <w:p>
      <w:pPr>
        <w:pStyle w:val="ListParagraph"/>
        <w:numPr>
          <w:ilvl w:val="0"/>
          <w:numId w:val="2"/>
        </w:numPr>
        <w:spacing w:after="40" w:before="40"/>
      </w:pPr>
      <w:r>
        <w:rPr>
          <w:rFonts w:ascii="Arial" w:cs="Arial" w:eastAsia="Arial" w:hAnsi="Arial"/>
          <w:color w:val="000000"/>
          <w:sz w:val="20"/>
          <w:szCs w:val="20"/>
        </w:rPr>
        <w:t xml:space="preserve">Increase the Exposure Limit upon written request by Customer and satisfactory review by Bank;</w:t>
      </w:r>
    </w:p>
    <w:p>
      <w:pPr>
        <w:pStyle w:val="ListParagraph"/>
        <w:numPr>
          <w:ilvl w:val="0"/>
          <w:numId w:val="2"/>
        </w:numPr>
        <w:spacing w:after="40" w:before="40"/>
      </w:pPr>
      <w:r>
        <w:rPr>
          <w:rFonts w:ascii="Arial" w:cs="Arial" w:eastAsia="Arial" w:hAnsi="Arial"/>
          <w:color w:val="000000"/>
          <w:sz w:val="20"/>
          <w:szCs w:val="20"/>
        </w:rPr>
        <w:t xml:space="preserve">Decrease the Exposure Limit upon 30 days' written notice under ordinary circumstances;</w:t>
      </w:r>
    </w:p>
    <w:p>
      <w:pPr>
        <w:pStyle w:val="ListParagraph"/>
        <w:numPr>
          <w:ilvl w:val="0"/>
          <w:numId w:val="2"/>
        </w:numPr>
        <w:spacing w:after="40" w:before="40"/>
      </w:pPr>
      <w:r>
        <w:rPr>
          <w:rFonts w:ascii="Arial" w:cs="Arial" w:eastAsia="Arial" w:hAnsi="Arial"/>
          <w:color w:val="000000"/>
          <w:sz w:val="20"/>
          <w:szCs w:val="20"/>
        </w:rPr>
        <w:t xml:space="preserve">Decrease the Exposure Limit immediately and without prior notice upon a material adverse change in Customer's financial condition, an elevated return rate, or any event that increases Bank's credit or compliance risk.</w:t>
      </w:r>
    </w:p>
    <w:p>
      <w:pPr>
        <w:spacing w:after="60" w:before="60"/>
        <w:ind w:left="0"/>
        <w:jc w:val="left"/>
      </w:pPr>
      <w:r>
        <w:rPr>
          <w:rFonts w:ascii="Arial" w:cs="Arial" w:eastAsia="Arial" w:hAnsi="Arial"/>
          <w:b w:val="false"/>
          <w:bCs w:val="false"/>
          <w:color w:val="000000"/>
          <w:sz w:val="20"/>
          <w:szCs w:val="20"/>
        </w:rPr>
        <w:t xml:space="preserve">Bank may reject or hold any Transmission File or API submission that would cause Customer to exceed the Exposure Limit.</w:t>
      </w:r>
    </w:p>
    <w:p>
      <w:pPr>
        <w:pStyle w:val="Heading2"/>
        <w:pBdr>
          <w:bottom w:val="single" w:color="B8952A" w:sz="3" w:space="1"/>
        </w:pBdr>
        <w:spacing w:after="80" w:before="220"/>
      </w:pPr>
      <w:r>
        <w:rPr>
          <w:rFonts w:ascii="Arial" w:cs="Arial" w:eastAsia="Arial" w:hAnsi="Arial"/>
          <w:b/>
          <w:bCs/>
          <w:color w:val="1B3A6B"/>
          <w:sz w:val="21"/>
          <w:szCs w:val="21"/>
        </w:rPr>
        <w:t xml:space="preserve">5.3  Fees</w:t>
      </w:r>
    </w:p>
    <w:p>
      <w:pPr>
        <w:spacing w:after="60" w:before="60"/>
        <w:ind w:left="0"/>
        <w:jc w:val="left"/>
      </w:pPr>
      <w:r>
        <w:rPr>
          <w:rFonts w:ascii="Arial" w:cs="Arial" w:eastAsia="Arial" w:hAnsi="Arial"/>
          <w:b w:val="false"/>
          <w:bCs w:val="false"/>
          <w:color w:val="000000"/>
          <w:sz w:val="20"/>
          <w:szCs w:val="20"/>
        </w:rPr>
        <w:t xml:space="preserve">Customer agrees to pay Bank the fees set forth below. Bank may amend fees upon 30 days' written notice to Customer. Continued use of ACH services after the effective date of a fee change constitutes Customer's acceptance of the revised fees. All fees are charged to Customer's Settlement Account on the first Banking Day of each month for the prior month's activity, except where noted.</w:t>
      </w:r>
    </w:p>
    <w:p>
      <w:pPr>
        <w:spacing w:after="10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700"/>
        <w:gridCol w:w="2020"/>
        <w:gridCol w:w="4000"/>
      </w:tblGrid>
      <w:tr>
        <w:tc>
          <w:tcPr>
            <w:tcW w:type="dxa" w:w="3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Service / Fee Type</w:t>
            </w:r>
          </w:p>
        </w:tc>
        <w:tc>
          <w:tcPr>
            <w:tcW w:type="dxa" w:w="20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Amount</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Account Maintenance Fee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$[______]</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Covers API access and ODFI maintenance</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ACH Debit Entry Originated</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$[______]</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per submitted entry</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ACH Credit / Reversal Entry</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$[______]</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Applied per submitted entry</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Entry Processing Fee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$[______]</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return received from RDFI</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NOC Processing Fee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$[______]</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Notification of Change received</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Same-Day ACH Premium (per entry)</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$[______]</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addition to base per-entry fee</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Onboarding / Setup Fee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$[______]</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One-time; due at Agreement execution</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Insufficient Funds / Overdraft Fee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$[______]</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occurrence on Settlement Account</w:t>
            </w:r>
          </w:p>
        </w:tc>
      </w:tr>
      <w:tr>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 Exception Processing Fee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$[______]</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 item requiring manual intervention</w:t>
            </w:r>
          </w:p>
        </w:tc>
      </w:tr>
    </w:tbl>
    <w:p>
      <w:pPr>
        <w:spacing w:after="100" w:before="80"/>
      </w:pPr>
      <w:r>
        <w:t xml:space="preserve"/>
      </w:r>
    </w:p>
    <w:p>
      <w:pPr>
        <w:pStyle w:val="Heading2"/>
        <w:pBdr>
          <w:bottom w:val="single" w:color="B8952A" w:sz="3" w:space="1"/>
        </w:pBdr>
        <w:spacing w:after="80" w:before="220"/>
      </w:pPr>
      <w:r>
        <w:rPr>
          <w:rFonts w:ascii="Arial" w:cs="Arial" w:eastAsia="Arial" w:hAnsi="Arial"/>
          <w:b/>
          <w:bCs/>
          <w:color w:val="1B3A6B"/>
          <w:sz w:val="21"/>
          <w:szCs w:val="21"/>
        </w:rPr>
        <w:t xml:space="preserve">5.4  Reserve Account</w:t>
      </w:r>
    </w:p>
    <w:p>
      <w:pPr>
        <w:spacing w:after="60" w:before="60"/>
        <w:ind w:left="0"/>
        <w:jc w:val="left"/>
      </w:pPr>
      <w:r>
        <w:rPr>
          <w:rFonts w:ascii="Arial" w:cs="Arial" w:eastAsia="Arial" w:hAnsi="Arial"/>
          <w:b w:val="false"/>
          <w:bCs w:val="false"/>
          <w:color w:val="000000"/>
          <w:sz w:val="20"/>
          <w:szCs w:val="20"/>
        </w:rPr>
        <w:t xml:space="preserve">Bank may, at its sole discretion, require Customer to establish and maintain a reserve account at Bank funded in an amount equal to not less than [___]% of Customer's rolling 30-day average of submitted debit entries. The reserve account shall be pledged to Bank as collateral for Customer's obligations under this Agreement, including return chargebacks and indemnification obligations. Bank may increase the reserve requirement upon 10 Banking Days' notice if Customer's return rates exceed the thresholds in Section 6.4 or upon any other increase in Bank's risk exposure. Reserve funds shall be held in a non-interest-bearing deposit account unless Bank agrees otherwise in writing.</w:t>
      </w:r>
    </w:p>
    <w:p>
      <w:pPr>
        <w:pStyle w:val="Heading2"/>
        <w:pBdr>
          <w:bottom w:val="single" w:color="B8952A" w:sz="3" w:space="1"/>
        </w:pBdr>
        <w:spacing w:after="80" w:before="220"/>
      </w:pPr>
      <w:r>
        <w:rPr>
          <w:rFonts w:ascii="Arial" w:cs="Arial" w:eastAsia="Arial" w:hAnsi="Arial"/>
          <w:b/>
          <w:bCs/>
          <w:color w:val="1B3A6B"/>
          <w:sz w:val="21"/>
          <w:szCs w:val="21"/>
        </w:rPr>
        <w:t xml:space="preserve">5.5  Chargeback of Return Entries</w:t>
      </w:r>
    </w:p>
    <w:p>
      <w:pPr>
        <w:spacing w:after="60" w:before="60"/>
        <w:ind w:left="0"/>
        <w:jc w:val="left"/>
      </w:pPr>
      <w:r>
        <w:rPr>
          <w:rFonts w:ascii="Arial" w:cs="Arial" w:eastAsia="Arial" w:hAnsi="Arial"/>
          <w:b w:val="false"/>
          <w:bCs w:val="false"/>
          <w:color w:val="000000"/>
          <w:sz w:val="20"/>
          <w:szCs w:val="20"/>
        </w:rPr>
        <w:t xml:space="preserve">Bank will charge back to Customer's Settlement Account the full dollar amount of any Return Entry immediately upon Bank's receipt of such return from the ACH Operator, without prior notice to Customer. If a chargeback results in a negative balance in Customer's Settlement Account, Customer shall restore the account to a positive balance within one (1) Banking Day of Bank's notification. Bank may exercise its right of setoff against any other account Customer maintains at Bank to satisfy any deficiency.</w:t>
      </w:r>
    </w:p>
    <w:p>
      <w:pPr>
        <w:pStyle w:val="Heading2"/>
        <w:pBdr>
          <w:bottom w:val="single" w:color="B8952A" w:sz="3" w:space="1"/>
        </w:pBdr>
        <w:spacing w:after="80" w:before="220"/>
      </w:pPr>
      <w:r>
        <w:rPr>
          <w:rFonts w:ascii="Arial" w:cs="Arial" w:eastAsia="Arial" w:hAnsi="Arial"/>
          <w:b/>
          <w:bCs/>
          <w:color w:val="1B3A6B"/>
          <w:sz w:val="21"/>
          <w:szCs w:val="21"/>
        </w:rPr>
        <w:t xml:space="preserve">5.6  Right of Setoff</w:t>
      </w:r>
    </w:p>
    <w:p>
      <w:pPr>
        <w:spacing w:after="60" w:before="60"/>
        <w:ind w:left="0"/>
        <w:jc w:val="left"/>
      </w:pPr>
      <w:r>
        <w:rPr>
          <w:rFonts w:ascii="Arial" w:cs="Arial" w:eastAsia="Arial" w:hAnsi="Arial"/>
          <w:b w:val="false"/>
          <w:bCs w:val="false"/>
          <w:color w:val="000000"/>
          <w:sz w:val="20"/>
          <w:szCs w:val="20"/>
        </w:rPr>
        <w:t xml:space="preserve">Customer grants Bank a first-priority security interest in Customer's Settlement Account and any other deposit account held at Bank, and Bank is authorized to apply funds from any such account to satisfy any amounts owed by Customer under this Agreement, including without limitation return chargebacks, fees, indemnification obligations, and overdrafts, without prior notice to Customer.</w:t>
      </w:r>
    </w:p>
    <w:p>
      <w:pPr>
        <w:pStyle w:val="Heading1"/>
        <w:shd w:fill="1B3A6B" w:val="clear"/>
        <w:spacing w:after="100" w:before="280"/>
        <w:ind w:left="180" w:right="180"/>
      </w:pPr>
      <w:r>
        <w:rPr>
          <w:rFonts w:ascii="Arial" w:cs="Arial" w:eastAsia="Arial" w:hAnsi="Arial"/>
          <w:b/>
          <w:bCs/>
          <w:color w:val="FFFFFF"/>
          <w:sz w:val="24"/>
          <w:szCs w:val="24"/>
        </w:rPr>
        <w:t xml:space="preserve">6.  CUSTOMER OBLIGATIONS — NACHA COMPLIANCE</w:t>
      </w:r>
    </w:p>
    <w:p>
      <w:pPr>
        <w:pStyle w:val="Heading2"/>
        <w:pBdr>
          <w:bottom w:val="single" w:color="B8952A" w:sz="3" w:space="1"/>
        </w:pBdr>
        <w:spacing w:after="80" w:before="220"/>
      </w:pPr>
      <w:r>
        <w:rPr>
          <w:rFonts w:ascii="Arial" w:cs="Arial" w:eastAsia="Arial" w:hAnsi="Arial"/>
          <w:b/>
          <w:bCs/>
          <w:color w:val="1B3A6B"/>
          <w:sz w:val="21"/>
          <w:szCs w:val="21"/>
        </w:rPr>
        <w:t xml:space="preserve">6.1  Compliance with NACHA Operating Rules</w:t>
      </w:r>
    </w:p>
    <w:p>
      <w:pPr>
        <w:spacing w:after="60" w:before="60"/>
        <w:ind w:left="0"/>
        <w:jc w:val="left"/>
      </w:pPr>
      <w:r>
        <w:rPr>
          <w:rFonts w:ascii="Arial" w:cs="Arial" w:eastAsia="Arial" w:hAnsi="Arial"/>
          <w:b w:val="false"/>
          <w:bCs w:val="false"/>
          <w:color w:val="000000"/>
          <w:sz w:val="20"/>
          <w:szCs w:val="20"/>
        </w:rPr>
        <w:t xml:space="preserve">Customer shall at all times comply with the NACHA Operating Rules, as currently in effect and as amended from time to time. Customer acknowledges that NACHA amends its Operating Rules periodically and that Customer is responsible for monitoring and implementing required changes. Customer's failure to comply with an amendment to the NACHA Operating Rules within the time prescribed by Nacha shall constitute a breach of this Agreement. Customer shall also comply with all applicable federal and state law, including:</w:t>
      </w:r>
    </w:p>
    <w:p>
      <w:pPr>
        <w:pStyle w:val="ListParagraph"/>
        <w:numPr>
          <w:ilvl w:val="0"/>
          <w:numId w:val="2"/>
        </w:numPr>
        <w:spacing w:after="40" w:before="40"/>
      </w:pPr>
      <w:r>
        <w:rPr>
          <w:rFonts w:ascii="Arial" w:cs="Arial" w:eastAsia="Arial" w:hAnsi="Arial"/>
          <w:color w:val="000000"/>
          <w:sz w:val="20"/>
          <w:szCs w:val="20"/>
        </w:rPr>
        <w:t xml:space="preserve">Electronic Fund Transfer Act (EFTA) and Regulation E (12 C.F.R. Part 1005);</w:t>
      </w:r>
    </w:p>
    <w:p>
      <w:pPr>
        <w:pStyle w:val="ListParagraph"/>
        <w:numPr>
          <w:ilvl w:val="0"/>
          <w:numId w:val="2"/>
        </w:numPr>
        <w:spacing w:after="40" w:before="40"/>
      </w:pPr>
      <w:r>
        <w:rPr>
          <w:rFonts w:ascii="Arial" w:cs="Arial" w:eastAsia="Arial" w:hAnsi="Arial"/>
          <w:color w:val="000000"/>
          <w:sz w:val="20"/>
          <w:szCs w:val="20"/>
        </w:rPr>
        <w:t xml:space="preserve">Electronic Signatures in Global and National Commerce Act (E-SIGN Act), 15 U.S.C. § 7001 et seq.;</w:t>
      </w:r>
    </w:p>
    <w:p>
      <w:pPr>
        <w:pStyle w:val="ListParagraph"/>
        <w:numPr>
          <w:ilvl w:val="0"/>
          <w:numId w:val="2"/>
        </w:numPr>
        <w:spacing w:after="40" w:before="40"/>
      </w:pPr>
      <w:r>
        <w:rPr>
          <w:rFonts w:ascii="Arial" w:cs="Arial" w:eastAsia="Arial" w:hAnsi="Arial"/>
          <w:color w:val="000000"/>
          <w:sz w:val="20"/>
          <w:szCs w:val="20"/>
        </w:rPr>
        <w:t xml:space="preserve">Gramm-Leach-Bliley Act (GLBA) and applicable privacy regulations;</w:t>
      </w:r>
    </w:p>
    <w:p>
      <w:pPr>
        <w:pStyle w:val="ListParagraph"/>
        <w:numPr>
          <w:ilvl w:val="0"/>
          <w:numId w:val="2"/>
        </w:numPr>
        <w:spacing w:after="40" w:before="40"/>
      </w:pPr>
      <w:r>
        <w:rPr>
          <w:rFonts w:ascii="Arial" w:cs="Arial" w:eastAsia="Arial" w:hAnsi="Arial"/>
          <w:color w:val="000000"/>
          <w:sz w:val="20"/>
          <w:szCs w:val="20"/>
        </w:rPr>
        <w:t xml:space="preserve">Bank Secrecy Act (BSA) and anti-money-laundering (AML) requirements;</w:t>
      </w:r>
    </w:p>
    <w:p>
      <w:pPr>
        <w:pStyle w:val="ListParagraph"/>
        <w:numPr>
          <w:ilvl w:val="0"/>
          <w:numId w:val="2"/>
        </w:numPr>
        <w:spacing w:after="40" w:before="40"/>
      </w:pPr>
      <w:r>
        <w:rPr>
          <w:rFonts w:ascii="Arial" w:cs="Arial" w:eastAsia="Arial" w:hAnsi="Arial"/>
          <w:color w:val="000000"/>
          <w:sz w:val="20"/>
          <w:szCs w:val="20"/>
        </w:rPr>
        <w:t xml:space="preserve">Texas Finance Code and applicable state consumer protection statutes;</w:t>
      </w:r>
    </w:p>
    <w:p>
      <w:pPr>
        <w:pStyle w:val="ListParagraph"/>
        <w:numPr>
          <w:ilvl w:val="0"/>
          <w:numId w:val="2"/>
        </w:numPr>
        <w:spacing w:after="40" w:before="40"/>
      </w:pPr>
      <w:r>
        <w:rPr>
          <w:rFonts w:ascii="Arial" w:cs="Arial" w:eastAsia="Arial" w:hAnsi="Arial"/>
          <w:color w:val="000000"/>
          <w:sz w:val="20"/>
          <w:szCs w:val="20"/>
        </w:rPr>
        <w:t xml:space="preserve">Office of Foreign Assets Control (OFAC) regulations — Customer shall screen all Receivers against OFAC's Specially Designated Nationals list prior to originating any entry.</w:t>
      </w:r>
    </w:p>
    <w:p>
      <w:pPr>
        <w:pStyle w:val="Heading2"/>
        <w:pBdr>
          <w:bottom w:val="single" w:color="B8952A" w:sz="3" w:space="1"/>
        </w:pBdr>
        <w:spacing w:after="80" w:before="220"/>
      </w:pPr>
      <w:r>
        <w:rPr>
          <w:rFonts w:ascii="Arial" w:cs="Arial" w:eastAsia="Arial" w:hAnsi="Arial"/>
          <w:b/>
          <w:bCs/>
          <w:color w:val="1B3A6B"/>
          <w:sz w:val="21"/>
          <w:szCs w:val="21"/>
        </w:rPr>
        <w:t xml:space="preserve">6.2  Receiver Authorizations</w:t>
      </w:r>
    </w:p>
    <w:p>
      <w:pPr>
        <w:spacing w:after="60" w:before="60"/>
        <w:ind w:left="0"/>
        <w:jc w:val="left"/>
      </w:pPr>
      <w:r>
        <w:rPr>
          <w:rFonts w:ascii="Arial" w:cs="Arial" w:eastAsia="Arial" w:hAnsi="Arial"/>
          <w:b w:val="false"/>
          <w:bCs w:val="false"/>
          <w:color w:val="000000"/>
          <w:sz w:val="20"/>
          <w:szCs w:val="20"/>
        </w:rPr>
        <w:t xml:space="preserve">Customer shall obtain a valid, enforceable Authorization from each Receiver before initiating any ACH debit entry against that Receiver's account. Each Authorization must:</w:t>
      </w:r>
    </w:p>
    <w:p>
      <w:pPr>
        <w:pStyle w:val="ListParagraph"/>
        <w:numPr>
          <w:ilvl w:val="0"/>
          <w:numId w:val="2"/>
        </w:numPr>
        <w:spacing w:after="40" w:before="40"/>
      </w:pPr>
      <w:r>
        <w:rPr>
          <w:rFonts w:ascii="Arial" w:cs="Arial" w:eastAsia="Arial" w:hAnsi="Arial"/>
          <w:color w:val="000000"/>
          <w:sz w:val="20"/>
          <w:szCs w:val="20"/>
        </w:rPr>
        <w:t xml:space="preserve">Be obtained in writing (paper or compliant electronic format) prior to the first debit entry;</w:t>
      </w:r>
    </w:p>
    <w:p>
      <w:pPr>
        <w:pStyle w:val="ListParagraph"/>
        <w:numPr>
          <w:ilvl w:val="0"/>
          <w:numId w:val="2"/>
        </w:numPr>
        <w:spacing w:after="40" w:before="40"/>
      </w:pPr>
      <w:r>
        <w:rPr>
          <w:rFonts w:ascii="Arial" w:cs="Arial" w:eastAsia="Arial" w:hAnsi="Arial"/>
          <w:color w:val="000000"/>
          <w:sz w:val="20"/>
          <w:szCs w:val="20"/>
        </w:rPr>
        <w:t xml:space="preserve">Clearly and conspicuously identify Bank of Commerce as the ODFI and Spearhead 39th Street, LLC as the Originator by the name that will appear on the Receiver's bank statement;</w:t>
      </w:r>
    </w:p>
    <w:p>
      <w:pPr>
        <w:pStyle w:val="ListParagraph"/>
        <w:numPr>
          <w:ilvl w:val="0"/>
          <w:numId w:val="2"/>
        </w:numPr>
        <w:spacing w:after="40" w:before="40"/>
      </w:pPr>
      <w:r>
        <w:rPr>
          <w:rFonts w:ascii="Arial" w:cs="Arial" w:eastAsia="Arial" w:hAnsi="Arial"/>
          <w:color w:val="000000"/>
          <w:sz w:val="20"/>
          <w:szCs w:val="20"/>
        </w:rPr>
        <w:t xml:space="preserve">State the amount of each debit, or the method by which the amount will be determined;</w:t>
      </w:r>
    </w:p>
    <w:p>
      <w:pPr>
        <w:pStyle w:val="ListParagraph"/>
        <w:numPr>
          <w:ilvl w:val="0"/>
          <w:numId w:val="2"/>
        </w:numPr>
        <w:spacing w:after="40" w:before="40"/>
      </w:pPr>
      <w:r>
        <w:rPr>
          <w:rFonts w:ascii="Arial" w:cs="Arial" w:eastAsia="Arial" w:hAnsi="Arial"/>
          <w:color w:val="000000"/>
          <w:sz w:val="20"/>
          <w:szCs w:val="20"/>
        </w:rPr>
        <w:t xml:space="preserve">State the frequency of entries (recurring monthly) and the Effective Entry Date or method of determining it;</w:t>
      </w:r>
    </w:p>
    <w:p>
      <w:pPr>
        <w:pStyle w:val="ListParagraph"/>
        <w:numPr>
          <w:ilvl w:val="0"/>
          <w:numId w:val="2"/>
        </w:numPr>
        <w:spacing w:after="40" w:before="40"/>
      </w:pPr>
      <w:r>
        <w:rPr>
          <w:rFonts w:ascii="Arial" w:cs="Arial" w:eastAsia="Arial" w:hAnsi="Arial"/>
          <w:color w:val="000000"/>
          <w:sz w:val="20"/>
          <w:szCs w:val="20"/>
        </w:rPr>
        <w:t xml:space="preserve">Include a clear revocation procedure informing the Receiver of their right to revoke the Authorization and the method and timing required to do so;</w:t>
      </w:r>
    </w:p>
    <w:p>
      <w:pPr>
        <w:pStyle w:val="ListParagraph"/>
        <w:numPr>
          <w:ilvl w:val="0"/>
          <w:numId w:val="2"/>
        </w:numPr>
        <w:spacing w:after="40" w:before="40"/>
      </w:pPr>
      <w:r>
        <w:rPr>
          <w:rFonts w:ascii="Arial" w:cs="Arial" w:eastAsia="Arial" w:hAnsi="Arial"/>
          <w:color w:val="000000"/>
          <w:sz w:val="20"/>
          <w:szCs w:val="20"/>
        </w:rPr>
        <w:t xml:space="preserve">For WEB entries: be obtained through a secure, authenticated online session; include account validation (positive pay, micro-deposit, or instant account verification via bank-permissioned data feed); and be supported by a fraud detection system applied to each WEB debit entry, as required by the NACHA Operating Rules;</w:t>
      </w:r>
    </w:p>
    <w:p>
      <w:pPr>
        <w:pStyle w:val="ListParagraph"/>
        <w:numPr>
          <w:ilvl w:val="0"/>
          <w:numId w:val="2"/>
        </w:numPr>
        <w:spacing w:after="40" w:before="40"/>
      </w:pPr>
      <w:r>
        <w:rPr>
          <w:rFonts w:ascii="Arial" w:cs="Arial" w:eastAsia="Arial" w:hAnsi="Arial"/>
          <w:color w:val="000000"/>
          <w:sz w:val="20"/>
          <w:szCs w:val="20"/>
        </w:rPr>
        <w:t xml:space="preserve">Comply with the E-SIGN Act if obtained electronically, including affirmative consent, access and retention capabilities, and delivery of a copy to the Receiver.</w:t>
      </w:r>
    </w:p>
    <w:p>
      <w:pPr>
        <w:spacing w:after="60" w:before="60"/>
        <w:ind w:left="0"/>
        <w:jc w:val="left"/>
      </w:pPr>
      <w:r>
        <w:rPr>
          <w:rFonts w:ascii="Arial" w:cs="Arial" w:eastAsia="Arial" w:hAnsi="Arial"/>
          <w:b w:val="false"/>
          <w:bCs w:val="false"/>
          <w:color w:val="000000"/>
          <w:sz w:val="20"/>
          <w:szCs w:val="20"/>
        </w:rPr>
        <w:t xml:space="preserve">Customer shall retain each Authorization for a minimum of two (2) years following the date of the last ACH entry to which it applies. Customer shall provide Bank with a complete, legible copy of any Authorization within five (5) Banking Days of Bank's written request. Failure to produce a valid Authorization on demand is a material breach of this Agreement.</w:t>
      </w:r>
    </w:p>
    <w:p>
      <w:pPr>
        <w:pStyle w:val="Heading2"/>
        <w:pBdr>
          <w:bottom w:val="single" w:color="B8952A" w:sz="3" w:space="1"/>
        </w:pBdr>
        <w:spacing w:after="80" w:before="220"/>
      </w:pPr>
      <w:r>
        <w:rPr>
          <w:rFonts w:ascii="Arial" w:cs="Arial" w:eastAsia="Arial" w:hAnsi="Arial"/>
          <w:b/>
          <w:bCs/>
          <w:color w:val="1B3A6B"/>
          <w:sz w:val="21"/>
          <w:szCs w:val="21"/>
        </w:rPr>
        <w:t xml:space="preserve">6.3  Pre-Notification (Prenote) Requirements</w:t>
      </w:r>
    </w:p>
    <w:p>
      <w:pPr>
        <w:spacing w:after="60" w:before="60"/>
        <w:ind w:left="0"/>
        <w:jc w:val="left"/>
      </w:pPr>
      <w:r>
        <w:rPr>
          <w:rFonts w:ascii="Arial" w:cs="Arial" w:eastAsia="Arial" w:hAnsi="Arial"/>
          <w:b w:val="false"/>
          <w:bCs w:val="false"/>
          <w:color w:val="000000"/>
          <w:sz w:val="20"/>
          <w:szCs w:val="20"/>
        </w:rPr>
        <w:t xml:space="preserve">Unless Bank expressly waives this requirement in writing, Customer shall initiate a zero-dollar prenote entry to each new Receiver account no less than three (3) Banking Days before submitting the first live debit entry. Customer shall monitor prenote responses and shall not originate any live debit entry to an account for which a prenote return has been received without first resolving the underlying error.</w:t>
      </w:r>
    </w:p>
    <w:p>
      <w:pPr>
        <w:pStyle w:val="Heading2"/>
        <w:pBdr>
          <w:bottom w:val="single" w:color="B8952A" w:sz="3" w:space="1"/>
        </w:pBdr>
        <w:spacing w:after="80" w:before="220"/>
      </w:pPr>
      <w:r>
        <w:rPr>
          <w:rFonts w:ascii="Arial" w:cs="Arial" w:eastAsia="Arial" w:hAnsi="Arial"/>
          <w:b/>
          <w:bCs/>
          <w:color w:val="1B3A6B"/>
          <w:sz w:val="21"/>
          <w:szCs w:val="21"/>
        </w:rPr>
        <w:t xml:space="preserve">6.4  Return Rate Monitoring and Thresholds</w:t>
      </w:r>
    </w:p>
    <w:p>
      <w:pPr>
        <w:spacing w:after="60" w:before="60"/>
        <w:ind w:left="0"/>
        <w:jc w:val="left"/>
      </w:pPr>
      <w:r>
        <w:rPr>
          <w:rFonts w:ascii="Arial" w:cs="Arial" w:eastAsia="Arial" w:hAnsi="Arial"/>
          <w:b w:val="false"/>
          <w:bCs w:val="false"/>
          <w:color w:val="000000"/>
          <w:sz w:val="20"/>
          <w:szCs w:val="20"/>
        </w:rPr>
        <w:t xml:space="preserve">Customer acknowledges that Nacha monitors return rates and may impose sanctions on Bank as ODFI for excessive Customer return rates. Customer shall actively monitor its own return rates and take immediate corrective action if rates approach the following thresholds. Bank may suspend or terminate Customer's origination privileges if Customer's return rates exceed:</w:t>
      </w:r>
    </w:p>
    <w:p>
      <w:pPr>
        <w:pStyle w:val="ListParagraph"/>
        <w:numPr>
          <w:ilvl w:val="0"/>
          <w:numId w:val="2"/>
        </w:numPr>
        <w:spacing w:after="40" w:before="40"/>
      </w:pPr>
      <w:r>
        <w:rPr>
          <w:rFonts w:ascii="Arial" w:cs="Arial" w:eastAsia="Arial" w:hAnsi="Arial"/>
          <w:color w:val="000000"/>
          <w:sz w:val="20"/>
          <w:szCs w:val="20"/>
        </w:rPr>
        <w:t xml:space="preserve">Overall Return Rate: 15% of debit entries originated in any rolling 60-day period;</w:t>
      </w:r>
    </w:p>
    <w:p>
      <w:pPr>
        <w:pStyle w:val="ListParagraph"/>
        <w:numPr>
          <w:ilvl w:val="0"/>
          <w:numId w:val="2"/>
        </w:numPr>
        <w:spacing w:after="40" w:before="40"/>
      </w:pPr>
      <w:r>
        <w:rPr>
          <w:rFonts w:ascii="Arial" w:cs="Arial" w:eastAsia="Arial" w:hAnsi="Arial"/>
          <w:color w:val="000000"/>
          <w:sz w:val="20"/>
          <w:szCs w:val="20"/>
        </w:rPr>
        <w:t xml:space="preserve">Administrative Return Rate (codes R02, R03, R04): 3% of debit entries in any rolling 60-day period;</w:t>
      </w:r>
    </w:p>
    <w:p>
      <w:pPr>
        <w:pStyle w:val="ListParagraph"/>
        <w:numPr>
          <w:ilvl w:val="0"/>
          <w:numId w:val="2"/>
        </w:numPr>
        <w:spacing w:after="40" w:before="40"/>
      </w:pPr>
      <w:r>
        <w:rPr>
          <w:rFonts w:ascii="Arial" w:cs="Arial" w:eastAsia="Arial" w:hAnsi="Arial"/>
          <w:color w:val="000000"/>
          <w:sz w:val="20"/>
          <w:szCs w:val="20"/>
        </w:rPr>
        <w:t xml:space="preserve">Unauthorized Return Rate (codes R05, R07, R10, R29, R51): 0.5% of debit entries in any rolling 60-day period.</w:t>
      </w:r>
    </w:p>
    <w:p>
      <w:pPr>
        <w:spacing w:after="60" w:before="60"/>
        <w:ind w:left="0"/>
        <w:jc w:val="left"/>
      </w:pPr>
      <w:r>
        <w:rPr>
          <w:rFonts w:ascii="Arial" w:cs="Arial" w:eastAsia="Arial" w:hAnsi="Arial"/>
          <w:b w:val="false"/>
          <w:bCs w:val="false"/>
          <w:color w:val="000000"/>
          <w:sz w:val="20"/>
          <w:szCs w:val="20"/>
        </w:rPr>
        <w:t xml:space="preserve">If Customer's return rates exceed any threshold above, Bank may require Customer to submit a written remediation plan within five (5) Banking Days. Customer's failure to submit a remediation plan, or Bank's reasonable determination that the plan is inadequate, is grounds for immediate suspension under Section 11.3.</w:t>
      </w:r>
    </w:p>
    <w:p>
      <w:pPr>
        <w:pStyle w:val="Heading2"/>
        <w:pBdr>
          <w:bottom w:val="single" w:color="B8952A" w:sz="3" w:space="1"/>
        </w:pBdr>
        <w:spacing w:after="80" w:before="220"/>
      </w:pPr>
      <w:r>
        <w:rPr>
          <w:rFonts w:ascii="Arial" w:cs="Arial" w:eastAsia="Arial" w:hAnsi="Arial"/>
          <w:b/>
          <w:bCs/>
          <w:color w:val="1B3A6B"/>
          <w:sz w:val="21"/>
          <w:szCs w:val="21"/>
        </w:rPr>
        <w:t xml:space="preserve">6.5  Notification of Change (NOC) Response Obligation</w:t>
      </w:r>
    </w:p>
    <w:p>
      <w:pPr>
        <w:spacing w:after="60" w:before="60"/>
        <w:ind w:left="0"/>
        <w:jc w:val="left"/>
      </w:pPr>
      <w:r>
        <w:rPr>
          <w:rFonts w:ascii="Arial" w:cs="Arial" w:eastAsia="Arial" w:hAnsi="Arial"/>
          <w:b w:val="false"/>
          <w:bCs w:val="false"/>
          <w:color w:val="000000"/>
          <w:sz w:val="20"/>
          <w:szCs w:val="20"/>
        </w:rPr>
        <w:t xml:space="preserve">Upon receipt from Bank of a NOC entry, Customer shall update the affected Receiver's account information in Customer's records and correct future entries within six (6) Banking Days of receipt, or prior to initiating the next ACH entry to the affected account, whichever is earlier. Customer shall not knowingly re-originate an entry containing erroneous information identified in a NOC.</w:t>
      </w:r>
    </w:p>
    <w:p>
      <w:pPr>
        <w:pStyle w:val="Heading2"/>
        <w:pBdr>
          <w:bottom w:val="single" w:color="B8952A" w:sz="3" w:space="1"/>
        </w:pBdr>
        <w:spacing w:after="80" w:before="220"/>
      </w:pPr>
      <w:r>
        <w:rPr>
          <w:rFonts w:ascii="Arial" w:cs="Arial" w:eastAsia="Arial" w:hAnsi="Arial"/>
          <w:b/>
          <w:bCs/>
          <w:color w:val="1B3A6B"/>
          <w:sz w:val="21"/>
          <w:szCs w:val="21"/>
        </w:rPr>
        <w:t xml:space="preserve">6.6  Reversal Entries</w:t>
      </w:r>
    </w:p>
    <w:p>
      <w:pPr>
        <w:spacing w:after="60" w:before="60"/>
        <w:ind w:left="0"/>
        <w:jc w:val="left"/>
      </w:pPr>
      <w:r>
        <w:rPr>
          <w:rFonts w:ascii="Arial" w:cs="Arial" w:eastAsia="Arial" w:hAnsi="Arial"/>
          <w:b w:val="false"/>
          <w:bCs w:val="false"/>
          <w:color w:val="000000"/>
          <w:sz w:val="20"/>
          <w:szCs w:val="20"/>
        </w:rPr>
        <w:t xml:space="preserve">Customer may submit a Reversal Entry solely to correct an erroneous Debit Entry that was: (a) a duplicate of a previously submitted entry; (b) submitted for an incorrect dollar amount; or (c) applied to the wrong Receiver account. Reversal Entries must be submitted within five (5) Banking Days of the Settlement Date of the original entry, must include "REVERSAL" in the Company Entry Description field, and must be accompanied by written or electronic notice to the affected Receiver(s) within one (1) Banking Day of submitting the reversal.</w:t>
      </w:r>
    </w:p>
    <w:p>
      <w:pPr>
        <w:pStyle w:val="Heading2"/>
        <w:pBdr>
          <w:bottom w:val="single" w:color="B8952A" w:sz="3" w:space="1"/>
        </w:pBdr>
        <w:spacing w:after="80" w:before="220"/>
      </w:pPr>
      <w:r>
        <w:rPr>
          <w:rFonts w:ascii="Arial" w:cs="Arial" w:eastAsia="Arial" w:hAnsi="Arial"/>
          <w:b/>
          <w:bCs/>
          <w:color w:val="1B3A6B"/>
          <w:sz w:val="21"/>
          <w:szCs w:val="21"/>
        </w:rPr>
        <w:t xml:space="preserve">6.7  Prohibited Uses</w:t>
      </w:r>
    </w:p>
    <w:p>
      <w:pPr>
        <w:spacing w:after="60" w:before="60"/>
        <w:ind w:left="0"/>
        <w:jc w:val="left"/>
      </w:pPr>
      <w:r>
        <w:rPr>
          <w:rFonts w:ascii="Arial" w:cs="Arial" w:eastAsia="Arial" w:hAnsi="Arial"/>
          <w:b w:val="false"/>
          <w:bCs w:val="false"/>
          <w:color w:val="000000"/>
          <w:sz w:val="20"/>
          <w:szCs w:val="20"/>
        </w:rPr>
        <w:t xml:space="preserve">Customer shall not use Bank's ACH origination services or API Platform for any of the following purposes:</w:t>
      </w:r>
    </w:p>
    <w:p>
      <w:pPr>
        <w:pStyle w:val="ListParagraph"/>
        <w:numPr>
          <w:ilvl w:val="0"/>
          <w:numId w:val="2"/>
        </w:numPr>
        <w:spacing w:after="40" w:before="40"/>
      </w:pPr>
      <w:r>
        <w:rPr>
          <w:rFonts w:ascii="Arial" w:cs="Arial" w:eastAsia="Arial" w:hAnsi="Arial"/>
          <w:color w:val="000000"/>
          <w:sz w:val="20"/>
          <w:szCs w:val="20"/>
        </w:rPr>
        <w:t xml:space="preserve">Originating entries on behalf of any entity other than Spearhead 39th Street, LLC;</w:t>
      </w:r>
    </w:p>
    <w:p>
      <w:pPr>
        <w:pStyle w:val="ListParagraph"/>
        <w:numPr>
          <w:ilvl w:val="0"/>
          <w:numId w:val="2"/>
        </w:numPr>
        <w:spacing w:after="40" w:before="40"/>
      </w:pPr>
      <w:r>
        <w:rPr>
          <w:rFonts w:ascii="Arial" w:cs="Arial" w:eastAsia="Arial" w:hAnsi="Arial"/>
          <w:color w:val="000000"/>
          <w:sz w:val="20"/>
          <w:szCs w:val="20"/>
        </w:rPr>
        <w:t xml:space="preserve">Collecting amounts not authorized in the Receiver's lease agreement or Authorization;</w:t>
      </w:r>
    </w:p>
    <w:p>
      <w:pPr>
        <w:pStyle w:val="ListParagraph"/>
        <w:numPr>
          <w:ilvl w:val="0"/>
          <w:numId w:val="2"/>
        </w:numPr>
        <w:spacing w:after="40" w:before="40"/>
      </w:pPr>
      <w:r>
        <w:rPr>
          <w:rFonts w:ascii="Arial" w:cs="Arial" w:eastAsia="Arial" w:hAnsi="Arial"/>
          <w:color w:val="000000"/>
          <w:sz w:val="20"/>
          <w:szCs w:val="20"/>
        </w:rPr>
        <w:t xml:space="preserve">Submitting entries following receipt of a stop-payment or revocation from a Receiver without obtaining a new Authorization;</w:t>
      </w:r>
    </w:p>
    <w:p>
      <w:pPr>
        <w:pStyle w:val="ListParagraph"/>
        <w:numPr>
          <w:ilvl w:val="0"/>
          <w:numId w:val="2"/>
        </w:numPr>
        <w:spacing w:after="40" w:before="40"/>
      </w:pPr>
      <w:r>
        <w:rPr>
          <w:rFonts w:ascii="Arial" w:cs="Arial" w:eastAsia="Arial" w:hAnsi="Arial"/>
          <w:color w:val="000000"/>
          <w:sz w:val="20"/>
          <w:szCs w:val="20"/>
        </w:rPr>
        <w:t xml:space="preserve">Re-presenting a returned debit entry more than twice for the same transaction, or re-presenting an entry returned for an unauthorized reason (R05, R07, R10, R29, R51);</w:t>
      </w:r>
    </w:p>
    <w:p>
      <w:pPr>
        <w:pStyle w:val="ListParagraph"/>
        <w:numPr>
          <w:ilvl w:val="0"/>
          <w:numId w:val="2"/>
        </w:numPr>
        <w:spacing w:after="40" w:before="40"/>
      </w:pPr>
      <w:r>
        <w:rPr>
          <w:rFonts w:ascii="Arial" w:cs="Arial" w:eastAsia="Arial" w:hAnsi="Arial"/>
          <w:color w:val="000000"/>
          <w:sz w:val="20"/>
          <w:szCs w:val="20"/>
        </w:rPr>
        <w:t xml:space="preserve">Any transaction that violates applicable law, including OFAC regulations or BSA/AML requirements.</w:t>
      </w:r>
    </w:p>
    <w:p>
      <w:pPr>
        <w:pStyle w:val="Heading2"/>
        <w:pBdr>
          <w:bottom w:val="single" w:color="B8952A" w:sz="3" w:space="1"/>
        </w:pBdr>
        <w:spacing w:after="80" w:before="220"/>
      </w:pPr>
      <w:r>
        <w:rPr>
          <w:rFonts w:ascii="Arial" w:cs="Arial" w:eastAsia="Arial" w:hAnsi="Arial"/>
          <w:b/>
          <w:bCs/>
          <w:color w:val="1B3A6B"/>
          <w:sz w:val="21"/>
          <w:szCs w:val="21"/>
        </w:rPr>
        <w:t xml:space="preserve">6.8  Recordkeeping</w:t>
      </w:r>
    </w:p>
    <w:p>
      <w:pPr>
        <w:spacing w:after="60" w:before="60"/>
        <w:ind w:left="0"/>
        <w:jc w:val="left"/>
      </w:pPr>
      <w:r>
        <w:rPr>
          <w:rFonts w:ascii="Arial" w:cs="Arial" w:eastAsia="Arial" w:hAnsi="Arial"/>
          <w:b w:val="false"/>
          <w:bCs w:val="false"/>
          <w:color w:val="000000"/>
          <w:sz w:val="20"/>
          <w:szCs w:val="20"/>
        </w:rPr>
        <w:t xml:space="preserve">Customer shall maintain the following records for a minimum of six (6) years, or longer if required by applicable law:</w:t>
      </w:r>
    </w:p>
    <w:p>
      <w:pPr>
        <w:pStyle w:val="ListParagraph"/>
        <w:numPr>
          <w:ilvl w:val="0"/>
          <w:numId w:val="2"/>
        </w:numPr>
        <w:spacing w:after="40" w:before="40"/>
      </w:pPr>
      <w:r>
        <w:rPr>
          <w:rFonts w:ascii="Arial" w:cs="Arial" w:eastAsia="Arial" w:hAnsi="Arial"/>
          <w:color w:val="000000"/>
          <w:sz w:val="20"/>
          <w:szCs w:val="20"/>
        </w:rPr>
        <w:t xml:space="preserve">All Receiver Authorizations in their original or electronic format with metadata sufficient to establish execution date, Receiver identity, and account information;</w:t>
      </w:r>
    </w:p>
    <w:p>
      <w:pPr>
        <w:pStyle w:val="ListParagraph"/>
        <w:numPr>
          <w:ilvl w:val="0"/>
          <w:numId w:val="2"/>
        </w:numPr>
        <w:spacing w:after="40" w:before="40"/>
      </w:pPr>
      <w:r>
        <w:rPr>
          <w:rFonts w:ascii="Arial" w:cs="Arial" w:eastAsia="Arial" w:hAnsi="Arial"/>
          <w:color w:val="000000"/>
          <w:sz w:val="20"/>
          <w:szCs w:val="20"/>
        </w:rPr>
        <w:t xml:space="preserve">All Transmission Files and API submission payloads, including NACHA batch header and entry detail records;</w:t>
      </w:r>
    </w:p>
    <w:p>
      <w:pPr>
        <w:pStyle w:val="ListParagraph"/>
        <w:numPr>
          <w:ilvl w:val="0"/>
          <w:numId w:val="2"/>
        </w:numPr>
        <w:spacing w:after="40" w:before="40"/>
      </w:pPr>
      <w:r>
        <w:rPr>
          <w:rFonts w:ascii="Arial" w:cs="Arial" w:eastAsia="Arial" w:hAnsi="Arial"/>
          <w:color w:val="000000"/>
          <w:sz w:val="20"/>
          <w:szCs w:val="20"/>
        </w:rPr>
        <w:t xml:space="preserve">All Return Entries, NOC entries, and Customer's corresponding corrective actions;</w:t>
      </w:r>
    </w:p>
    <w:p>
      <w:pPr>
        <w:pStyle w:val="ListParagraph"/>
        <w:numPr>
          <w:ilvl w:val="0"/>
          <w:numId w:val="2"/>
        </w:numPr>
        <w:spacing w:after="40" w:before="40"/>
      </w:pPr>
      <w:r>
        <w:rPr>
          <w:rFonts w:ascii="Arial" w:cs="Arial" w:eastAsia="Arial" w:hAnsi="Arial"/>
          <w:color w:val="000000"/>
          <w:sz w:val="20"/>
          <w:szCs w:val="20"/>
        </w:rPr>
        <w:t xml:space="preserve">API access logs, including timestamps, entry identifiers, and originating system credentials;</w:t>
      </w:r>
    </w:p>
    <w:p>
      <w:pPr>
        <w:pStyle w:val="ListParagraph"/>
        <w:numPr>
          <w:ilvl w:val="0"/>
          <w:numId w:val="2"/>
        </w:numPr>
        <w:spacing w:after="40" w:before="40"/>
      </w:pPr>
      <w:r>
        <w:rPr>
          <w:rFonts w:ascii="Arial" w:cs="Arial" w:eastAsia="Arial" w:hAnsi="Arial"/>
          <w:color w:val="000000"/>
          <w:sz w:val="20"/>
          <w:szCs w:val="20"/>
        </w:rPr>
        <w:t xml:space="preserve">Identity verification and fraud screening records for all WEB entries;</w:t>
      </w:r>
    </w:p>
    <w:p>
      <w:pPr>
        <w:pStyle w:val="ListParagraph"/>
        <w:numPr>
          <w:ilvl w:val="0"/>
          <w:numId w:val="2"/>
        </w:numPr>
        <w:spacing w:after="40" w:before="40"/>
      </w:pPr>
      <w:r>
        <w:rPr>
          <w:rFonts w:ascii="Arial" w:cs="Arial" w:eastAsia="Arial" w:hAnsi="Arial"/>
          <w:color w:val="000000"/>
          <w:sz w:val="20"/>
          <w:szCs w:val="20"/>
        </w:rPr>
        <w:t xml:space="preserve">All NOC responses and corresponding account corrections.</w:t>
      </w:r>
    </w:p>
    <w:p>
      <w:pPr>
        <w:pStyle w:val="Heading1"/>
        <w:shd w:fill="1B3A6B" w:val="clear"/>
        <w:spacing w:after="100" w:before="280"/>
        <w:ind w:left="180" w:right="180"/>
      </w:pPr>
      <w:r>
        <w:rPr>
          <w:rFonts w:ascii="Arial" w:cs="Arial" w:eastAsia="Arial" w:hAnsi="Arial"/>
          <w:b/>
          <w:bCs/>
          <w:color w:val="FFFFFF"/>
          <w:sz w:val="24"/>
          <w:szCs w:val="24"/>
        </w:rPr>
        <w:t xml:space="preserve">7.  CUSTOMER OBLIGATIONS — API SECURITY</w:t>
      </w:r>
    </w:p>
    <w:p>
      <w:pPr>
        <w:pStyle w:val="Heading2"/>
        <w:pBdr>
          <w:bottom w:val="single" w:color="B8952A" w:sz="3" w:space="1"/>
        </w:pBdr>
        <w:spacing w:after="80" w:before="220"/>
      </w:pPr>
      <w:r>
        <w:rPr>
          <w:rFonts w:ascii="Arial" w:cs="Arial" w:eastAsia="Arial" w:hAnsi="Arial"/>
          <w:b/>
          <w:bCs/>
          <w:color w:val="1B3A6B"/>
          <w:sz w:val="21"/>
          <w:szCs w:val="21"/>
        </w:rPr>
        <w:t xml:space="preserve">7.1  Credential Security</w:t>
      </w:r>
    </w:p>
    <w:p>
      <w:pPr>
        <w:spacing w:after="60" w:before="60"/>
        <w:ind w:left="0"/>
        <w:jc w:val="left"/>
      </w:pPr>
      <w:r>
        <w:rPr>
          <w:rFonts w:ascii="Arial" w:cs="Arial" w:eastAsia="Arial" w:hAnsi="Arial"/>
          <w:b w:val="false"/>
          <w:bCs w:val="false"/>
          <w:color w:val="000000"/>
          <w:sz w:val="20"/>
          <w:szCs w:val="20"/>
        </w:rPr>
        <w:t xml:space="preserve">Customer shall protect all API Credentials using security practices consistent with applicable industry standards. Without limiting the foregoing, Customer shall:</w:t>
      </w:r>
    </w:p>
    <w:p>
      <w:pPr>
        <w:pStyle w:val="ListParagraph"/>
        <w:numPr>
          <w:ilvl w:val="0"/>
          <w:numId w:val="2"/>
        </w:numPr>
        <w:spacing w:after="40" w:before="40"/>
      </w:pPr>
      <w:r>
        <w:rPr>
          <w:rFonts w:ascii="Arial" w:cs="Arial" w:eastAsia="Arial" w:hAnsi="Arial"/>
          <w:color w:val="000000"/>
          <w:sz w:val="20"/>
          <w:szCs w:val="20"/>
        </w:rPr>
        <w:t xml:space="preserve">Store all API Credentials exclusively in encrypted secrets management systems (e.g., environment variables, AWS Secrets Manager, HashiCorp Vault) and never in source code, version control repositories, log files, or unencrypted storage;</w:t>
      </w:r>
    </w:p>
    <w:p>
      <w:pPr>
        <w:pStyle w:val="ListParagraph"/>
        <w:numPr>
          <w:ilvl w:val="0"/>
          <w:numId w:val="2"/>
        </w:numPr>
        <w:spacing w:after="40" w:before="40"/>
      </w:pPr>
      <w:r>
        <w:rPr>
          <w:rFonts w:ascii="Arial" w:cs="Arial" w:eastAsia="Arial" w:hAnsi="Arial"/>
          <w:color w:val="000000"/>
          <w:sz w:val="20"/>
          <w:szCs w:val="20"/>
        </w:rPr>
        <w:t xml:space="preserve">Transmit all API requests exclusively over TLS 1.2 or higher;</w:t>
      </w:r>
    </w:p>
    <w:p>
      <w:pPr>
        <w:pStyle w:val="ListParagraph"/>
        <w:numPr>
          <w:ilvl w:val="0"/>
          <w:numId w:val="2"/>
        </w:numPr>
        <w:spacing w:after="40" w:before="40"/>
      </w:pPr>
      <w:r>
        <w:rPr>
          <w:rFonts w:ascii="Arial" w:cs="Arial" w:eastAsia="Arial" w:hAnsi="Arial"/>
          <w:color w:val="000000"/>
          <w:sz w:val="20"/>
          <w:szCs w:val="20"/>
        </w:rPr>
        <w:t xml:space="preserve">Rotate all API Credentials immediately upon any suspected or confirmed unauthorized access, and no less frequently than once every twelve (12) months;</w:t>
      </w:r>
    </w:p>
    <w:p>
      <w:pPr>
        <w:pStyle w:val="ListParagraph"/>
        <w:numPr>
          <w:ilvl w:val="0"/>
          <w:numId w:val="2"/>
        </w:numPr>
        <w:spacing w:after="40" w:before="40"/>
      </w:pPr>
      <w:r>
        <w:rPr>
          <w:rFonts w:ascii="Arial" w:cs="Arial" w:eastAsia="Arial" w:hAnsi="Arial"/>
          <w:color w:val="000000"/>
          <w:sz w:val="20"/>
          <w:szCs w:val="20"/>
        </w:rPr>
        <w:t xml:space="preserve">Restrict API access to Customer's designated server IP addresses through IP allowlisting configured in Bank's developer portal;</w:t>
      </w:r>
    </w:p>
    <w:p>
      <w:pPr>
        <w:pStyle w:val="ListParagraph"/>
        <w:numPr>
          <w:ilvl w:val="0"/>
          <w:numId w:val="2"/>
        </w:numPr>
        <w:spacing w:after="40" w:before="40"/>
      </w:pPr>
      <w:r>
        <w:rPr>
          <w:rFonts w:ascii="Arial" w:cs="Arial" w:eastAsia="Arial" w:hAnsi="Arial"/>
          <w:color w:val="000000"/>
          <w:sz w:val="20"/>
          <w:szCs w:val="20"/>
        </w:rPr>
        <w:t xml:space="preserve">Enforce multi-factor authentication (MFA) for all personnel with access to Bank's developer portal or Customer's API management interface;</w:t>
      </w:r>
    </w:p>
    <w:p>
      <w:pPr>
        <w:pStyle w:val="ListParagraph"/>
        <w:numPr>
          <w:ilvl w:val="0"/>
          <w:numId w:val="2"/>
        </w:numPr>
        <w:spacing w:after="40" w:before="40"/>
      </w:pPr>
      <w:r>
        <w:rPr>
          <w:rFonts w:ascii="Arial" w:cs="Arial" w:eastAsia="Arial" w:hAnsi="Arial"/>
          <w:color w:val="000000"/>
          <w:sz w:val="20"/>
          <w:szCs w:val="20"/>
        </w:rPr>
        <w:t xml:space="preserve">Not share API Credentials with any third-party vendor, contractor, or developer without Bank's prior written consent — any authorized third party must execute Bank's standard data access agreement before receiving credentials.</w:t>
      </w:r>
    </w:p>
    <w:p>
      <w:pPr>
        <w:pStyle w:val="Heading2"/>
        <w:pBdr>
          <w:bottom w:val="single" w:color="B8952A" w:sz="3" w:space="1"/>
        </w:pBdr>
        <w:spacing w:after="80" w:before="220"/>
      </w:pPr>
      <w:r>
        <w:rPr>
          <w:rFonts w:ascii="Arial" w:cs="Arial" w:eastAsia="Arial" w:hAnsi="Arial"/>
          <w:b/>
          <w:bCs/>
          <w:color w:val="1B3A6B"/>
          <w:sz w:val="21"/>
          <w:szCs w:val="21"/>
        </w:rPr>
        <w:t xml:space="preserve">7.2  Incident Notification</w:t>
      </w:r>
    </w:p>
    <w:p>
      <w:pPr>
        <w:spacing w:after="60" w:before="60"/>
        <w:ind w:left="0"/>
        <w:jc w:val="left"/>
      </w:pPr>
      <w:r>
        <w:rPr>
          <w:rFonts w:ascii="Arial" w:cs="Arial" w:eastAsia="Arial" w:hAnsi="Arial"/>
          <w:b w:val="false"/>
          <w:bCs w:val="false"/>
          <w:color w:val="000000"/>
          <w:sz w:val="20"/>
          <w:szCs w:val="20"/>
        </w:rPr>
        <w:t xml:space="preserve">Customer shall notify Bank's ACH Operations team (contact information in Exhibit B) within twenty-four (24) hours of discovery of any actual or suspected: (a) unauthorized access to Customer's API Credentials or API integration; (b) data breach involving Receiver account information; or (c) submission of unauthorized ACH entries. Customer shall cooperate fully with Bank's investigation and shall implement remediation measures directed by Bank within the timeframes specified.</w:t>
      </w:r>
    </w:p>
    <w:p>
      <w:pPr>
        <w:pStyle w:val="Heading2"/>
        <w:pBdr>
          <w:bottom w:val="single" w:color="B8952A" w:sz="3" w:space="1"/>
        </w:pBdr>
        <w:spacing w:after="80" w:before="220"/>
      </w:pPr>
      <w:r>
        <w:rPr>
          <w:rFonts w:ascii="Arial" w:cs="Arial" w:eastAsia="Arial" w:hAnsi="Arial"/>
          <w:b/>
          <w:bCs/>
          <w:color w:val="1B3A6B"/>
          <w:sz w:val="21"/>
          <w:szCs w:val="21"/>
        </w:rPr>
        <w:t xml:space="preserve">7.3  Annual Security Review</w:t>
      </w:r>
    </w:p>
    <w:p>
      <w:pPr>
        <w:spacing w:after="60" w:before="60"/>
        <w:ind w:left="0"/>
        <w:jc w:val="left"/>
      </w:pPr>
      <w:r>
        <w:rPr>
          <w:rFonts w:ascii="Arial" w:cs="Arial" w:eastAsia="Arial" w:hAnsi="Arial"/>
          <w:b w:val="false"/>
          <w:bCs w:val="false"/>
          <w:color w:val="000000"/>
          <w:sz w:val="20"/>
          <w:szCs w:val="20"/>
        </w:rPr>
        <w:t xml:space="preserve">Customer shall conduct an annual review of its API integration and internal access controls and shall certify in writing to Bank no later than [January 31] of each year that Customer remains in compliance with the security requirements of this Section 7. Bank may, upon reasonable notice, conduct or commission an audit of Customer's API security controls; Customer shall cooperate fully and bear its own costs in connection with any such audit.</w:t>
      </w:r>
    </w:p>
    <w:p>
      <w:pPr>
        <w:pStyle w:val="Heading2"/>
        <w:pBdr>
          <w:bottom w:val="single" w:color="B8952A" w:sz="3" w:space="1"/>
        </w:pBdr>
        <w:spacing w:after="80" w:before="220"/>
      </w:pPr>
      <w:r>
        <w:rPr>
          <w:rFonts w:ascii="Arial" w:cs="Arial" w:eastAsia="Arial" w:hAnsi="Arial"/>
          <w:b/>
          <w:bCs/>
          <w:color w:val="1B3A6B"/>
          <w:sz w:val="21"/>
          <w:szCs w:val="21"/>
        </w:rPr>
        <w:t xml:space="preserve">7.4  Prohibited API Conduct</w:t>
      </w:r>
    </w:p>
    <w:p>
      <w:pPr>
        <w:spacing w:after="60" w:before="60"/>
        <w:ind w:left="0"/>
        <w:jc w:val="left"/>
      </w:pPr>
      <w:r>
        <w:rPr>
          <w:rFonts w:ascii="Arial" w:cs="Arial" w:eastAsia="Arial" w:hAnsi="Arial"/>
          <w:b w:val="false"/>
          <w:bCs w:val="false"/>
          <w:color w:val="000000"/>
          <w:sz w:val="20"/>
          <w:szCs w:val="20"/>
        </w:rPr>
        <w:t xml:space="preserve">Customer shall not: (a) attempt to access any Bank API endpoint outside the scope of permissions granted under this Agreement; (b) reverse-engineer, decompile, or attempt to derive the source code of Bank's API Platform; (c) use automated scripts to probe, test, or stress-test the production API environment without Bank's advance written approval; (d) share, resell, or sublicense API access to any third party; or (e) use the API in any manner that violates applicable law or Bank's published API usage policies.</w:t>
      </w:r>
    </w:p>
    <w:p>
      <w:pPr>
        <w:pStyle w:val="Heading2"/>
        <w:pBdr>
          <w:bottom w:val="single" w:color="B8952A" w:sz="3" w:space="1"/>
        </w:pBdr>
        <w:spacing w:after="80" w:before="220"/>
      </w:pPr>
      <w:r>
        <w:rPr>
          <w:rFonts w:ascii="Arial" w:cs="Arial" w:eastAsia="Arial" w:hAnsi="Arial"/>
          <w:b/>
          <w:bCs/>
          <w:color w:val="1B3A6B"/>
          <w:sz w:val="21"/>
          <w:szCs w:val="21"/>
        </w:rPr>
        <w:t xml:space="preserve">7.5  Sandbox Environment</w:t>
      </w:r>
    </w:p>
    <w:p>
      <w:pPr>
        <w:spacing w:after="60" w:before="60"/>
        <w:ind w:left="0"/>
        <w:jc w:val="left"/>
      </w:pPr>
      <w:r>
        <w:rPr>
          <w:rFonts w:ascii="Arial" w:cs="Arial" w:eastAsia="Arial" w:hAnsi="Arial"/>
          <w:b w:val="false"/>
          <w:bCs w:val="false"/>
          <w:color w:val="000000"/>
          <w:sz w:val="20"/>
          <w:szCs w:val="20"/>
        </w:rPr>
        <w:t xml:space="preserve">Bank provides Customer with a non-production sandbox environment for integration development and testing. Customer shall conduct all development and testing exclusively in the sandbox environment and shall not use production API Credentials for testing purposes. No actual funds are transferred in the sandbox environment. Bank makes no uptime or data-fidelity guarantees for the sandbox environment.</w:t>
      </w:r>
    </w:p>
    <w:p>
      <w:pPr>
        <w:pStyle w:val="Heading1"/>
        <w:shd w:fill="1B3A6B" w:val="clear"/>
        <w:spacing w:after="100" w:before="280"/>
        <w:ind w:left="180" w:right="180"/>
      </w:pPr>
      <w:r>
        <w:rPr>
          <w:rFonts w:ascii="Arial" w:cs="Arial" w:eastAsia="Arial" w:hAnsi="Arial"/>
          <w:b/>
          <w:bCs/>
          <w:color w:val="FFFFFF"/>
          <w:sz w:val="24"/>
          <w:szCs w:val="24"/>
        </w:rPr>
        <w:t xml:space="preserve">8.  REPRESENTATIONS AND WARRANTIES</w:t>
      </w:r>
    </w:p>
    <w:p>
      <w:pPr>
        <w:pStyle w:val="Heading2"/>
        <w:pBdr>
          <w:bottom w:val="single" w:color="B8952A" w:sz="3" w:space="1"/>
        </w:pBdr>
        <w:spacing w:after="80" w:before="220"/>
      </w:pPr>
      <w:r>
        <w:rPr>
          <w:rFonts w:ascii="Arial" w:cs="Arial" w:eastAsia="Arial" w:hAnsi="Arial"/>
          <w:b/>
          <w:bCs/>
          <w:color w:val="1B3A6B"/>
          <w:sz w:val="21"/>
          <w:szCs w:val="21"/>
        </w:rPr>
        <w:t xml:space="preserve">8.1  Customer Representations</w:t>
      </w:r>
    </w:p>
    <w:p>
      <w:pPr>
        <w:spacing w:after="60" w:before="60"/>
        <w:ind w:left="0"/>
        <w:jc w:val="left"/>
      </w:pPr>
      <w:r>
        <w:rPr>
          <w:rFonts w:ascii="Arial" w:cs="Arial" w:eastAsia="Arial" w:hAnsi="Arial"/>
          <w:b w:val="false"/>
          <w:bCs w:val="false"/>
          <w:color w:val="000000"/>
          <w:sz w:val="20"/>
          <w:szCs w:val="20"/>
        </w:rPr>
        <w:t xml:space="preserve">Customer represents and warrants to Bank, as of the date of this Agreement and as of each date on which Customer submits a Debit Entry, that:</w:t>
      </w:r>
    </w:p>
    <w:p>
      <w:pPr>
        <w:pStyle w:val="ListParagraph"/>
        <w:numPr>
          <w:ilvl w:val="0"/>
          <w:numId w:val="2"/>
        </w:numPr>
        <w:spacing w:after="40" w:before="40"/>
      </w:pPr>
      <w:r>
        <w:rPr>
          <w:rFonts w:ascii="Arial" w:cs="Arial" w:eastAsia="Arial" w:hAnsi="Arial"/>
          <w:color w:val="000000"/>
          <w:sz w:val="20"/>
          <w:szCs w:val="20"/>
        </w:rPr>
        <w:t xml:space="preserve">Customer is a validly formed Texas limited liability company in good standing, with full authority to enter into this Agreement and to bind Spearhead 39th Street, LLC to its terms;</w:t>
      </w:r>
    </w:p>
    <w:p>
      <w:pPr>
        <w:pStyle w:val="ListParagraph"/>
        <w:numPr>
          <w:ilvl w:val="0"/>
          <w:numId w:val="2"/>
        </w:numPr>
        <w:spacing w:after="40" w:before="40"/>
      </w:pPr>
      <w:r>
        <w:rPr>
          <w:rFonts w:ascii="Arial" w:cs="Arial" w:eastAsia="Arial" w:hAnsi="Arial"/>
          <w:color w:val="000000"/>
          <w:sz w:val="20"/>
          <w:szCs w:val="20"/>
        </w:rPr>
        <w:t xml:space="preserve">Customer's execution and performance of this Agreement does not conflict with Customer's Operating Agreement, any other agreement to which Customer is a party, or any applicable law or regulation;</w:t>
      </w:r>
    </w:p>
    <w:p>
      <w:pPr>
        <w:pStyle w:val="ListParagraph"/>
        <w:numPr>
          <w:ilvl w:val="0"/>
          <w:numId w:val="2"/>
        </w:numPr>
        <w:spacing w:after="40" w:before="40"/>
      </w:pPr>
      <w:r>
        <w:rPr>
          <w:rFonts w:ascii="Arial" w:cs="Arial" w:eastAsia="Arial" w:hAnsi="Arial"/>
          <w:color w:val="000000"/>
          <w:sz w:val="20"/>
          <w:szCs w:val="20"/>
        </w:rPr>
        <w:t xml:space="preserve">Each Receiver has provided a valid, unrevoked Authorization permitting the specific Debit Entry being originated;</w:t>
      </w:r>
    </w:p>
    <w:p>
      <w:pPr>
        <w:pStyle w:val="ListParagraph"/>
        <w:numPr>
          <w:ilvl w:val="0"/>
          <w:numId w:val="2"/>
        </w:numPr>
        <w:spacing w:after="40" w:before="40"/>
      </w:pPr>
      <w:r>
        <w:rPr>
          <w:rFonts w:ascii="Arial" w:cs="Arial" w:eastAsia="Arial" w:hAnsi="Arial"/>
          <w:color w:val="000000"/>
          <w:sz w:val="20"/>
          <w:szCs w:val="20"/>
        </w:rPr>
        <w:t xml:space="preserve">The amount of each Debit Entry does not exceed the amount authorized by the Receiver;</w:t>
      </w:r>
    </w:p>
    <w:p>
      <w:pPr>
        <w:pStyle w:val="ListParagraph"/>
        <w:numPr>
          <w:ilvl w:val="0"/>
          <w:numId w:val="2"/>
        </w:numPr>
        <w:spacing w:after="40" w:before="40"/>
      </w:pPr>
      <w:r>
        <w:rPr>
          <w:rFonts w:ascii="Arial" w:cs="Arial" w:eastAsia="Arial" w:hAnsi="Arial"/>
          <w:color w:val="000000"/>
          <w:sz w:val="20"/>
          <w:szCs w:val="20"/>
        </w:rPr>
        <w:t xml:space="preserve">Customer has not received notice from any Receiver that any pending entry is unauthorized or disputed;</w:t>
      </w:r>
    </w:p>
    <w:p>
      <w:pPr>
        <w:pStyle w:val="ListParagraph"/>
        <w:numPr>
          <w:ilvl w:val="0"/>
          <w:numId w:val="2"/>
        </w:numPr>
        <w:spacing w:after="40" w:before="40"/>
      </w:pPr>
      <w:r>
        <w:rPr>
          <w:rFonts w:ascii="Arial" w:cs="Arial" w:eastAsia="Arial" w:hAnsi="Arial"/>
          <w:color w:val="000000"/>
          <w:sz w:val="20"/>
          <w:szCs w:val="20"/>
        </w:rPr>
        <w:t xml:space="preserve">Customer has implemented a commercially reasonable fraud detection and account validation system for all WEB entries, as required by the NACHA Operating Rules;</w:t>
      </w:r>
    </w:p>
    <w:p>
      <w:pPr>
        <w:pStyle w:val="ListParagraph"/>
        <w:numPr>
          <w:ilvl w:val="0"/>
          <w:numId w:val="2"/>
        </w:numPr>
        <w:spacing w:after="40" w:before="40"/>
      </w:pPr>
      <w:r>
        <w:rPr>
          <w:rFonts w:ascii="Arial" w:cs="Arial" w:eastAsia="Arial" w:hAnsi="Arial"/>
          <w:color w:val="000000"/>
          <w:sz w:val="20"/>
          <w:szCs w:val="20"/>
        </w:rPr>
        <w:t xml:space="preserve">All information provided to Bank in connection with Customer's application, onboarding, and ongoing use of ACH services is accurate and complete;</w:t>
      </w:r>
    </w:p>
    <w:p>
      <w:pPr>
        <w:pStyle w:val="ListParagraph"/>
        <w:numPr>
          <w:ilvl w:val="0"/>
          <w:numId w:val="2"/>
        </w:numPr>
        <w:spacing w:after="40" w:before="40"/>
      </w:pPr>
      <w:r>
        <w:rPr>
          <w:rFonts w:ascii="Arial" w:cs="Arial" w:eastAsia="Arial" w:hAnsi="Arial"/>
          <w:color w:val="000000"/>
          <w:sz w:val="20"/>
          <w:szCs w:val="20"/>
        </w:rPr>
        <w:t xml:space="preserve">Customer is not subject to any pending or threatened regulatory enforcement action, lawsuit, or insolvency proceeding that would materially impair its ability to perform under this Agreement.</w:t>
      </w:r>
    </w:p>
    <w:p>
      <w:pPr>
        <w:pStyle w:val="Heading2"/>
        <w:pBdr>
          <w:bottom w:val="single" w:color="B8952A" w:sz="3" w:space="1"/>
        </w:pBdr>
        <w:spacing w:after="80" w:before="220"/>
      </w:pPr>
      <w:r>
        <w:rPr>
          <w:rFonts w:ascii="Arial" w:cs="Arial" w:eastAsia="Arial" w:hAnsi="Arial"/>
          <w:b/>
          <w:bCs/>
          <w:color w:val="1B3A6B"/>
          <w:sz w:val="21"/>
          <w:szCs w:val="21"/>
        </w:rPr>
        <w:t xml:space="preserve">8.2  Bank Representations</w:t>
      </w:r>
    </w:p>
    <w:p>
      <w:pPr>
        <w:spacing w:after="60" w:before="60"/>
        <w:ind w:left="0"/>
        <w:jc w:val="left"/>
      </w:pPr>
      <w:r>
        <w:rPr>
          <w:rFonts w:ascii="Arial" w:cs="Arial" w:eastAsia="Arial" w:hAnsi="Arial"/>
          <w:b w:val="false"/>
          <w:bCs w:val="false"/>
          <w:color w:val="000000"/>
          <w:sz w:val="20"/>
          <w:szCs w:val="20"/>
        </w:rPr>
        <w:t xml:space="preserve">Bank represents and warrants to Customer that: (a) Bank is a duly chartered financial institution authorized to provide ACH origination services and to act as ODFI; (b) Bank is a member in good standing of Nacha; and (c) Bank has the authority to enter into this Agreement.</w:t>
      </w:r>
    </w:p>
    <w:p>
      <w:pPr>
        <w:pStyle w:val="Heading2"/>
        <w:pBdr>
          <w:bottom w:val="single" w:color="B8952A" w:sz="3" w:space="1"/>
        </w:pBdr>
        <w:spacing w:after="80" w:before="220"/>
      </w:pPr>
      <w:r>
        <w:rPr>
          <w:rFonts w:ascii="Arial" w:cs="Arial" w:eastAsia="Arial" w:hAnsi="Arial"/>
          <w:b/>
          <w:bCs/>
          <w:color w:val="1B3A6B"/>
          <w:sz w:val="21"/>
          <w:szCs w:val="21"/>
        </w:rPr>
        <w:t xml:space="preserve">8.3  Disclaimer</w:t>
      </w:r>
    </w:p>
    <w:p>
      <w:pPr>
        <w:spacing w:after="60" w:before="60"/>
        <w:ind w:left="0"/>
        <w:jc w:val="left"/>
      </w:pPr>
      <w:r>
        <w:rPr>
          <w:rFonts w:ascii="Arial" w:cs="Arial" w:eastAsia="Arial" w:hAnsi="Arial"/>
          <w:b w:val="false"/>
          <w:bCs w:val="false"/>
          <w:color w:val="000000"/>
          <w:sz w:val="20"/>
          <w:szCs w:val="20"/>
        </w:rPr>
        <w:t xml:space="preserve">EXCEPT AS EXPRESSLY SET FORTH IN SECTION 8.2, BANK MAKES NO WARRANTY, EXPRESS OR IMPLIED, WITH RESPECT TO THE API PLATFORM OR ANY RELATED SERVICES, INCLUDING ANY IMPLIED WARRANTIES OF MERCHANTABILITY, FITNESS FOR A PARTICULAR PURPOSE, ACCURACY, OR NON-INFRINGEMENT. BANK DOES NOT WARRANT THAT THE API WILL BE ERROR-FREE, UNINTERRUPTED, OR FREE FROM SECURITY VULNERABILITIES.</w:t>
      </w:r>
    </w:p>
    <w:p>
      <w:pPr>
        <w:pStyle w:val="Heading1"/>
        <w:shd w:fill="1B3A6B" w:val="clear"/>
        <w:spacing w:after="100" w:before="280"/>
        <w:ind w:left="180" w:right="180"/>
      </w:pPr>
      <w:r>
        <w:rPr>
          <w:rFonts w:ascii="Arial" w:cs="Arial" w:eastAsia="Arial" w:hAnsi="Arial"/>
          <w:b/>
          <w:bCs/>
          <w:color w:val="FFFFFF"/>
          <w:sz w:val="24"/>
          <w:szCs w:val="24"/>
        </w:rPr>
        <w:t xml:space="preserve">9.  INDEMNIFICATION AND LIMITATION OF LIABILITY</w:t>
      </w:r>
    </w:p>
    <w:p>
      <w:pPr>
        <w:pStyle w:val="Heading2"/>
        <w:pBdr>
          <w:bottom w:val="single" w:color="B8952A" w:sz="3" w:space="1"/>
        </w:pBdr>
        <w:spacing w:after="80" w:before="220"/>
      </w:pPr>
      <w:r>
        <w:rPr>
          <w:rFonts w:ascii="Arial" w:cs="Arial" w:eastAsia="Arial" w:hAnsi="Arial"/>
          <w:b/>
          <w:bCs/>
          <w:color w:val="1B3A6B"/>
          <w:sz w:val="21"/>
          <w:szCs w:val="21"/>
        </w:rPr>
        <w:t xml:space="preserve">9.1  Customer Indemnification of Bank</w:t>
      </w:r>
    </w:p>
    <w:p>
      <w:pPr>
        <w:spacing w:after="60" w:before="60"/>
        <w:ind w:left="0"/>
        <w:jc w:val="left"/>
      </w:pPr>
      <w:r>
        <w:rPr>
          <w:rFonts w:ascii="Arial" w:cs="Arial" w:eastAsia="Arial" w:hAnsi="Arial"/>
          <w:b w:val="false"/>
          <w:bCs w:val="false"/>
          <w:color w:val="000000"/>
          <w:sz w:val="20"/>
          <w:szCs w:val="20"/>
        </w:rPr>
        <w:t xml:space="preserve">Customer shall defend, indemnify, and hold harmless Bank, its officers, directors, shareholders, employees, agents, successors, and assigns (collectively, "Bank Indemnitees") from and against any and all losses, claims, damages, fines, penalties, regulatory sanctions, and expenses (including reasonable attorneys' fees and court costs) arising from or related to:</w:t>
      </w:r>
    </w:p>
    <w:p>
      <w:pPr>
        <w:pStyle w:val="ListParagraph"/>
        <w:numPr>
          <w:ilvl w:val="0"/>
          <w:numId w:val="2"/>
        </w:numPr>
        <w:spacing w:after="40" w:before="40"/>
      </w:pPr>
      <w:r>
        <w:rPr>
          <w:rFonts w:ascii="Arial" w:cs="Arial" w:eastAsia="Arial" w:hAnsi="Arial"/>
          <w:color w:val="000000"/>
          <w:sz w:val="20"/>
          <w:szCs w:val="20"/>
        </w:rPr>
        <w:t xml:space="preserve">Any breach by Customer of this Agreement or the NACHA Operating Rules;</w:t>
      </w:r>
    </w:p>
    <w:p>
      <w:pPr>
        <w:pStyle w:val="ListParagraph"/>
        <w:numPr>
          <w:ilvl w:val="0"/>
          <w:numId w:val="2"/>
        </w:numPr>
        <w:spacing w:after="40" w:before="40"/>
      </w:pPr>
      <w:r>
        <w:rPr>
          <w:rFonts w:ascii="Arial" w:cs="Arial" w:eastAsia="Arial" w:hAnsi="Arial"/>
          <w:color w:val="000000"/>
          <w:sz w:val="20"/>
          <w:szCs w:val="20"/>
        </w:rPr>
        <w:t xml:space="preserve">Any ACH entry originated by Customer that is unauthorized, erroneous, or in excess of the applicable Authorization;</w:t>
      </w:r>
    </w:p>
    <w:p>
      <w:pPr>
        <w:pStyle w:val="ListParagraph"/>
        <w:numPr>
          <w:ilvl w:val="0"/>
          <w:numId w:val="2"/>
        </w:numPr>
        <w:spacing w:after="40" w:before="40"/>
      </w:pPr>
      <w:r>
        <w:rPr>
          <w:rFonts w:ascii="Arial" w:cs="Arial" w:eastAsia="Arial" w:hAnsi="Arial"/>
          <w:color w:val="000000"/>
          <w:sz w:val="20"/>
          <w:szCs w:val="20"/>
        </w:rPr>
        <w:t xml:space="preserve">Customer's failure to obtain, maintain, honor, or timely produce any required Receiver Authorization;</w:t>
      </w:r>
    </w:p>
    <w:p>
      <w:pPr>
        <w:pStyle w:val="ListParagraph"/>
        <w:numPr>
          <w:ilvl w:val="0"/>
          <w:numId w:val="2"/>
        </w:numPr>
        <w:spacing w:after="40" w:before="40"/>
      </w:pPr>
      <w:r>
        <w:rPr>
          <w:rFonts w:ascii="Arial" w:cs="Arial" w:eastAsia="Arial" w:hAnsi="Arial"/>
          <w:color w:val="000000"/>
          <w:sz w:val="20"/>
          <w:szCs w:val="20"/>
        </w:rPr>
        <w:t xml:space="preserve">Any data breach, security incident, or unauthorized access arising from Customer's failure to comply with Section 7;</w:t>
      </w:r>
    </w:p>
    <w:p>
      <w:pPr>
        <w:pStyle w:val="ListParagraph"/>
        <w:numPr>
          <w:ilvl w:val="0"/>
          <w:numId w:val="2"/>
        </w:numPr>
        <w:spacing w:after="40" w:before="40"/>
      </w:pPr>
      <w:r>
        <w:rPr>
          <w:rFonts w:ascii="Arial" w:cs="Arial" w:eastAsia="Arial" w:hAnsi="Arial"/>
          <w:color w:val="000000"/>
          <w:sz w:val="20"/>
          <w:szCs w:val="20"/>
        </w:rPr>
        <w:t xml:space="preserve">Any claim by a Receiver or third party arising from a Debit Entry originated by Customer;</w:t>
      </w:r>
    </w:p>
    <w:p>
      <w:pPr>
        <w:pStyle w:val="ListParagraph"/>
        <w:numPr>
          <w:ilvl w:val="0"/>
          <w:numId w:val="2"/>
        </w:numPr>
        <w:spacing w:after="40" w:before="40"/>
      </w:pPr>
      <w:r>
        <w:rPr>
          <w:rFonts w:ascii="Arial" w:cs="Arial" w:eastAsia="Arial" w:hAnsi="Arial"/>
          <w:color w:val="000000"/>
          <w:sz w:val="20"/>
          <w:szCs w:val="20"/>
        </w:rPr>
        <w:t xml:space="preserve">Customer's violation of any applicable federal or state law, including EFTA, Regulation E, BSA/AML requirements, or OFAC regulations;</w:t>
      </w:r>
    </w:p>
    <w:p>
      <w:pPr>
        <w:pStyle w:val="ListParagraph"/>
        <w:numPr>
          <w:ilvl w:val="0"/>
          <w:numId w:val="2"/>
        </w:numPr>
        <w:spacing w:after="40" w:before="40"/>
      </w:pPr>
      <w:r>
        <w:rPr>
          <w:rFonts w:ascii="Arial" w:cs="Arial" w:eastAsia="Arial" w:hAnsi="Arial"/>
          <w:color w:val="000000"/>
          <w:sz w:val="20"/>
          <w:szCs w:val="20"/>
        </w:rPr>
        <w:t xml:space="preserve">Any fine or sanction imposed on Bank by Nacha, a federal or state regulator, or the ACH Operator arising from Customer's origination activity;</w:t>
      </w:r>
    </w:p>
    <w:p>
      <w:pPr>
        <w:pStyle w:val="ListParagraph"/>
        <w:numPr>
          <w:ilvl w:val="0"/>
          <w:numId w:val="2"/>
        </w:numPr>
        <w:spacing w:after="40" w:before="40"/>
      </w:pPr>
      <w:r>
        <w:rPr>
          <w:rFonts w:ascii="Arial" w:cs="Arial" w:eastAsia="Arial" w:hAnsi="Arial"/>
          <w:color w:val="000000"/>
          <w:sz w:val="20"/>
          <w:szCs w:val="20"/>
        </w:rPr>
        <w:t xml:space="preserve">Any third-party claim arising from Bank's status as ODFI for Customer's ACH entries.</w:t>
      </w:r>
    </w:p>
    <w:p>
      <w:pPr>
        <w:spacing w:after="60" w:before="60"/>
        <w:ind w:left="0"/>
        <w:jc w:val="left"/>
      </w:pPr>
      <w:r>
        <w:rPr>
          <w:rFonts w:ascii="Arial" w:cs="Arial" w:eastAsia="Arial" w:hAnsi="Arial"/>
          <w:b w:val="false"/>
          <w:bCs w:val="false"/>
          <w:color w:val="000000"/>
          <w:sz w:val="20"/>
          <w:szCs w:val="20"/>
        </w:rPr>
        <w:t xml:space="preserve">Customer's indemnification obligation survives termination of this Agreement.</w:t>
      </w:r>
    </w:p>
    <w:p>
      <w:pPr>
        <w:pStyle w:val="Heading2"/>
        <w:pBdr>
          <w:bottom w:val="single" w:color="B8952A" w:sz="3" w:space="1"/>
        </w:pBdr>
        <w:spacing w:after="80" w:before="220"/>
      </w:pPr>
      <w:r>
        <w:rPr>
          <w:rFonts w:ascii="Arial" w:cs="Arial" w:eastAsia="Arial" w:hAnsi="Arial"/>
          <w:b/>
          <w:bCs/>
          <w:color w:val="1B3A6B"/>
          <w:sz w:val="21"/>
          <w:szCs w:val="21"/>
        </w:rPr>
        <w:t xml:space="preserve">9.2  Limitation of Bank's Liability</w:t>
      </w:r>
    </w:p>
    <w:p>
      <w:pPr>
        <w:spacing w:after="60" w:before="60"/>
        <w:ind w:left="0"/>
        <w:jc w:val="left"/>
      </w:pPr>
      <w:r>
        <w:rPr>
          <w:rFonts w:ascii="Arial" w:cs="Arial" w:eastAsia="Arial" w:hAnsi="Arial"/>
          <w:b w:val="false"/>
          <w:bCs w:val="false"/>
          <w:color w:val="000000"/>
          <w:sz w:val="20"/>
          <w:szCs w:val="20"/>
        </w:rPr>
        <w:t xml:space="preserve">TO THE MAXIMUM EXTENT PERMITTED BY APPLICABLE LAW:</w:t>
      </w:r>
    </w:p>
    <w:p>
      <w:pPr>
        <w:pStyle w:val="ListParagraph"/>
        <w:numPr>
          <w:ilvl w:val="0"/>
          <w:numId w:val="2"/>
        </w:numPr>
        <w:spacing w:after="40" w:before="40"/>
      </w:pPr>
      <w:r>
        <w:rPr>
          <w:rFonts w:ascii="Arial" w:cs="Arial" w:eastAsia="Arial" w:hAnsi="Arial"/>
          <w:color w:val="000000"/>
          <w:sz w:val="20"/>
          <w:szCs w:val="20"/>
        </w:rPr>
        <w:t xml:space="preserve">IN NO EVENT SHALL BANK BE LIABLE FOR INDIRECT, SPECIAL, INCIDENTAL, CONSEQUENTIAL, OR PUNITIVE DAMAGES ARISING FROM OR RELATED TO THIS AGREEMENT, THE ACH SERVICES, OR THE API PLATFORM, INCLUDING LOSS OF PROFITS, LOSS OF DATA, OR LOSS OF BUSINESS OPPORTUNITY, EVEN IF BANK HAS BEEN ADVISED OF THE POSSIBILITY OF SUCH DAMAGES;</w:t>
      </w:r>
    </w:p>
    <w:p>
      <w:pPr>
        <w:pStyle w:val="ListParagraph"/>
        <w:numPr>
          <w:ilvl w:val="0"/>
          <w:numId w:val="2"/>
        </w:numPr>
        <w:spacing w:after="40" w:before="40"/>
      </w:pPr>
      <w:r>
        <w:rPr>
          <w:rFonts w:ascii="Arial" w:cs="Arial" w:eastAsia="Arial" w:hAnsi="Arial"/>
          <w:color w:val="000000"/>
          <w:sz w:val="20"/>
          <w:szCs w:val="20"/>
        </w:rPr>
        <w:t xml:space="preserve">BANK'S TOTAL CUMULATIVE LIABILITY TO CUSTOMER FOR ANY CLAIM ARISING UNDER OR RELATED TO THIS AGREEMENT SHALL NOT EXCEED THE TOTAL FEES PAID BY CUSTOMER TO BANK IN THE TWELVE (12) CALENDAR MONTHS IMMEDIATELY PRECEDING THE EVENT GIVING RISE TO THE CLAIM;</w:t>
      </w:r>
    </w:p>
    <w:p>
      <w:pPr>
        <w:pStyle w:val="ListParagraph"/>
        <w:numPr>
          <w:ilvl w:val="0"/>
          <w:numId w:val="2"/>
        </w:numPr>
        <w:spacing w:after="40" w:before="40"/>
      </w:pPr>
      <w:r>
        <w:rPr>
          <w:rFonts w:ascii="Arial" w:cs="Arial" w:eastAsia="Arial" w:hAnsi="Arial"/>
          <w:color w:val="000000"/>
          <w:sz w:val="20"/>
          <w:szCs w:val="20"/>
        </w:rPr>
        <w:t xml:space="preserve">BANK SHALL HAVE NO LIABILITY FOR LOSSES ARISING FROM CUSTOMER'S FAILURE TO COMPLY WITH THE NACHA OPERATING RULES, CUSTOMER'S FAILURE TO MAINTAIN ADEQUATE SECURITY OVER API CREDENTIALS, OR CUSTOMER'S SUBMISSION OF UNAUTHORIZED ENTRIES.</w:t>
      </w:r>
    </w:p>
    <w:p>
      <w:pPr>
        <w:pStyle w:val="Heading2"/>
        <w:pBdr>
          <w:bottom w:val="single" w:color="B8952A" w:sz="3" w:space="1"/>
        </w:pBdr>
        <w:spacing w:after="80" w:before="220"/>
      </w:pPr>
      <w:r>
        <w:rPr>
          <w:rFonts w:ascii="Arial" w:cs="Arial" w:eastAsia="Arial" w:hAnsi="Arial"/>
          <w:b/>
          <w:bCs/>
          <w:color w:val="1B3A6B"/>
          <w:sz w:val="21"/>
          <w:szCs w:val="21"/>
        </w:rPr>
        <w:t xml:space="preserve">9.3  Force Majeure</w:t>
      </w:r>
    </w:p>
    <w:p>
      <w:pPr>
        <w:spacing w:after="60" w:before="60"/>
        <w:ind w:left="0"/>
        <w:jc w:val="left"/>
      </w:pPr>
      <w:r>
        <w:rPr>
          <w:rFonts w:ascii="Arial" w:cs="Arial" w:eastAsia="Arial" w:hAnsi="Arial"/>
          <w:b w:val="false"/>
          <w:bCs w:val="false"/>
          <w:color w:val="000000"/>
          <w:sz w:val="20"/>
          <w:szCs w:val="20"/>
        </w:rPr>
        <w:t xml:space="preserve">Bank shall not be liable for any failure or delay in performance to the extent such failure or delay is caused by circumstances beyond Bank's reasonable control, including acts of God, natural disasters, acts of government, civil unrest, cyberattacks on ACH Network infrastructure, telecommunications failures, or the acts or omissions of the ACH Operator or any RDFI.</w:t>
      </w:r>
    </w:p>
    <w:p>
      <w:pPr>
        <w:pStyle w:val="Heading1"/>
        <w:shd w:fill="1B3A6B" w:val="clear"/>
        <w:spacing w:after="100" w:before="280"/>
        <w:ind w:left="180" w:right="180"/>
      </w:pPr>
      <w:r>
        <w:rPr>
          <w:rFonts w:ascii="Arial" w:cs="Arial" w:eastAsia="Arial" w:hAnsi="Arial"/>
          <w:b/>
          <w:bCs/>
          <w:color w:val="FFFFFF"/>
          <w:sz w:val="24"/>
          <w:szCs w:val="24"/>
        </w:rPr>
        <w:t xml:space="preserve">10.  BANK AUDIT RIGHTS AND COMPLIANCE OVERSIGHT</w:t>
      </w:r>
    </w:p>
    <w:p>
      <w:pPr>
        <w:pStyle w:val="Heading2"/>
        <w:pBdr>
          <w:bottom w:val="single" w:color="B8952A" w:sz="3" w:space="1"/>
        </w:pBdr>
        <w:spacing w:after="80" w:before="220"/>
      </w:pPr>
      <w:r>
        <w:rPr>
          <w:rFonts w:ascii="Arial" w:cs="Arial" w:eastAsia="Arial" w:hAnsi="Arial"/>
          <w:b/>
          <w:bCs/>
          <w:color w:val="1B3A6B"/>
          <w:sz w:val="21"/>
          <w:szCs w:val="21"/>
        </w:rPr>
        <w:t xml:space="preserve">10.1  Audit Rights</w:t>
      </w:r>
    </w:p>
    <w:p>
      <w:pPr>
        <w:spacing w:after="60" w:before="60"/>
        <w:ind w:left="0"/>
        <w:jc w:val="left"/>
      </w:pPr>
      <w:r>
        <w:rPr>
          <w:rFonts w:ascii="Arial" w:cs="Arial" w:eastAsia="Arial" w:hAnsi="Arial"/>
          <w:b w:val="false"/>
          <w:bCs w:val="false"/>
          <w:color w:val="000000"/>
          <w:sz w:val="20"/>
          <w:szCs w:val="20"/>
        </w:rPr>
        <w:t xml:space="preserve">Bank reserves the right, upon at least five (5) Banking Days' written notice (or without notice in the event of a suspected material breach, security incident, or regulatory inquiry), to audit, inspect, or require Customer to produce records demonstrating Customer's compliance with this Agreement and the NACHA Operating Rules, including Authorization records, API security controls, return rate data, and fraud screening procedures. Customer shall cooperate fully and bear its own costs in connection with any such audit.</w:t>
      </w:r>
    </w:p>
    <w:p>
      <w:pPr>
        <w:pStyle w:val="Heading2"/>
        <w:pBdr>
          <w:bottom w:val="single" w:color="B8952A" w:sz="3" w:space="1"/>
        </w:pBdr>
        <w:spacing w:after="80" w:before="220"/>
      </w:pPr>
      <w:r>
        <w:rPr>
          <w:rFonts w:ascii="Arial" w:cs="Arial" w:eastAsia="Arial" w:hAnsi="Arial"/>
          <w:b/>
          <w:bCs/>
          <w:color w:val="1B3A6B"/>
          <w:sz w:val="21"/>
          <w:szCs w:val="21"/>
        </w:rPr>
        <w:t xml:space="preserve">10.2  Regulatory Compliance</w:t>
      </w:r>
    </w:p>
    <w:p>
      <w:pPr>
        <w:spacing w:after="60" w:before="60"/>
        <w:ind w:left="0"/>
        <w:jc w:val="left"/>
      </w:pPr>
      <w:r>
        <w:rPr>
          <w:rFonts w:ascii="Arial" w:cs="Arial" w:eastAsia="Arial" w:hAnsi="Arial"/>
          <w:b w:val="false"/>
          <w:bCs w:val="false"/>
          <w:color w:val="000000"/>
          <w:sz w:val="20"/>
          <w:szCs w:val="20"/>
        </w:rPr>
        <w:t xml:space="preserve">Customer acknowledges that Bank, as ODFI, is subject to examination by federal and state banking regulators and by Nacha. Customer agrees to cooperate with any regulatory examination or inquiry that relates to Customer's use of Bank's ACH services, and to provide documents, records, and personnel access as reasonably requested by Bank in connection with such an examination. Customer shall promptly notify Bank of any regulatory inquiry, examination, subpoena, or enforcement action directed at Customer that relates to ACH transactions or Customer's financial condition.</w:t>
      </w:r>
    </w:p>
    <w:p>
      <w:pPr>
        <w:pStyle w:val="Heading2"/>
        <w:pBdr>
          <w:bottom w:val="single" w:color="B8952A" w:sz="3" w:space="1"/>
        </w:pBdr>
        <w:spacing w:after="80" w:before="220"/>
      </w:pPr>
      <w:r>
        <w:rPr>
          <w:rFonts w:ascii="Arial" w:cs="Arial" w:eastAsia="Arial" w:hAnsi="Arial"/>
          <w:b/>
          <w:bCs/>
          <w:color w:val="1B3A6B"/>
          <w:sz w:val="21"/>
          <w:szCs w:val="21"/>
        </w:rPr>
        <w:t xml:space="preserve">10.3  Nacha Audit Cooperation</w:t>
      </w:r>
    </w:p>
    <w:p>
      <w:pPr>
        <w:spacing w:after="60" w:before="60"/>
        <w:ind w:left="0"/>
        <w:jc w:val="left"/>
      </w:pPr>
      <w:r>
        <w:rPr>
          <w:rFonts w:ascii="Arial" w:cs="Arial" w:eastAsia="Arial" w:hAnsi="Arial"/>
          <w:b w:val="false"/>
          <w:bCs w:val="false"/>
          <w:color w:val="000000"/>
          <w:sz w:val="20"/>
          <w:szCs w:val="20"/>
        </w:rPr>
        <w:t xml:space="preserve">In the event Nacha conducts a rules compliance audit of Bank's origination activity that encompasses Customer's entries, Customer shall cooperate with Bank in responding to such audit, provide all requested records within the timeframes specified by Nacha, and implement any corrective action required.</w:t>
      </w:r>
    </w:p>
    <w:p>
      <w:pPr>
        <w:pStyle w:val="Heading1"/>
        <w:shd w:fill="1B3A6B" w:val="clear"/>
        <w:spacing w:after="100" w:before="280"/>
        <w:ind w:left="180" w:right="180"/>
      </w:pPr>
      <w:r>
        <w:rPr>
          <w:rFonts w:ascii="Arial" w:cs="Arial" w:eastAsia="Arial" w:hAnsi="Arial"/>
          <w:b/>
          <w:bCs/>
          <w:color w:val="FFFFFF"/>
          <w:sz w:val="24"/>
          <w:szCs w:val="24"/>
        </w:rPr>
        <w:t xml:space="preserve">11.  TERM AND TERMINATION</w:t>
      </w:r>
    </w:p>
    <w:p>
      <w:pPr>
        <w:pStyle w:val="Heading2"/>
        <w:pBdr>
          <w:bottom w:val="single" w:color="B8952A" w:sz="3" w:space="1"/>
        </w:pBdr>
        <w:spacing w:after="80" w:before="220"/>
      </w:pPr>
      <w:r>
        <w:rPr>
          <w:rFonts w:ascii="Arial" w:cs="Arial" w:eastAsia="Arial" w:hAnsi="Arial"/>
          <w:b/>
          <w:bCs/>
          <w:color w:val="1B3A6B"/>
          <w:sz w:val="21"/>
          <w:szCs w:val="21"/>
        </w:rPr>
        <w:t xml:space="preserve">11.1  Initial Term and Renewal</w:t>
      </w:r>
    </w:p>
    <w:p>
      <w:pPr>
        <w:spacing w:after="60" w:before="60"/>
        <w:ind w:left="0"/>
        <w:jc w:val="left"/>
      </w:pPr>
      <w:r>
        <w:rPr>
          <w:rFonts w:ascii="Arial" w:cs="Arial" w:eastAsia="Arial" w:hAnsi="Arial"/>
          <w:b w:val="false"/>
          <w:bCs w:val="false"/>
          <w:color w:val="000000"/>
          <w:sz w:val="20"/>
          <w:szCs w:val="20"/>
        </w:rPr>
        <w:t xml:space="preserve">This Agreement commences on the date last executed below and has an initial term of one (1) year. It will automatically renew for successive one-year terms unless either party provides the other party with at least thirty (30) days' written notice of non-renewal prior to the end of the then-current term.</w:t>
      </w:r>
    </w:p>
    <w:p>
      <w:pPr>
        <w:pStyle w:val="Heading2"/>
        <w:pBdr>
          <w:bottom w:val="single" w:color="B8952A" w:sz="3" w:space="1"/>
        </w:pBdr>
        <w:spacing w:after="80" w:before="220"/>
      </w:pPr>
      <w:r>
        <w:rPr>
          <w:rFonts w:ascii="Arial" w:cs="Arial" w:eastAsia="Arial" w:hAnsi="Arial"/>
          <w:b/>
          <w:bCs/>
          <w:color w:val="1B3A6B"/>
          <w:sz w:val="21"/>
          <w:szCs w:val="21"/>
        </w:rPr>
        <w:t xml:space="preserve">11.2  Termination for Convenience</w:t>
      </w:r>
    </w:p>
    <w:p>
      <w:pPr>
        <w:spacing w:after="60" w:before="60"/>
        <w:ind w:left="0"/>
        <w:jc w:val="left"/>
      </w:pPr>
      <w:r>
        <w:rPr>
          <w:rFonts w:ascii="Arial" w:cs="Arial" w:eastAsia="Arial" w:hAnsi="Arial"/>
          <w:b w:val="false"/>
          <w:bCs w:val="false"/>
          <w:color w:val="000000"/>
          <w:sz w:val="20"/>
          <w:szCs w:val="20"/>
        </w:rPr>
        <w:t xml:space="preserve">Either party may terminate this Agreement without cause upon thirty (30) days' prior written notice to the other party.</w:t>
      </w:r>
    </w:p>
    <w:p>
      <w:pPr>
        <w:pStyle w:val="Heading2"/>
        <w:pBdr>
          <w:bottom w:val="single" w:color="B8952A" w:sz="3" w:space="1"/>
        </w:pBdr>
        <w:spacing w:after="80" w:before="220"/>
      </w:pPr>
      <w:r>
        <w:rPr>
          <w:rFonts w:ascii="Arial" w:cs="Arial" w:eastAsia="Arial" w:hAnsi="Arial"/>
          <w:b/>
          <w:bCs/>
          <w:color w:val="1B3A6B"/>
          <w:sz w:val="21"/>
          <w:szCs w:val="21"/>
        </w:rPr>
        <w:t xml:space="preserve">11.3  Immediate Suspension or Termination by Bank</w:t>
      </w:r>
    </w:p>
    <w:p>
      <w:pPr>
        <w:spacing w:after="60" w:before="60"/>
        <w:ind w:left="0"/>
        <w:jc w:val="left"/>
      </w:pPr>
      <w:r>
        <w:rPr>
          <w:rFonts w:ascii="Arial" w:cs="Arial" w:eastAsia="Arial" w:hAnsi="Arial"/>
          <w:b w:val="false"/>
          <w:bCs w:val="false"/>
          <w:color w:val="000000"/>
          <w:sz w:val="20"/>
          <w:szCs w:val="20"/>
        </w:rPr>
        <w:t xml:space="preserve">Bank may immediately suspend Customer's API access and/or origination privileges, or terminate this Agreement, upon written or electronic notice to Customer, upon the occurrence of any of the following:</w:t>
      </w:r>
    </w:p>
    <w:p>
      <w:pPr>
        <w:pStyle w:val="ListParagraph"/>
        <w:numPr>
          <w:ilvl w:val="0"/>
          <w:numId w:val="2"/>
        </w:numPr>
        <w:spacing w:after="40" w:before="40"/>
      </w:pPr>
      <w:r>
        <w:rPr>
          <w:rFonts w:ascii="Arial" w:cs="Arial" w:eastAsia="Arial" w:hAnsi="Arial"/>
          <w:color w:val="000000"/>
          <w:sz w:val="20"/>
          <w:szCs w:val="20"/>
        </w:rPr>
        <w:t xml:space="preserve">Customer breaches any material provision of this Agreement or the NACHA Operating Rules and fails to cure such breach within five (5) Banking Days of notice (or immediately if the breach poses a risk of financial loss to Bank, Receivers, or the ACH Network);</w:t>
      </w:r>
    </w:p>
    <w:p>
      <w:pPr>
        <w:pStyle w:val="ListParagraph"/>
        <w:numPr>
          <w:ilvl w:val="0"/>
          <w:numId w:val="2"/>
        </w:numPr>
        <w:spacing w:after="40" w:before="40"/>
      </w:pPr>
      <w:r>
        <w:rPr>
          <w:rFonts w:ascii="Arial" w:cs="Arial" w:eastAsia="Arial" w:hAnsi="Arial"/>
          <w:color w:val="000000"/>
          <w:sz w:val="20"/>
          <w:szCs w:val="20"/>
        </w:rPr>
        <w:t xml:space="preserve">Customer's overall, administrative, or unauthorized return rates exceed the thresholds in Section 6.4;</w:t>
      </w:r>
    </w:p>
    <w:p>
      <w:pPr>
        <w:pStyle w:val="ListParagraph"/>
        <w:numPr>
          <w:ilvl w:val="0"/>
          <w:numId w:val="2"/>
        </w:numPr>
        <w:spacing w:after="40" w:before="40"/>
      </w:pPr>
      <w:r>
        <w:rPr>
          <w:rFonts w:ascii="Arial" w:cs="Arial" w:eastAsia="Arial" w:hAnsi="Arial"/>
          <w:color w:val="000000"/>
          <w:sz w:val="20"/>
          <w:szCs w:val="20"/>
        </w:rPr>
        <w:t xml:space="preserve">Customer's Settlement Account is overdrawn and Customer fails to restore a positive balance within one (1) Banking Day of notice;</w:t>
      </w:r>
    </w:p>
    <w:p>
      <w:pPr>
        <w:pStyle w:val="ListParagraph"/>
        <w:numPr>
          <w:ilvl w:val="0"/>
          <w:numId w:val="2"/>
        </w:numPr>
        <w:spacing w:after="40" w:before="40"/>
      </w:pPr>
      <w:r>
        <w:rPr>
          <w:rFonts w:ascii="Arial" w:cs="Arial" w:eastAsia="Arial" w:hAnsi="Arial"/>
          <w:color w:val="000000"/>
          <w:sz w:val="20"/>
          <w:szCs w:val="20"/>
        </w:rPr>
        <w:t xml:space="preserve">Customer is subject to a bankruptcy, insolvency, receivership, or assignment for the benefit of creditors proceeding;</w:t>
      </w:r>
    </w:p>
    <w:p>
      <w:pPr>
        <w:pStyle w:val="ListParagraph"/>
        <w:numPr>
          <w:ilvl w:val="0"/>
          <w:numId w:val="2"/>
        </w:numPr>
        <w:spacing w:after="40" w:before="40"/>
      </w:pPr>
      <w:r>
        <w:rPr>
          <w:rFonts w:ascii="Arial" w:cs="Arial" w:eastAsia="Arial" w:hAnsi="Arial"/>
          <w:color w:val="000000"/>
          <w:sz w:val="20"/>
          <w:szCs w:val="20"/>
        </w:rPr>
        <w:t xml:space="preserve">Customer experiences a material adverse change in financial condition that, in Bank's reasonable judgment, increases the risk of loss;</w:t>
      </w:r>
    </w:p>
    <w:p>
      <w:pPr>
        <w:pStyle w:val="ListParagraph"/>
        <w:numPr>
          <w:ilvl w:val="0"/>
          <w:numId w:val="2"/>
        </w:numPr>
        <w:spacing w:after="40" w:before="40"/>
      </w:pPr>
      <w:r>
        <w:rPr>
          <w:rFonts w:ascii="Arial" w:cs="Arial" w:eastAsia="Arial" w:hAnsi="Arial"/>
          <w:color w:val="000000"/>
          <w:sz w:val="20"/>
          <w:szCs w:val="20"/>
        </w:rPr>
        <w:t xml:space="preserve">Customer undergoes a change in ownership or control without Bank's prior written consent;</w:t>
      </w:r>
    </w:p>
    <w:p>
      <w:pPr>
        <w:pStyle w:val="ListParagraph"/>
        <w:numPr>
          <w:ilvl w:val="0"/>
          <w:numId w:val="2"/>
        </w:numPr>
        <w:spacing w:after="40" w:before="40"/>
      </w:pPr>
      <w:r>
        <w:rPr>
          <w:rFonts w:ascii="Arial" w:cs="Arial" w:eastAsia="Arial" w:hAnsi="Arial"/>
          <w:color w:val="000000"/>
          <w:sz w:val="20"/>
          <w:szCs w:val="20"/>
        </w:rPr>
        <w:t xml:space="preserve">A security breach of Customer's API integration is suspected or confirmed;</w:t>
      </w:r>
    </w:p>
    <w:p>
      <w:pPr>
        <w:pStyle w:val="ListParagraph"/>
        <w:numPr>
          <w:ilvl w:val="0"/>
          <w:numId w:val="2"/>
        </w:numPr>
        <w:spacing w:after="40" w:before="40"/>
      </w:pPr>
      <w:r>
        <w:rPr>
          <w:rFonts w:ascii="Arial" w:cs="Arial" w:eastAsia="Arial" w:hAnsi="Arial"/>
          <w:color w:val="000000"/>
          <w:sz w:val="20"/>
          <w:szCs w:val="20"/>
        </w:rPr>
        <w:t xml:space="preserve">Customer uses ACH services for any purpose prohibited under Section 6.7;</w:t>
      </w:r>
    </w:p>
    <w:p>
      <w:pPr>
        <w:pStyle w:val="ListParagraph"/>
        <w:numPr>
          <w:ilvl w:val="0"/>
          <w:numId w:val="2"/>
        </w:numPr>
        <w:spacing w:after="40" w:before="40"/>
      </w:pPr>
      <w:r>
        <w:rPr>
          <w:rFonts w:ascii="Arial" w:cs="Arial" w:eastAsia="Arial" w:hAnsi="Arial"/>
          <w:color w:val="000000"/>
          <w:sz w:val="20"/>
          <w:szCs w:val="20"/>
        </w:rPr>
        <w:t xml:space="preserve">Bank is directed to suspend or terminate Customer's origination privileges by Nacha, a federal or state banking regulator, or any other governmental authority with jurisdiction.</w:t>
      </w:r>
    </w:p>
    <w:p>
      <w:pPr>
        <w:pStyle w:val="Heading2"/>
        <w:pBdr>
          <w:bottom w:val="single" w:color="B8952A" w:sz="3" w:space="1"/>
        </w:pBdr>
        <w:spacing w:after="80" w:before="220"/>
      </w:pPr>
      <w:r>
        <w:rPr>
          <w:rFonts w:ascii="Arial" w:cs="Arial" w:eastAsia="Arial" w:hAnsi="Arial"/>
          <w:b/>
          <w:bCs/>
          <w:color w:val="1B3A6B"/>
          <w:sz w:val="21"/>
          <w:szCs w:val="21"/>
        </w:rPr>
        <w:t xml:space="preserve">11.4  Effect of Termination</w:t>
      </w:r>
    </w:p>
    <w:p>
      <w:pPr>
        <w:spacing w:after="60" w:before="60"/>
        <w:ind w:left="0"/>
        <w:jc w:val="left"/>
      </w:pPr>
      <w:r>
        <w:rPr>
          <w:rFonts w:ascii="Arial" w:cs="Arial" w:eastAsia="Arial" w:hAnsi="Arial"/>
          <w:b w:val="false"/>
          <w:bCs w:val="false"/>
          <w:color w:val="000000"/>
          <w:sz w:val="20"/>
          <w:szCs w:val="20"/>
        </w:rPr>
        <w:t xml:space="preserve">Upon termination or expiration of this Agreement: (a) Bank will cease processing new Transmission Files or API submissions from Customer as of the termination date; (b) Bank will continue to process Return Entries and chargebacks arising from entries originated prior to termination and will apply them to Customer's Settlement Account; (c) Customer's API Credentials will be revoked; (d) Customer shall immediately cease all use of Bank's API Platform; (e) Customer shall continue to retain all records required under Section 6.8; and (f) all of Customer's financial obligations to Bank under this Agreement, including fees, chargebacks, and indemnification obligations, survive termination. Bank will maintain the Settlement Account for a minimum of 90 days following termination to process returns and final settlement, after which the account is governed by Bank's standard deposit account agreement.</w:t>
      </w:r>
    </w:p>
    <w:p>
      <w:pPr>
        <w:pStyle w:val="Heading1"/>
        <w:shd w:fill="1B3A6B" w:val="clear"/>
        <w:spacing w:after="100" w:before="280"/>
        <w:ind w:left="180" w:right="180"/>
      </w:pPr>
      <w:r>
        <w:rPr>
          <w:rFonts w:ascii="Arial" w:cs="Arial" w:eastAsia="Arial" w:hAnsi="Arial"/>
          <w:b/>
          <w:bCs/>
          <w:color w:val="FFFFFF"/>
          <w:sz w:val="24"/>
          <w:szCs w:val="24"/>
        </w:rPr>
        <w:t xml:space="preserve">12.  GENERAL PROVISIONS</w:t>
      </w:r>
    </w:p>
    <w:p>
      <w:pPr>
        <w:pStyle w:val="Heading2"/>
        <w:pBdr>
          <w:bottom w:val="single" w:color="B8952A" w:sz="3" w:space="1"/>
        </w:pBdr>
        <w:spacing w:after="80" w:before="220"/>
      </w:pPr>
      <w:r>
        <w:rPr>
          <w:rFonts w:ascii="Arial" w:cs="Arial" w:eastAsia="Arial" w:hAnsi="Arial"/>
          <w:b/>
          <w:bCs/>
          <w:color w:val="1B3A6B"/>
          <w:sz w:val="21"/>
          <w:szCs w:val="21"/>
        </w:rPr>
        <w:t xml:space="preserve">12.1  NACHA Operating Rules Govern ACH Obligations</w:t>
      </w:r>
    </w:p>
    <w:p>
      <w:pPr>
        <w:spacing w:after="60" w:before="60"/>
        <w:ind w:left="0"/>
        <w:jc w:val="left"/>
      </w:pPr>
      <w:r>
        <w:rPr>
          <w:rFonts w:ascii="Arial" w:cs="Arial" w:eastAsia="Arial" w:hAnsi="Arial"/>
          <w:b w:val="false"/>
          <w:bCs w:val="false"/>
          <w:color w:val="000000"/>
          <w:sz w:val="20"/>
          <w:szCs w:val="20"/>
        </w:rPr>
        <w:t xml:space="preserve">This Agreement is subject to and incorporates the NACHA Operating Rules. To the extent of any conflict between the terms of this Agreement and the NACHA Operating Rules as they apply to ACH-specific obligations, the NACHA Operating Rules control. This Agreement supplements, and does not supersede or replace, the NACHA Operating Rules.</w:t>
      </w:r>
    </w:p>
    <w:p>
      <w:pPr>
        <w:pStyle w:val="Heading2"/>
        <w:pBdr>
          <w:bottom w:val="single" w:color="B8952A" w:sz="3" w:space="1"/>
        </w:pBdr>
        <w:spacing w:after="80" w:before="220"/>
      </w:pPr>
      <w:r>
        <w:rPr>
          <w:rFonts w:ascii="Arial" w:cs="Arial" w:eastAsia="Arial" w:hAnsi="Arial"/>
          <w:b/>
          <w:bCs/>
          <w:color w:val="1B3A6B"/>
          <w:sz w:val="21"/>
          <w:szCs w:val="21"/>
        </w:rPr>
        <w:t xml:space="preserve">12.2  Governing Law and Venue</w:t>
      </w:r>
    </w:p>
    <w:p>
      <w:pPr>
        <w:spacing w:after="60" w:before="60"/>
        <w:ind w:left="0"/>
        <w:jc w:val="left"/>
      </w:pPr>
      <w:r>
        <w:rPr>
          <w:rFonts w:ascii="Arial" w:cs="Arial" w:eastAsia="Arial" w:hAnsi="Arial"/>
          <w:b w:val="false"/>
          <w:bCs w:val="false"/>
          <w:color w:val="000000"/>
          <w:sz w:val="20"/>
          <w:szCs w:val="20"/>
        </w:rPr>
        <w:t xml:space="preserve">This Agreement is governed by the laws of the State of Texas and applicable federal law, without regard to conflict-of-laws principles. The parties consent to the exclusive jurisdiction of the state and federal courts located in Travis County, Texas for resolution of any dispute arising under this Agreement.</w:t>
      </w:r>
    </w:p>
    <w:p>
      <w:pPr>
        <w:pStyle w:val="Heading2"/>
        <w:pBdr>
          <w:bottom w:val="single" w:color="B8952A" w:sz="3" w:space="1"/>
        </w:pBdr>
        <w:spacing w:after="80" w:before="220"/>
      </w:pPr>
      <w:r>
        <w:rPr>
          <w:rFonts w:ascii="Arial" w:cs="Arial" w:eastAsia="Arial" w:hAnsi="Arial"/>
          <w:b/>
          <w:bCs/>
          <w:color w:val="1B3A6B"/>
          <w:sz w:val="21"/>
          <w:szCs w:val="21"/>
        </w:rPr>
        <w:t xml:space="preserve">12.3  Amendments</w:t>
      </w:r>
    </w:p>
    <w:p>
      <w:pPr>
        <w:spacing w:after="60" w:before="60"/>
        <w:ind w:left="0"/>
        <w:jc w:val="left"/>
      </w:pPr>
      <w:r>
        <w:rPr>
          <w:rFonts w:ascii="Arial" w:cs="Arial" w:eastAsia="Arial" w:hAnsi="Arial"/>
          <w:b w:val="false"/>
          <w:bCs w:val="false"/>
          <w:color w:val="000000"/>
          <w:sz w:val="20"/>
          <w:szCs w:val="20"/>
        </w:rPr>
        <w:t xml:space="preserve">Bank may amend the fee schedule (Section 5.3) upon 30 days' written notice to Customer. Bank may amend any other provision of this Agreement upon 30 days' written notice; Customer's continued use of ACH services after the effective date of the amendment constitutes acceptance. Any amendment that reduces Bank's obligations or increases Customer's obligations requires Customer's written acknowledgment if requested by Customer within 15 days of notice.</w:t>
      </w:r>
    </w:p>
    <w:p>
      <w:pPr>
        <w:pStyle w:val="Heading2"/>
        <w:pBdr>
          <w:bottom w:val="single" w:color="B8952A" w:sz="3" w:space="1"/>
        </w:pBdr>
        <w:spacing w:after="80" w:before="220"/>
      </w:pPr>
      <w:r>
        <w:rPr>
          <w:rFonts w:ascii="Arial" w:cs="Arial" w:eastAsia="Arial" w:hAnsi="Arial"/>
          <w:b/>
          <w:bCs/>
          <w:color w:val="1B3A6B"/>
          <w:sz w:val="21"/>
          <w:szCs w:val="21"/>
        </w:rPr>
        <w:t xml:space="preserve">12.4  Assignment</w:t>
      </w:r>
    </w:p>
    <w:p>
      <w:pPr>
        <w:spacing w:after="60" w:before="60"/>
        <w:ind w:left="0"/>
        <w:jc w:val="left"/>
      </w:pPr>
      <w:r>
        <w:rPr>
          <w:rFonts w:ascii="Arial" w:cs="Arial" w:eastAsia="Arial" w:hAnsi="Arial"/>
          <w:b w:val="false"/>
          <w:bCs w:val="false"/>
          <w:color w:val="000000"/>
          <w:sz w:val="20"/>
          <w:szCs w:val="20"/>
        </w:rPr>
        <w:t xml:space="preserve">Customer may not assign, transfer, or delegate any right or obligation under this Agreement without Bank's prior written consent. Any purported assignment without consent is void. Bank may assign this Agreement in connection with a merger, acquisition, corporate reorganization, or sale of substantially all of Bank's assets upon notice to Customer; such assignment shall not affect Customer's rights under this Agreement.</w:t>
      </w:r>
    </w:p>
    <w:p>
      <w:pPr>
        <w:pStyle w:val="Heading2"/>
        <w:pBdr>
          <w:bottom w:val="single" w:color="B8952A" w:sz="3" w:space="1"/>
        </w:pBdr>
        <w:spacing w:after="80" w:before="220"/>
      </w:pPr>
      <w:r>
        <w:rPr>
          <w:rFonts w:ascii="Arial" w:cs="Arial" w:eastAsia="Arial" w:hAnsi="Arial"/>
          <w:b/>
          <w:bCs/>
          <w:color w:val="1B3A6B"/>
          <w:sz w:val="21"/>
          <w:szCs w:val="21"/>
        </w:rPr>
        <w:t xml:space="preserve">12.5  Notices</w:t>
      </w:r>
    </w:p>
    <w:p>
      <w:pPr>
        <w:spacing w:after="60" w:before="60"/>
        <w:ind w:left="0"/>
        <w:jc w:val="left"/>
      </w:pPr>
      <w:r>
        <w:rPr>
          <w:rFonts w:ascii="Arial" w:cs="Arial" w:eastAsia="Arial" w:hAnsi="Arial"/>
          <w:b w:val="false"/>
          <w:bCs w:val="false"/>
          <w:color w:val="000000"/>
          <w:sz w:val="20"/>
          <w:szCs w:val="20"/>
        </w:rPr>
        <w:t xml:space="preserve">Notices under this Agreement must be in writing and delivered by: (a) certified U.S. mail, return receipt requested; (b) nationally recognized overnight courier with confirmation of delivery; or (c) email to the designated contact on the cover page, with read-receipt confirmation. Notices are effective upon receipt. Each party shall promptly notify the other of any change to its contact information.</w:t>
      </w:r>
    </w:p>
    <w:p>
      <w:pPr>
        <w:pStyle w:val="Heading2"/>
        <w:pBdr>
          <w:bottom w:val="single" w:color="B8952A" w:sz="3" w:space="1"/>
        </w:pBdr>
        <w:spacing w:after="80" w:before="220"/>
      </w:pPr>
      <w:r>
        <w:rPr>
          <w:rFonts w:ascii="Arial" w:cs="Arial" w:eastAsia="Arial" w:hAnsi="Arial"/>
          <w:b/>
          <w:bCs/>
          <w:color w:val="1B3A6B"/>
          <w:sz w:val="21"/>
          <w:szCs w:val="21"/>
        </w:rPr>
        <w:t xml:space="preserve">12.6  Entire Agreement</w:t>
      </w:r>
    </w:p>
    <w:p>
      <w:pPr>
        <w:spacing w:after="60" w:before="60"/>
        <w:ind w:left="0"/>
        <w:jc w:val="left"/>
      </w:pPr>
      <w:r>
        <w:rPr>
          <w:rFonts w:ascii="Arial" w:cs="Arial" w:eastAsia="Arial" w:hAnsi="Arial"/>
          <w:b w:val="false"/>
          <w:bCs w:val="false"/>
          <w:color w:val="000000"/>
          <w:sz w:val="20"/>
          <w:szCs w:val="20"/>
        </w:rPr>
        <w:t xml:space="preserve">This Agreement, including all Exhibits, together with Bank's Deposit Account Agreement as it applies to the Settlement Account, and the NACHA Operating Rules, constitutes the entire agreement between the parties with respect to ACH origination services and API access and supersedes all prior written or oral understandings, proposals, and negotiations on those subjects.</w:t>
      </w:r>
    </w:p>
    <w:p>
      <w:pPr>
        <w:pStyle w:val="Heading2"/>
        <w:pBdr>
          <w:bottom w:val="single" w:color="B8952A" w:sz="3" w:space="1"/>
        </w:pBdr>
        <w:spacing w:after="80" w:before="220"/>
      </w:pPr>
      <w:r>
        <w:rPr>
          <w:rFonts w:ascii="Arial" w:cs="Arial" w:eastAsia="Arial" w:hAnsi="Arial"/>
          <w:b/>
          <w:bCs/>
          <w:color w:val="1B3A6B"/>
          <w:sz w:val="21"/>
          <w:szCs w:val="21"/>
        </w:rPr>
        <w:t xml:space="preserve">12.7  Severability</w:t>
      </w:r>
    </w:p>
    <w:p>
      <w:pPr>
        <w:spacing w:after="60" w:before="60"/>
        <w:ind w:left="0"/>
        <w:jc w:val="left"/>
      </w:pPr>
      <w:r>
        <w:rPr>
          <w:rFonts w:ascii="Arial" w:cs="Arial" w:eastAsia="Arial" w:hAnsi="Arial"/>
          <w:b w:val="false"/>
          <w:bCs w:val="false"/>
          <w:color w:val="000000"/>
          <w:sz w:val="20"/>
          <w:szCs w:val="20"/>
        </w:rPr>
        <w:t xml:space="preserve">If any provision of this Agreement is held unenforceable by a court of competent jurisdiction, the remaining provisions shall remain in full force and effect.</w:t>
      </w:r>
    </w:p>
    <w:p>
      <w:pPr>
        <w:pStyle w:val="Heading2"/>
        <w:pBdr>
          <w:bottom w:val="single" w:color="B8952A" w:sz="3" w:space="1"/>
        </w:pBdr>
        <w:spacing w:after="80" w:before="220"/>
      </w:pPr>
      <w:r>
        <w:rPr>
          <w:rFonts w:ascii="Arial" w:cs="Arial" w:eastAsia="Arial" w:hAnsi="Arial"/>
          <w:b/>
          <w:bCs/>
          <w:color w:val="1B3A6B"/>
          <w:sz w:val="21"/>
          <w:szCs w:val="21"/>
        </w:rPr>
        <w:t xml:space="preserve">12.8  No Waiver</w:t>
      </w:r>
    </w:p>
    <w:p>
      <w:pPr>
        <w:spacing w:after="60" w:before="60"/>
        <w:ind w:left="0"/>
        <w:jc w:val="left"/>
      </w:pPr>
      <w:r>
        <w:rPr>
          <w:rFonts w:ascii="Arial" w:cs="Arial" w:eastAsia="Arial" w:hAnsi="Arial"/>
          <w:b w:val="false"/>
          <w:bCs w:val="false"/>
          <w:color w:val="000000"/>
          <w:sz w:val="20"/>
          <w:szCs w:val="20"/>
        </w:rPr>
        <w:t xml:space="preserve">Bank's failure to enforce any provision of this Agreement on one occasion does not waive Bank's right to enforce that provision or any other provision on a future occasion.</w:t>
      </w:r>
    </w:p>
    <w:p>
      <w:pPr>
        <w:pStyle w:val="Heading2"/>
        <w:pBdr>
          <w:bottom w:val="single" w:color="B8952A" w:sz="3" w:space="1"/>
        </w:pBdr>
        <w:spacing w:after="80" w:before="220"/>
      </w:pPr>
      <w:r>
        <w:rPr>
          <w:rFonts w:ascii="Arial" w:cs="Arial" w:eastAsia="Arial" w:hAnsi="Arial"/>
          <w:b/>
          <w:bCs/>
          <w:color w:val="1B3A6B"/>
          <w:sz w:val="21"/>
          <w:szCs w:val="21"/>
        </w:rPr>
        <w:t xml:space="preserve">12.9  Counterparts and Electronic Signatures</w:t>
      </w:r>
    </w:p>
    <w:p>
      <w:pPr>
        <w:spacing w:after="60" w:before="60"/>
        <w:ind w:left="0"/>
        <w:jc w:val="left"/>
      </w:pPr>
      <w:r>
        <w:rPr>
          <w:rFonts w:ascii="Arial" w:cs="Arial" w:eastAsia="Arial" w:hAnsi="Arial"/>
          <w:b w:val="false"/>
          <w:bCs w:val="false"/>
          <w:color w:val="000000"/>
          <w:sz w:val="20"/>
          <w:szCs w:val="20"/>
        </w:rPr>
        <w:t xml:space="preserve">This Agreement may be executed in counterparts. Electronic signatures compliant with the E-SIGN Act are binding and shall have the same legal effect as original ink signatures.</w:t>
      </w:r>
    </w:p>
    <w:p>
      <w:pPr>
        <w:pStyle w:val="Heading2"/>
        <w:pBdr>
          <w:bottom w:val="single" w:color="B8952A" w:sz="3" w:space="1"/>
        </w:pBdr>
        <w:spacing w:after="80" w:before="220"/>
      </w:pPr>
      <w:r>
        <w:rPr>
          <w:rFonts w:ascii="Arial" w:cs="Arial" w:eastAsia="Arial" w:hAnsi="Arial"/>
          <w:b/>
          <w:bCs/>
          <w:color w:val="1B3A6B"/>
          <w:sz w:val="21"/>
          <w:szCs w:val="21"/>
        </w:rPr>
        <w:t xml:space="preserve">12.10  Relationship of the Parties</w:t>
      </w:r>
    </w:p>
    <w:p>
      <w:pPr>
        <w:spacing w:after="60" w:before="60"/>
        <w:ind w:left="0"/>
        <w:jc w:val="left"/>
      </w:pPr>
      <w:r>
        <w:rPr>
          <w:rFonts w:ascii="Arial" w:cs="Arial" w:eastAsia="Arial" w:hAnsi="Arial"/>
          <w:b w:val="false"/>
          <w:bCs w:val="false"/>
          <w:color w:val="000000"/>
          <w:sz w:val="20"/>
          <w:szCs w:val="20"/>
        </w:rPr>
        <w:t xml:space="preserve">The parties are independent contracting parties. Nothing in this Agreement creates a joint venture, partnership, agency, or employment relationship between Bank and Customer.</w:t>
      </w:r>
    </w:p>
    <w:p>
      <w:pPr>
        <w:pageBreakBefore/>
      </w:pPr>
      <w:r>
        <w:t xml:space="preserve"/>
      </w:r>
    </w:p>
    <w:p>
      <w:pPr>
        <w:pStyle w:val="Heading1"/>
        <w:shd w:fill="1B3A6B" w:val="clear"/>
        <w:spacing w:after="100" w:before="280"/>
        <w:ind w:left="180" w:right="180"/>
      </w:pPr>
      <w:r>
        <w:rPr>
          <w:rFonts w:ascii="Arial" w:cs="Arial" w:eastAsia="Arial" w:hAnsi="Arial"/>
          <w:b/>
          <w:bCs/>
          <w:color w:val="FFFFFF"/>
          <w:sz w:val="24"/>
          <w:szCs w:val="24"/>
        </w:rPr>
        <w:t xml:space="preserve">EXHIBIT A — RECEIVER AUTHORIZATION FORM (PPD RECURRING DEBIT)</w:t>
      </w:r>
    </w:p>
    <w:p>
      <w:pPr>
        <w:spacing w:after="100" w:before="80"/>
      </w:pPr>
      <w:r>
        <w:t xml:space="preserve"/>
      </w:r>
    </w:p>
    <w:p>
      <w:pPr>
        <w:shd w:fill="D6E4F0" w:val="clear"/>
        <w:spacing w:after="120" w:before="120"/>
        <w:jc w:val="center"/>
      </w:pPr>
      <w:r>
        <w:rPr>
          <w:rFonts w:ascii="Arial" w:cs="Arial" w:eastAsia="Arial" w:hAnsi="Arial"/>
          <w:b/>
          <w:bCs/>
          <w:color w:val="1B3A6B"/>
          <w:sz w:val="22"/>
          <w:szCs w:val="22"/>
        </w:rPr>
        <w:t xml:space="preserve">AUTHORIZATION FOR RECURRING ACH DEBITS — TENANT RENT PAYMENT</w:t>
      </w:r>
    </w:p>
    <w:p>
      <w:pPr>
        <w:spacing w:after="100" w:before="60"/>
      </w:pPr>
      <w:r>
        <w:t xml:space="preserve"/>
      </w:r>
    </w:p>
    <w:p>
      <w:pPr>
        <w:spacing w:after="60" w:before="60"/>
        <w:ind w:left="0"/>
        <w:jc w:val="left"/>
      </w:pPr>
      <w:r>
        <w:rPr>
          <w:rFonts w:ascii="Arial" w:cs="Arial" w:eastAsia="Arial" w:hAnsi="Arial"/>
          <w:b w:val="false"/>
          <w:bCs w:val="false"/>
          <w:color w:val="000000"/>
          <w:sz w:val="20"/>
          <w:szCs w:val="20"/>
        </w:rPr>
        <w:t xml:space="preserve">I/We hereby authorize Spearhead 39th Street, LLC ("Company") and its designated financial institution, Bank of Commerce, to initiate recurring electronic debit entries (ACH debits) from the bank account identified below for the payment of monthly rent and other charges lawfully due under my/our lease agreement. I/We also authorize the Company to initiate credit entries or adjustments to correct any erroneous debits.</w:t>
      </w:r>
    </w:p>
    <w:p>
      <w:pPr>
        <w:spacing w:after="10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6820"/>
      </w:tblGrid>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Tenant Legal Name(s)</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______________________________________</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Property Address / Unit</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______________________________________</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Lease Commencement Date</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______________________________________</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Bank Name (Tenant's Bank)</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______________________________________</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ABA / Routing Number</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______________________________________</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Account Number</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______________________________________</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Account Type</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  Checking         □  Savings</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Monthly Rent Amount</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$______________ (plus additional charges per lease)</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Debit Date</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1st day of each calendar month (or next Banking Day)</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First Debit Date</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______________________________________</w:t>
            </w:r>
          </w:p>
        </w:tc>
      </w:tr>
    </w:tbl>
    <w:p>
      <w:pPr>
        <w:spacing w:after="100" w:before="80"/>
      </w:pPr>
      <w:r>
        <w:t xml:space="preserve"/>
      </w:r>
    </w:p>
    <w:p>
      <w:pPr>
        <w:spacing w:after="60" w:before="60"/>
        <w:ind w:left="0"/>
        <w:jc w:val="left"/>
      </w:pPr>
      <w:r>
        <w:rPr>
          <w:rFonts w:ascii="Arial" w:cs="Arial" w:eastAsia="Arial" w:hAnsi="Arial"/>
          <w:b w:val="false"/>
          <w:bCs w:val="false"/>
          <w:color w:val="000000"/>
          <w:sz w:val="20"/>
          <w:szCs w:val="20"/>
        </w:rPr>
        <w:t xml:space="preserve">This Authorization will remain in effect until: (a) I/we provide written revocation to Company no less than ten (10) Business Days prior to the next scheduled debit, or (b) my/our tenancy terminates. I/We have the right to stop payment of any individual debit by notifying my/our financial institution at least three (3) Business Days before the scheduled debit date. I/We acknowledge that revoking this Authorization does not relieve me/us of any payment obligation under my/our lease agreement. I/We confirm receipt of a fully executed copy of this Authorization.</w:t>
      </w:r>
    </w:p>
    <w:p>
      <w:pPr>
        <w:spacing w:after="10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320"/>
        <w:gridCol w:w="1080"/>
        <w:gridCol w:w="4320"/>
      </w:tblGrid>
      <w:tr>
        <w:tc>
          <w:tcPr>
            <w:tcW w:type="dxa" w:w="4320"/>
            <w:tcBorders>
              <w:top w:val="none" w:color="FFFFFF" w:sz="0"/>
              <w:left w:val="none" w:color="FFFFFF" w:sz="0"/>
              <w:bottom w:val="none" w:color="FFFFFF" w:sz="0"/>
              <w:right w:val="none" w:color="FFFFFF" w:sz="0"/>
            </w:tcBorders>
          </w:tcPr>
          <w:p>
            <w:pPr>
              <w:pBdr>
                <w:bottom w:val="single" w:color="000000" w:sz="2"/>
              </w:pBdr>
              <w:spacing w:after="60" w:before="280"/>
            </w:pPr>
            <w:r>
              <w:rPr>
                <w:sz w:val="36"/>
                <w:szCs w:val="36"/>
              </w:rPr>
              <w:t xml:space="preserve"> </w:t>
            </w:r>
          </w:p>
          <w:p>
            <w:r>
              <w:rPr>
                <w:rFonts w:ascii="Arial" w:cs="Arial" w:eastAsia="Arial" w:hAnsi="Arial"/>
                <w:b/>
                <w:bCs/>
                <w:color w:val="555555"/>
                <w:sz w:val="18"/>
                <w:szCs w:val="18"/>
              </w:rPr>
              <w:t xml:space="preserve">Tenant Signature</w:t>
            </w:r>
          </w:p>
        </w:tc>
        <w:tc>
          <w:tcPr>
            <w:tcW w:type="dxa" w:w="1080"/>
            <w:tcBorders>
              <w:top w:val="none" w:color="FFFFFF" w:sz="0"/>
              <w:left w:val="none" w:color="FFFFFF" w:sz="0"/>
              <w:bottom w:val="none" w:color="FFFFFF" w:sz="0"/>
              <w:right w:val="none" w:color="FFFFFF" w:sz="0"/>
            </w:tcBorders>
          </w:tcPr>
          <w:p>
            <w:r>
              <w:t xml:space="preserve"/>
            </w:r>
          </w:p>
        </w:tc>
        <w:tc>
          <w:tcPr>
            <w:tcW w:type="dxa" w:w="4320"/>
            <w:tcBorders>
              <w:top w:val="none" w:color="FFFFFF" w:sz="0"/>
              <w:left w:val="none" w:color="FFFFFF" w:sz="0"/>
              <w:bottom w:val="none" w:color="FFFFFF" w:sz="0"/>
              <w:right w:val="none" w:color="FFFFFF" w:sz="0"/>
            </w:tcBorders>
          </w:tcPr>
          <w:p>
            <w:pPr>
              <w:pBdr>
                <w:bottom w:val="single" w:color="000000" w:sz="2"/>
              </w:pBdr>
              <w:spacing w:after="60" w:before="280"/>
            </w:pPr>
            <w:r>
              <w:rPr>
                <w:sz w:val="36"/>
                <w:szCs w:val="36"/>
              </w:rPr>
              <w:t xml:space="preserve"> </w:t>
            </w:r>
          </w:p>
          <w:p>
            <w:r>
              <w:rPr>
                <w:rFonts w:ascii="Arial" w:cs="Arial" w:eastAsia="Arial" w:hAnsi="Arial"/>
                <w:b/>
                <w:bCs/>
                <w:color w:val="555555"/>
                <w:sz w:val="18"/>
                <w:szCs w:val="18"/>
              </w:rPr>
              <w:t xml:space="preserve">Tenant Signature (Co-Tenant, if applicable)</w:t>
            </w:r>
          </w:p>
        </w:tc>
      </w:tr>
    </w:tbl>
    <w:p>
      <w:pPr>
        <w:spacing w:after="10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320"/>
        <w:gridCol w:w="1080"/>
        <w:gridCol w:w="4320"/>
      </w:tblGrid>
      <w:tr>
        <w:tc>
          <w:tcPr>
            <w:tcW w:type="dxa" w:w="4320"/>
            <w:tcBorders>
              <w:top w:val="none" w:color="FFFFFF" w:sz="0"/>
              <w:left w:val="none" w:color="FFFFFF" w:sz="0"/>
              <w:bottom w:val="none" w:color="FFFFFF" w:sz="0"/>
              <w:right w:val="none" w:color="FFFFFF" w:sz="0"/>
            </w:tcBorders>
          </w:tcPr>
          <w:p>
            <w:pPr>
              <w:pBdr>
                <w:bottom w:val="single" w:color="000000" w:sz="2"/>
              </w:pBdr>
              <w:spacing w:after="60" w:before="280"/>
            </w:pPr>
            <w:r>
              <w:rPr>
                <w:sz w:val="36"/>
                <w:szCs w:val="36"/>
              </w:rPr>
              <w:t xml:space="preserve"> </w:t>
            </w:r>
          </w:p>
          <w:p>
            <w:r>
              <w:rPr>
                <w:rFonts w:ascii="Arial" w:cs="Arial" w:eastAsia="Arial" w:hAnsi="Arial"/>
                <w:b/>
                <w:bCs/>
                <w:color w:val="555555"/>
                <w:sz w:val="18"/>
                <w:szCs w:val="18"/>
              </w:rPr>
              <w:t xml:space="preserve">Print Name</w:t>
            </w:r>
          </w:p>
        </w:tc>
        <w:tc>
          <w:tcPr>
            <w:tcW w:type="dxa" w:w="1080"/>
            <w:tcBorders>
              <w:top w:val="none" w:color="FFFFFF" w:sz="0"/>
              <w:left w:val="none" w:color="FFFFFF" w:sz="0"/>
              <w:bottom w:val="none" w:color="FFFFFF" w:sz="0"/>
              <w:right w:val="none" w:color="FFFFFF" w:sz="0"/>
            </w:tcBorders>
          </w:tcPr>
          <w:p>
            <w:r>
              <w:t xml:space="preserve"/>
            </w:r>
          </w:p>
        </w:tc>
        <w:tc>
          <w:tcPr>
            <w:tcW w:type="dxa" w:w="4320"/>
            <w:tcBorders>
              <w:top w:val="none" w:color="FFFFFF" w:sz="0"/>
              <w:left w:val="none" w:color="FFFFFF" w:sz="0"/>
              <w:bottom w:val="none" w:color="FFFFFF" w:sz="0"/>
              <w:right w:val="none" w:color="FFFFFF" w:sz="0"/>
            </w:tcBorders>
          </w:tcPr>
          <w:p>
            <w:pPr>
              <w:pBdr>
                <w:bottom w:val="single" w:color="000000" w:sz="2"/>
              </w:pBdr>
              <w:spacing w:after="60" w:before="280"/>
            </w:pPr>
            <w:r>
              <w:rPr>
                <w:sz w:val="36"/>
                <w:szCs w:val="36"/>
              </w:rPr>
              <w:t xml:space="preserve"> </w:t>
            </w:r>
          </w:p>
          <w:p>
            <w:r>
              <w:rPr>
                <w:rFonts w:ascii="Arial" w:cs="Arial" w:eastAsia="Arial" w:hAnsi="Arial"/>
                <w:b/>
                <w:bCs/>
                <w:color w:val="555555"/>
                <w:sz w:val="18"/>
                <w:szCs w:val="18"/>
              </w:rPr>
              <w:t xml:space="preserve">Print Name</w:t>
            </w:r>
          </w:p>
        </w:tc>
      </w:tr>
    </w:tbl>
    <w:p>
      <w:pPr>
        <w:spacing w:after="100" w:before="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6820"/>
      </w:tblGrid>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Date Signed</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______________________________________</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Received and Acknowledged By (Spearhead)</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____________________________  Date: ___________</w:t>
            </w:r>
          </w:p>
        </w:tc>
      </w:tr>
    </w:tbl>
    <w:p>
      <w:pPr>
        <w:pageBreakBefore/>
      </w:pPr>
      <w:r>
        <w:t xml:space="preserve"/>
      </w:r>
    </w:p>
    <w:p>
      <w:pPr>
        <w:pStyle w:val="Heading1"/>
        <w:shd w:fill="1B3A6B" w:val="clear"/>
        <w:spacing w:after="100" w:before="280"/>
        <w:ind w:left="180" w:right="180"/>
      </w:pPr>
      <w:r>
        <w:rPr>
          <w:rFonts w:ascii="Arial" w:cs="Arial" w:eastAsia="Arial" w:hAnsi="Arial"/>
          <w:b/>
          <w:bCs/>
          <w:color w:val="FFFFFF"/>
          <w:sz w:val="24"/>
          <w:szCs w:val="24"/>
        </w:rPr>
        <w:t xml:space="preserve">EXHIBIT B — API TECHNICAL SPECIFICATIONS AND OPERATIONAL PARAMETERS</w:t>
      </w:r>
    </w:p>
    <w:p>
      <w:pPr>
        <w:pStyle w:val="Heading2"/>
        <w:pBdr>
          <w:bottom w:val="single" w:color="B8952A" w:sz="3" w:space="1"/>
        </w:pBdr>
        <w:spacing w:after="80" w:before="220"/>
      </w:pPr>
      <w:r>
        <w:rPr>
          <w:rFonts w:ascii="Arial" w:cs="Arial" w:eastAsia="Arial" w:hAnsi="Arial"/>
          <w:b/>
          <w:bCs/>
          <w:color w:val="1B3A6B"/>
          <w:sz w:val="21"/>
          <w:szCs w:val="21"/>
        </w:rPr>
        <w:t xml:space="preserve">B.1  Submission Methods Supported</w:t>
      </w:r>
    </w:p>
    <w:p>
      <w:pPr>
        <w:pStyle w:val="ListParagraph"/>
        <w:numPr>
          <w:ilvl w:val="0"/>
          <w:numId w:val="2"/>
        </w:numPr>
        <w:spacing w:after="40" w:before="40"/>
      </w:pPr>
      <w:r>
        <w:rPr>
          <w:rFonts w:ascii="Arial" w:cs="Arial" w:eastAsia="Arial" w:hAnsi="Arial"/>
          <w:color w:val="000000"/>
          <w:sz w:val="20"/>
          <w:szCs w:val="20"/>
        </w:rPr>
        <w:t xml:space="preserve">REST API over HTTPS (TLS 1.2 or higher) — primary submission method</w:t>
      </w:r>
    </w:p>
    <w:p>
      <w:pPr>
        <w:pStyle w:val="ListParagraph"/>
        <w:numPr>
          <w:ilvl w:val="0"/>
          <w:numId w:val="2"/>
        </w:numPr>
        <w:spacing w:after="40" w:before="40"/>
      </w:pPr>
      <w:r>
        <w:rPr>
          <w:rFonts w:ascii="Arial" w:cs="Arial" w:eastAsia="Arial" w:hAnsi="Arial"/>
          <w:color w:val="000000"/>
          <w:sz w:val="20"/>
          <w:szCs w:val="20"/>
        </w:rPr>
        <w:t xml:space="preserve">NACHA-formatted flat file upload via secure SFTP — backup / batch method</w:t>
      </w:r>
    </w:p>
    <w:p>
      <w:pPr>
        <w:pStyle w:val="ListParagraph"/>
        <w:numPr>
          <w:ilvl w:val="0"/>
          <w:numId w:val="2"/>
        </w:numPr>
        <w:spacing w:after="40" w:before="40"/>
      </w:pPr>
      <w:r>
        <w:rPr>
          <w:rFonts w:ascii="Arial" w:cs="Arial" w:eastAsia="Arial" w:hAnsi="Arial"/>
          <w:color w:val="000000"/>
          <w:sz w:val="20"/>
          <w:szCs w:val="20"/>
        </w:rPr>
        <w:t xml:space="preserve">Webhook event subscriptions for real-time entry status notifications</w:t>
      </w:r>
    </w:p>
    <w:p>
      <w:pPr>
        <w:pStyle w:val="ListParagraph"/>
        <w:numPr>
          <w:ilvl w:val="0"/>
          <w:numId w:val="2"/>
        </w:numPr>
        <w:spacing w:after="40" w:before="40"/>
      </w:pPr>
      <w:r>
        <w:rPr>
          <w:rFonts w:ascii="Arial" w:cs="Arial" w:eastAsia="Arial" w:hAnsi="Arial"/>
          <w:color w:val="000000"/>
          <w:sz w:val="20"/>
          <w:szCs w:val="20"/>
        </w:rPr>
        <w:t xml:space="preserve">Sandbox / test environment available at [sandbox.api.bankofcommerce.com]</w:t>
      </w:r>
    </w:p>
    <w:p>
      <w:pPr>
        <w:pStyle w:val="Heading2"/>
        <w:pBdr>
          <w:bottom w:val="single" w:color="B8952A" w:sz="3" w:space="1"/>
        </w:pBdr>
        <w:spacing w:after="80" w:before="220"/>
      </w:pPr>
      <w:r>
        <w:rPr>
          <w:rFonts w:ascii="Arial" w:cs="Arial" w:eastAsia="Arial" w:hAnsi="Arial"/>
          <w:b/>
          <w:bCs/>
          <w:color w:val="1B3A6B"/>
          <w:sz w:val="21"/>
          <w:szCs w:val="21"/>
        </w:rPr>
        <w:t xml:space="preserve">B.2  ACH Cutoff Windows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12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Entry 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Cutoff (CT)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Settlement</w:t>
            </w:r>
          </w:p>
        </w:tc>
        <w:tc>
          <w:tcPr>
            <w:tcW w:type="dxa" w:w="2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Next-Day ACH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PM] 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Banking Day</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Base fee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Same-Day ACH — Window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[10:30 AM] 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Banking Day</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Base + Same-Day premium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Same-Day ACH — Window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[2:45 PM] 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Banking Day</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Base + Same-Day premium</w:t>
            </w:r>
          </w:p>
        </w:tc>
      </w:tr>
    </w:tbl>
    <w:p>
      <w:pPr>
        <w:pStyle w:val="Heading2"/>
        <w:pBdr>
          <w:bottom w:val="single" w:color="B8952A" w:sz="3" w:space="1"/>
        </w:pBdr>
        <w:spacing w:after="80" w:before="220"/>
      </w:pPr>
      <w:r>
        <w:rPr>
          <w:rFonts w:ascii="Arial" w:cs="Arial" w:eastAsia="Arial" w:hAnsi="Arial"/>
          <w:b/>
          <w:bCs/>
          <w:color w:val="1B3A6B"/>
          <w:sz w:val="21"/>
          <w:szCs w:val="21"/>
        </w:rPr>
        <w:t xml:space="preserve">B.3  Required ACH Entry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920"/>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 Value / Format</w:t>
            </w:r>
          </w:p>
        </w:tc>
        <w:tc>
          <w:tcPr>
            <w:tcW w:type="dxa" w:w="39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Code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 (checking debit) / 37 (savings debit)</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Set per Receiver account type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SPEARHEAD 39TH ST</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 16 chars; appears on Receiver statement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Entry Description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RENT / DEPOSIT / LATE FEE</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As applicable to entry 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[10-digit Originator ID assigned by Bank]</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Issued during onboarding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Effective Entry Date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YYMMDD</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T+1 standard; T+0 for Same-Day ACH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Receiver legal name</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Required for dispute identification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ID Number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Tenant unit or lease ID</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Customer-assigned; must be consistent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Dollars and cents (no symbols)</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Must match Authorization exactly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Routing Number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9-digit RDFI ABA</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Validated against FedACH directory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Number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provided in Authorization</w:t>
            </w:r>
          </w:p>
        </w:tc>
        <w:tc>
          <w:tcPr>
            <w:tcW w:type="dxa" w:w="3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8"/>
                <w:szCs w:val="18"/>
              </w:rPr>
              <w:t xml:space="preserve">Up to 17 characters</w:t>
            </w:r>
          </w:p>
        </w:tc>
      </w:tr>
    </w:tbl>
    <w:p>
      <w:pPr>
        <w:pStyle w:val="Heading2"/>
        <w:pBdr>
          <w:bottom w:val="single" w:color="B8952A" w:sz="3" w:space="1"/>
        </w:pBdr>
        <w:spacing w:after="80" w:before="220"/>
      </w:pPr>
      <w:r>
        <w:rPr>
          <w:rFonts w:ascii="Arial" w:cs="Arial" w:eastAsia="Arial" w:hAnsi="Arial"/>
          <w:b/>
          <w:bCs/>
          <w:color w:val="1B3A6B"/>
          <w:sz w:val="21"/>
          <w:szCs w:val="21"/>
        </w:rPr>
        <w:t xml:space="preserve">B.4  Return Code Response Matrix</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620"/>
      </w:tblGrid>
      <w:t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Code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Reason</w:t>
            </w:r>
          </w:p>
        </w:tc>
        <w:tc>
          <w:tcPr>
            <w:tcW w:type="dxa" w:w="56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Required Customer Action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Insufficient Funds</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May re-present up to 2 times; notify tenant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Account Closed</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Remove from system immediately; obtain new account info and Authorization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Account / Unable to Locate</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Suspend origination; contact tenant for corrected account information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Invalid Account Number</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Suspend origination; contact tenant for corrected account information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Unauthorized Debit (Corp)</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IMMEDIATELY suspend; preserve Authorization; notify Bank within 24 hours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Authorization Revoked by Receiver</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Immediately cease debits to account; obtain new Authorization if tenancy continues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R08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Payment Stopped</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Do not re-originate; contact tenant to resolve; obtain new Authorization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Customer Advises Unauthorized</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IMMEDIATELY suspend; preserve Authorization; notify Bank within 24 hours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Customer Advises Not Per Authorization</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Suspend; contact tenant; correct or obtain new Authorization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Account Frozen</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Do not re-originate; contact tenant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Non-Transaction Account</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Collect corrected account type and number; obtain new Authorization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R29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Corporate Customer Advises Not Authorized</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IMMEDIATELY suspend; notify Bank within 24 hours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C01–C07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NOC — Account Correction</w:t>
            </w:r>
          </w:p>
        </w:tc>
        <w:tc>
          <w:tcPr>
            <w:tcW w:type="dxa" w:w="5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Update account data within 6 Banking Days; correct next entry</w:t>
            </w:r>
          </w:p>
        </w:tc>
      </w:tr>
    </w:tbl>
    <w:p>
      <w:pPr>
        <w:pStyle w:val="Heading2"/>
        <w:pBdr>
          <w:bottom w:val="single" w:color="B8952A" w:sz="3" w:space="1"/>
        </w:pBdr>
        <w:spacing w:after="80" w:before="220"/>
      </w:pPr>
      <w:r>
        <w:rPr>
          <w:rFonts w:ascii="Arial" w:cs="Arial" w:eastAsia="Arial" w:hAnsi="Arial"/>
          <w:b/>
          <w:bCs/>
          <w:color w:val="1B3A6B"/>
          <w:sz w:val="21"/>
          <w:szCs w:val="21"/>
        </w:rPr>
        <w:t xml:space="preserve">B.5  Bank ACH Operations Contact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6820"/>
      </w:tblGrid>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ACH Operations Phone</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[___-___-____] (Mon–Fri, 8 AM – 5 PM CT)</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ACH Operations Email</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achoperations@bankofcommerce.com</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Security Incident Hotline</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[___-___-____] (24/7)</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Treasury Management Rep</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[Name] | [email] | [phone]</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API Developer Support</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apisupport@bankofcommerce.com</w:t>
            </w:r>
          </w:p>
        </w:tc>
      </w:tr>
    </w:tbl>
    <w:p>
      <w:pPr>
        <w:pageBreakBefore/>
      </w:pPr>
      <w:r>
        <w:t xml:space="preserve"/>
      </w:r>
    </w:p>
    <w:p>
      <w:pPr>
        <w:pStyle w:val="Heading1"/>
        <w:shd w:fill="1B3A6B" w:val="clear"/>
        <w:spacing w:after="100" w:before="280"/>
        <w:ind w:left="180" w:right="180"/>
      </w:pPr>
      <w:r>
        <w:rPr>
          <w:rFonts w:ascii="Arial" w:cs="Arial" w:eastAsia="Arial" w:hAnsi="Arial"/>
          <w:b/>
          <w:bCs/>
          <w:color w:val="FFFFFF"/>
          <w:sz w:val="24"/>
          <w:szCs w:val="24"/>
        </w:rPr>
        <w:t xml:space="preserve">SIGNATURE PAGE</w:t>
      </w:r>
    </w:p>
    <w:p>
      <w:pPr>
        <w:spacing w:after="100" w:before="100"/>
      </w:pPr>
      <w:r>
        <w:t xml:space="preserve"/>
      </w:r>
    </w:p>
    <w:p>
      <w:pPr>
        <w:spacing w:after="60" w:before="60"/>
        <w:ind w:left="0"/>
        <w:jc w:val="left"/>
      </w:pPr>
      <w:r>
        <w:rPr>
          <w:rFonts w:ascii="Arial" w:cs="Arial" w:eastAsia="Arial" w:hAnsi="Arial"/>
          <w:b w:val="false"/>
          <w:bCs w:val="false"/>
          <w:color w:val="000000"/>
          <w:sz w:val="20"/>
          <w:szCs w:val="20"/>
        </w:rPr>
        <w:t xml:space="preserve">IN WITNESS WHEREOF, the parties have caused this ACH Origination and API Access Agreement to be executed by their duly authorized representatives as of the date last written below.</w:t>
      </w:r>
    </w:p>
    <w:p>
      <w:pPr>
        <w:spacing w:after="100" w:before="140"/>
      </w:pPr>
      <w:r>
        <w:t xml:space="preserve"/>
      </w:r>
    </w:p>
    <w:p>
      <w:pPr>
        <w:spacing w:after="40" w:before="60"/>
      </w:pPr>
      <w:r>
        <w:rPr>
          <w:rFonts w:ascii="Arial" w:cs="Arial" w:eastAsia="Arial" w:hAnsi="Arial"/>
          <w:b/>
          <w:bCs/>
          <w:color w:val="1B3A6B"/>
          <w:sz w:val="26"/>
          <w:szCs w:val="26"/>
        </w:rPr>
        <w:t xml:space="preserve">BANK OF COMMERCE</w:t>
      </w:r>
    </w:p>
    <w:p>
      <w:pPr>
        <w:spacing w:after="60" w:before="0"/>
      </w:pPr>
      <w:r>
        <w:rPr>
          <w:rFonts w:ascii="Arial" w:cs="Arial" w:eastAsia="Arial" w:hAnsi="Arial"/>
          <w:color w:val="555555"/>
          <w:sz w:val="20"/>
          <w:szCs w:val="20"/>
        </w:rPr>
        <w:t xml:space="preserve">Originating Depository Financial Institution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320"/>
        <w:gridCol w:w="1080"/>
        <w:gridCol w:w="4320"/>
      </w:tblGrid>
      <w:tr>
        <w:tc>
          <w:tcPr>
            <w:tcW w:type="dxa" w:w="4320"/>
            <w:tcBorders>
              <w:top w:val="none" w:color="FFFFFF" w:sz="0"/>
              <w:left w:val="none" w:color="FFFFFF" w:sz="0"/>
              <w:bottom w:val="none" w:color="FFFFFF" w:sz="0"/>
              <w:right w:val="none" w:color="FFFFFF" w:sz="0"/>
            </w:tcBorders>
          </w:tcPr>
          <w:p>
            <w:pPr>
              <w:pBdr>
                <w:bottom w:val="single" w:color="000000" w:sz="2"/>
              </w:pBdr>
              <w:spacing w:after="60" w:before="280"/>
            </w:pPr>
            <w:r>
              <w:rPr>
                <w:sz w:val="36"/>
                <w:szCs w:val="36"/>
              </w:rPr>
              <w:t xml:space="preserve"> </w:t>
            </w:r>
          </w:p>
          <w:p>
            <w:r>
              <w:rPr>
                <w:rFonts w:ascii="Arial" w:cs="Arial" w:eastAsia="Arial" w:hAnsi="Arial"/>
                <w:b/>
                <w:bCs/>
                <w:color w:val="555555"/>
                <w:sz w:val="18"/>
                <w:szCs w:val="18"/>
              </w:rPr>
              <w:t xml:space="preserve">Authorized Officer Signature</w:t>
            </w:r>
          </w:p>
        </w:tc>
        <w:tc>
          <w:tcPr>
            <w:tcW w:type="dxa" w:w="1080"/>
            <w:tcBorders>
              <w:top w:val="none" w:color="FFFFFF" w:sz="0"/>
              <w:left w:val="none" w:color="FFFFFF" w:sz="0"/>
              <w:bottom w:val="none" w:color="FFFFFF" w:sz="0"/>
              <w:right w:val="none" w:color="FFFFFF" w:sz="0"/>
            </w:tcBorders>
          </w:tcPr>
          <w:p>
            <w:r>
              <w:t xml:space="preserve"/>
            </w:r>
          </w:p>
        </w:tc>
        <w:tc>
          <w:tcPr>
            <w:tcW w:type="dxa" w:w="4320"/>
            <w:tcBorders>
              <w:top w:val="none" w:color="FFFFFF" w:sz="0"/>
              <w:left w:val="none" w:color="FFFFFF" w:sz="0"/>
              <w:bottom w:val="none" w:color="FFFFFF" w:sz="0"/>
              <w:right w:val="none" w:color="FFFFFF" w:sz="0"/>
            </w:tcBorders>
          </w:tcPr>
          <w:p>
            <w:pPr>
              <w:pBdr>
                <w:bottom w:val="single" w:color="000000" w:sz="2"/>
              </w:pBdr>
              <w:spacing w:after="60" w:before="280"/>
            </w:pPr>
            <w:r>
              <w:rPr>
                <w:sz w:val="36"/>
                <w:szCs w:val="36"/>
              </w:rPr>
              <w:t xml:space="preserve"> </w:t>
            </w:r>
          </w:p>
          <w:p>
            <w:r>
              <w:rPr>
                <w:rFonts w:ascii="Arial" w:cs="Arial" w:eastAsia="Arial" w:hAnsi="Arial"/>
                <w:b/>
                <w:bCs/>
                <w:color w:val="555555"/>
                <w:sz w:val="18"/>
                <w:szCs w:val="18"/>
              </w:rPr>
              <w:t xml:space="preserve">Print Name</w:t>
            </w:r>
          </w:p>
        </w:tc>
      </w:tr>
    </w:tbl>
    <w:p>
      <w:pPr>
        <w:spacing w:after="10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320"/>
        <w:gridCol w:w="1080"/>
        <w:gridCol w:w="4320"/>
      </w:tblGrid>
      <w:tr>
        <w:tc>
          <w:tcPr>
            <w:tcW w:type="dxa" w:w="4320"/>
            <w:tcBorders>
              <w:top w:val="none" w:color="FFFFFF" w:sz="0"/>
              <w:left w:val="none" w:color="FFFFFF" w:sz="0"/>
              <w:bottom w:val="none" w:color="FFFFFF" w:sz="0"/>
              <w:right w:val="none" w:color="FFFFFF" w:sz="0"/>
            </w:tcBorders>
          </w:tcPr>
          <w:p>
            <w:pPr>
              <w:pBdr>
                <w:bottom w:val="single" w:color="000000" w:sz="2"/>
              </w:pBdr>
              <w:spacing w:after="60" w:before="280"/>
            </w:pPr>
            <w:r>
              <w:rPr>
                <w:sz w:val="36"/>
                <w:szCs w:val="36"/>
              </w:rPr>
              <w:t xml:space="preserve"> </w:t>
            </w:r>
          </w:p>
          <w:p>
            <w:r>
              <w:rPr>
                <w:rFonts w:ascii="Arial" w:cs="Arial" w:eastAsia="Arial" w:hAnsi="Arial"/>
                <w:b/>
                <w:bCs/>
                <w:color w:val="555555"/>
                <w:sz w:val="18"/>
                <w:szCs w:val="18"/>
              </w:rPr>
              <w:t xml:space="preserve">Title</w:t>
            </w:r>
          </w:p>
        </w:tc>
        <w:tc>
          <w:tcPr>
            <w:tcW w:type="dxa" w:w="1080"/>
            <w:tcBorders>
              <w:top w:val="none" w:color="FFFFFF" w:sz="0"/>
              <w:left w:val="none" w:color="FFFFFF" w:sz="0"/>
              <w:bottom w:val="none" w:color="FFFFFF" w:sz="0"/>
              <w:right w:val="none" w:color="FFFFFF" w:sz="0"/>
            </w:tcBorders>
          </w:tcPr>
          <w:p>
            <w:r>
              <w:t xml:space="preserve"/>
            </w:r>
          </w:p>
        </w:tc>
        <w:tc>
          <w:tcPr>
            <w:tcW w:type="dxa" w:w="4320"/>
            <w:tcBorders>
              <w:top w:val="none" w:color="FFFFFF" w:sz="0"/>
              <w:left w:val="none" w:color="FFFFFF" w:sz="0"/>
              <w:bottom w:val="none" w:color="FFFFFF" w:sz="0"/>
              <w:right w:val="none" w:color="FFFFFF" w:sz="0"/>
            </w:tcBorders>
          </w:tcPr>
          <w:p>
            <w:pPr>
              <w:pBdr>
                <w:bottom w:val="single" w:color="000000" w:sz="2"/>
              </w:pBdr>
              <w:spacing w:after="60" w:before="280"/>
            </w:pPr>
            <w:r>
              <w:rPr>
                <w:sz w:val="36"/>
                <w:szCs w:val="36"/>
              </w:rPr>
              <w:t xml:space="preserve"> </w:t>
            </w:r>
          </w:p>
          <w:p>
            <w:r>
              <w:rPr>
                <w:rFonts w:ascii="Arial" w:cs="Arial" w:eastAsia="Arial" w:hAnsi="Arial"/>
                <w:b/>
                <w:bCs/>
                <w:color w:val="555555"/>
                <w:sz w:val="18"/>
                <w:szCs w:val="18"/>
              </w:rPr>
              <w:t xml:space="preserve">Date</w:t>
            </w:r>
          </w:p>
        </w:tc>
      </w:tr>
    </w:tbl>
    <w:p>
      <w:pPr>
        <w:spacing w:after="100" w:before="140"/>
      </w:pPr>
      <w:r>
        <w:t xml:space="preserve"/>
      </w:r>
    </w:p>
    <w:p>
      <w:pPr>
        <w:spacing w:after="40" w:before="60"/>
      </w:pPr>
      <w:r>
        <w:rPr>
          <w:rFonts w:ascii="Arial" w:cs="Arial" w:eastAsia="Arial" w:hAnsi="Arial"/>
          <w:b/>
          <w:bCs/>
          <w:color w:val="1B3A6B"/>
          <w:sz w:val="26"/>
          <w:szCs w:val="26"/>
        </w:rPr>
        <w:t xml:space="preserve">SPEARHEAD 39TH STREET, LLC</w:t>
      </w:r>
    </w:p>
    <w:p>
      <w:pPr>
        <w:spacing w:after="60" w:before="0"/>
      </w:pPr>
      <w:r>
        <w:rPr>
          <w:rFonts w:ascii="Arial" w:cs="Arial" w:eastAsia="Arial" w:hAnsi="Arial"/>
          <w:color w:val="555555"/>
          <w:sz w:val="20"/>
          <w:szCs w:val="20"/>
        </w:rPr>
        <w:t xml:space="preserve">A Texas Limited Liability Company — Customer / Originator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320"/>
        <w:gridCol w:w="1080"/>
        <w:gridCol w:w="4320"/>
      </w:tblGrid>
      <w:tr>
        <w:tc>
          <w:tcPr>
            <w:tcW w:type="dxa" w:w="4320"/>
            <w:tcBorders>
              <w:top w:val="none" w:color="FFFFFF" w:sz="0"/>
              <w:left w:val="none" w:color="FFFFFF" w:sz="0"/>
              <w:bottom w:val="none" w:color="FFFFFF" w:sz="0"/>
              <w:right w:val="none" w:color="FFFFFF" w:sz="0"/>
            </w:tcBorders>
          </w:tcPr>
          <w:p>
            <w:pPr>
              <w:pBdr>
                <w:bottom w:val="single" w:color="000000" w:sz="2"/>
              </w:pBdr>
              <w:spacing w:after="60" w:before="280"/>
            </w:pPr>
            <w:r>
              <w:rPr>
                <w:sz w:val="36"/>
                <w:szCs w:val="36"/>
              </w:rPr>
              <w:t xml:space="preserve"> </w:t>
            </w:r>
          </w:p>
          <w:p>
            <w:r>
              <w:rPr>
                <w:rFonts w:ascii="Arial" w:cs="Arial" w:eastAsia="Arial" w:hAnsi="Arial"/>
                <w:b/>
                <w:bCs/>
                <w:color w:val="555555"/>
                <w:sz w:val="18"/>
                <w:szCs w:val="18"/>
              </w:rPr>
              <w:t xml:space="preserve">Authorized Member/Manager Signature</w:t>
            </w:r>
          </w:p>
        </w:tc>
        <w:tc>
          <w:tcPr>
            <w:tcW w:type="dxa" w:w="1080"/>
            <w:tcBorders>
              <w:top w:val="none" w:color="FFFFFF" w:sz="0"/>
              <w:left w:val="none" w:color="FFFFFF" w:sz="0"/>
              <w:bottom w:val="none" w:color="FFFFFF" w:sz="0"/>
              <w:right w:val="none" w:color="FFFFFF" w:sz="0"/>
            </w:tcBorders>
          </w:tcPr>
          <w:p>
            <w:r>
              <w:t xml:space="preserve"/>
            </w:r>
          </w:p>
        </w:tc>
        <w:tc>
          <w:tcPr>
            <w:tcW w:type="dxa" w:w="4320"/>
            <w:tcBorders>
              <w:top w:val="none" w:color="FFFFFF" w:sz="0"/>
              <w:left w:val="none" w:color="FFFFFF" w:sz="0"/>
              <w:bottom w:val="none" w:color="FFFFFF" w:sz="0"/>
              <w:right w:val="none" w:color="FFFFFF" w:sz="0"/>
            </w:tcBorders>
          </w:tcPr>
          <w:p>
            <w:pPr>
              <w:pBdr>
                <w:bottom w:val="single" w:color="000000" w:sz="2"/>
              </w:pBdr>
              <w:spacing w:after="60" w:before="280"/>
            </w:pPr>
            <w:r>
              <w:rPr>
                <w:sz w:val="36"/>
                <w:szCs w:val="36"/>
              </w:rPr>
              <w:t xml:space="preserve"> </w:t>
            </w:r>
          </w:p>
          <w:p>
            <w:r>
              <w:rPr>
                <w:rFonts w:ascii="Arial" w:cs="Arial" w:eastAsia="Arial" w:hAnsi="Arial"/>
                <w:b/>
                <w:bCs/>
                <w:color w:val="555555"/>
                <w:sz w:val="18"/>
                <w:szCs w:val="18"/>
              </w:rPr>
              <w:t xml:space="preserve">Print Name</w:t>
            </w:r>
          </w:p>
        </w:tc>
      </w:tr>
    </w:tbl>
    <w:p>
      <w:pPr>
        <w:spacing w:after="10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320"/>
        <w:gridCol w:w="1080"/>
        <w:gridCol w:w="4320"/>
      </w:tblGrid>
      <w:tr>
        <w:tc>
          <w:tcPr>
            <w:tcW w:type="dxa" w:w="4320"/>
            <w:tcBorders>
              <w:top w:val="none" w:color="FFFFFF" w:sz="0"/>
              <w:left w:val="none" w:color="FFFFFF" w:sz="0"/>
              <w:bottom w:val="none" w:color="FFFFFF" w:sz="0"/>
              <w:right w:val="none" w:color="FFFFFF" w:sz="0"/>
            </w:tcBorders>
          </w:tcPr>
          <w:p>
            <w:pPr>
              <w:pBdr>
                <w:bottom w:val="single" w:color="000000" w:sz="2"/>
              </w:pBdr>
              <w:spacing w:after="60" w:before="280"/>
            </w:pPr>
            <w:r>
              <w:rPr>
                <w:sz w:val="36"/>
                <w:szCs w:val="36"/>
              </w:rPr>
              <w:t xml:space="preserve"> </w:t>
            </w:r>
          </w:p>
          <w:p>
            <w:r>
              <w:rPr>
                <w:rFonts w:ascii="Arial" w:cs="Arial" w:eastAsia="Arial" w:hAnsi="Arial"/>
                <w:b/>
                <w:bCs/>
                <w:color w:val="555555"/>
                <w:sz w:val="18"/>
                <w:szCs w:val="18"/>
              </w:rPr>
              <w:t xml:space="preserve">Title</w:t>
            </w:r>
          </w:p>
        </w:tc>
        <w:tc>
          <w:tcPr>
            <w:tcW w:type="dxa" w:w="1080"/>
            <w:tcBorders>
              <w:top w:val="none" w:color="FFFFFF" w:sz="0"/>
              <w:left w:val="none" w:color="FFFFFF" w:sz="0"/>
              <w:bottom w:val="none" w:color="FFFFFF" w:sz="0"/>
              <w:right w:val="none" w:color="FFFFFF" w:sz="0"/>
            </w:tcBorders>
          </w:tcPr>
          <w:p>
            <w:r>
              <w:t xml:space="preserve"/>
            </w:r>
          </w:p>
        </w:tc>
        <w:tc>
          <w:tcPr>
            <w:tcW w:type="dxa" w:w="4320"/>
            <w:tcBorders>
              <w:top w:val="none" w:color="FFFFFF" w:sz="0"/>
              <w:left w:val="none" w:color="FFFFFF" w:sz="0"/>
              <w:bottom w:val="none" w:color="FFFFFF" w:sz="0"/>
              <w:right w:val="none" w:color="FFFFFF" w:sz="0"/>
            </w:tcBorders>
          </w:tcPr>
          <w:p>
            <w:pPr>
              <w:pBdr>
                <w:bottom w:val="single" w:color="000000" w:sz="2"/>
              </w:pBdr>
              <w:spacing w:after="60" w:before="280"/>
            </w:pPr>
            <w:r>
              <w:rPr>
                <w:sz w:val="36"/>
                <w:szCs w:val="36"/>
              </w:rPr>
              <w:t xml:space="preserve"> </w:t>
            </w:r>
          </w:p>
          <w:p>
            <w:r>
              <w:rPr>
                <w:rFonts w:ascii="Arial" w:cs="Arial" w:eastAsia="Arial" w:hAnsi="Arial"/>
                <w:b/>
                <w:bCs/>
                <w:color w:val="555555"/>
                <w:sz w:val="18"/>
                <w:szCs w:val="18"/>
              </w:rPr>
              <w:t xml:space="preserve">Date</w:t>
            </w:r>
          </w:p>
        </w:tc>
      </w:tr>
    </w:tbl>
    <w:p>
      <w:pPr>
        <w:spacing w:after="100" w:before="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900"/>
        <w:gridCol w:w="6820"/>
      </w:tblGrid>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3A6B"/>
                <w:sz w:val="20"/>
                <w:szCs w:val="20"/>
              </w:rPr>
              <w:t xml:space="preserve">Customer EIN</w:t>
            </w:r>
          </w:p>
        </w:tc>
        <w:tc>
          <w:tcPr>
            <w:tcW w:type="dxa" w:w="6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[___________________________]</w:t>
            </w:r>
          </w:p>
        </w:tc>
      </w:tr>
    </w:tbl>
    <w:p>
      <w:pPr>
        <w:spacing w:after="100" w:before="160"/>
      </w:pPr>
      <w:r>
        <w:t xml:space="preserve"/>
      </w:r>
    </w:p>
    <w:p>
      <w:pPr>
        <w:spacing w:after="60" w:before="120"/>
        <w:jc w:val="center"/>
      </w:pPr>
      <w:r>
        <w:rPr>
          <w:rFonts w:ascii="Arial" w:cs="Arial" w:eastAsia="Arial" w:hAnsi="Arial"/>
          <w:b/>
          <w:bCs/>
          <w:color w:val="555555"/>
          <w:sz w:val="20"/>
          <w:szCs w:val="20"/>
        </w:rPr>
        <w:t xml:space="preserve">— END OF AGREEMENT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before="80"/>
      <w:jc w:val="center"/>
    </w:pPr>
    <w:r>
      <w:rPr>
        <w:rFonts w:ascii="Arial" w:cs="Arial" w:eastAsia="Arial" w:hAnsi="Arial"/>
        <w:color w:val="555555"/>
        <w:sz w:val="16"/>
        <w:szCs w:val="16"/>
      </w:rPr>
      <w:t xml:space="preserve">BANK OF COMMERCE  •  CONFIDENTIAL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400"/>
      <w:gridCol w:w="4320"/>
    </w:tblGrid>
    <w:tr>
      <w:tc>
        <w:tcPr>
          <w:tcW w:type="dxa" w:w="5400"/>
          <w:tcBorders>
            <w:top w:val="none" w:color="FFFFFF" w:sz="0"/>
            <w:left w:val="none" w:color="FFFFFF" w:sz="0"/>
            <w:bottom w:val="none" w:color="FFFFFF" w:sz="0"/>
            <w:right w:val="none" w:color="FFFFFF" w:sz="0"/>
          </w:tcBorders>
          <w:vAlign w:val="center"/>
        </w:tcPr>
        <w:p>
          <w:r>
            <w:rPr>
              <w:rFonts w:ascii="Arial" w:cs="Arial" w:eastAsia="Arial" w:hAnsi="Arial"/>
              <w:b/>
              <w:bCs/>
              <w:color w:val="1B3A6B"/>
              <w:sz w:val="22"/>
              <w:szCs w:val="22"/>
            </w:rPr>
            <w:t xml:space="preserve">BANK OF COMMERCE</w:t>
          </w:r>
        </w:p>
      </w:tc>
      <w:tc>
        <w:tcPr>
          <w:tcW w:type="dxa" w:w="432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555555"/>
              <w:sz w:val="18"/>
              <w:szCs w:val="18"/>
            </w:rPr>
            <w:t xml:space="preserve">ACH Origination &amp; API Access Agreement</w:t>
          </w:r>
        </w:p>
      </w:tc>
    </w:tr>
  </w:tbl>
  <w:p>
    <w:pPr>
      <w:pBdr>
        <w:bottom w:val="single" w:color="B8952A" w:sz="6"/>
      </w:pBdr>
      <w:spacing w:after="0" w:before="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0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8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FFFFFF"/>
      <w:sz w:val="24"/>
      <w:szCs w:val="24"/>
    </w:rPr>
  </w:style>
  <w:style w:type="paragraph" w:styleId="Heading2">
    <w:name w:val="Heading 2"/>
    <w:basedOn w:val="Normal"/>
    <w:next w:val="Normal"/>
    <w:qFormat/>
    <w:pPr>
      <w:spacing w:after="80" w:before="220"/>
      <w:outlineLvl w:val="1"/>
    </w:pPr>
    <w:rPr>
      <w:rFonts w:ascii="Arial" w:cs="Arial" w:eastAsia="Arial" w:hAnsi="Arial"/>
      <w:b/>
      <w:bCs/>
      <w:color w:val="1B3A6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2026-05-15T20:21:04.827Z</dcterms:created>
  <dcterms:modified xsi:type="dcterms:W3CDTF">2026-05-15T20:21:04.844Z</dcterms:modified>
</cp:coreProperties>
</file>

<file path=docProps/custom.xml><?xml version="1.0" encoding="utf-8"?>
<Properties xmlns="http://schemas.openxmlformats.org/officeDocument/2006/custom-properties" xmlns:vt="http://schemas.openxmlformats.org/officeDocument/2006/docPropsVTypes"/>
</file>