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A5DBE" w14:textId="7B5FEB41" w:rsidR="00B915C2" w:rsidRDefault="008338C5" w:rsidP="008338C5">
      <w:pPr>
        <w:pStyle w:val="Heading1"/>
        <w:pageBreakBefore/>
      </w:pPr>
      <w:r>
        <w:t>Ethical and human factors in large-scale medical record analysis</w:t>
      </w:r>
    </w:p>
    <w:p w14:paraId="29D110AE" w14:textId="42BF49EC" w:rsidR="00B41891" w:rsidRPr="00B41891" w:rsidRDefault="006C2264" w:rsidP="00B41891">
      <w:r>
        <w:t xml:space="preserve">The </w:t>
      </w:r>
      <w:r w:rsidR="002A73B2">
        <w:t xml:space="preserve">large-scale analytics project intended to use practice-level session data to rank medical providers has the potential for many ethical issues. </w:t>
      </w:r>
      <w:r>
        <w:t>This report outlines factors of consent, an ethical briefing to staff involved in the project, details of issues with the external storage of data, and considers possible misused of the project’s results.</w:t>
      </w:r>
    </w:p>
    <w:p w14:paraId="2C81569B" w14:textId="517A5ADC" w:rsidR="00096620" w:rsidRPr="006C2264" w:rsidRDefault="00096620" w:rsidP="00096620">
      <w:pPr>
        <w:pStyle w:val="Heading2"/>
        <w:rPr>
          <w:sz w:val="28"/>
          <w:szCs w:val="28"/>
        </w:rPr>
      </w:pPr>
      <w:r w:rsidRPr="006C2264">
        <w:rPr>
          <w:sz w:val="28"/>
          <w:szCs w:val="28"/>
        </w:rPr>
        <w:t>Informed consent</w:t>
      </w:r>
    </w:p>
    <w:p w14:paraId="59AD578E" w14:textId="601C6DBE" w:rsidR="00B41891" w:rsidRDefault="00A6310A">
      <w:pPr>
        <w:rPr>
          <w:lang w:val="en-US"/>
        </w:rPr>
      </w:pPr>
      <w:r>
        <w:rPr>
          <w:lang w:val="en-US"/>
        </w:rPr>
        <w:t>T</w:t>
      </w:r>
      <w:r w:rsidR="008B5876">
        <w:rPr>
          <w:lang w:val="en-US"/>
        </w:rPr>
        <w:t>o meet the standard of informed consent, th</w:t>
      </w:r>
      <w:r w:rsidR="00BC042E">
        <w:rPr>
          <w:lang w:val="en-US"/>
        </w:rPr>
        <w:t>ose consenting must:</w:t>
      </w:r>
    </w:p>
    <w:p w14:paraId="3DC49E0E" w14:textId="5B119251" w:rsidR="00BC042E" w:rsidRDefault="00A6310A" w:rsidP="00BC042E">
      <w:pPr>
        <w:pStyle w:val="ListParagraph"/>
        <w:numPr>
          <w:ilvl w:val="0"/>
          <w:numId w:val="1"/>
        </w:numPr>
        <w:rPr>
          <w:lang w:val="en-US"/>
        </w:rPr>
      </w:pPr>
      <w:r>
        <w:rPr>
          <w:lang w:val="en-US"/>
        </w:rPr>
        <w:t>Be a</w:t>
      </w:r>
      <w:r w:rsidR="00BC042E">
        <w:rPr>
          <w:lang w:val="en-US"/>
        </w:rPr>
        <w:t>ble to consent (or have a designated proxy)</w:t>
      </w:r>
      <w:r w:rsidR="002D7CC3">
        <w:rPr>
          <w:lang w:val="en-US"/>
        </w:rPr>
        <w:t xml:space="preserve"> </w:t>
      </w:r>
      <w:r w:rsidR="002D7CC3">
        <w:rPr>
          <w:lang w:val="en-US"/>
        </w:rPr>
        <w:fldChar w:fldCharType="begin" w:fldLock="1"/>
      </w:r>
      <w:r w:rsidR="00C647C4">
        <w:rPr>
          <w:lang w:val="en-US"/>
        </w:rPr>
        <w:instrText>ADDIN CSL_CITATION {"citationItems":[{"id":"ITEM-1","itemData":{"ISBN":"0-19-023019-3","abstract":"Forensic mental health assessment (FMHA) has grown into a specialization informed by research and professional guidelines. This series presents up-to-date information on the most important and frequently conducted forms of FMHA. Forensic mental health assessment (FMHA) has grown into a specialization informed by research and professional guidelines. This series presents up-to-date information on the most important and frequently conducted forms of FMHA. The 19 topical volumes address best approaches to practice for particular types of evaluation in the criminal, civil, and juvenile/family areas. Each volume contains a thorough discussion of the relevant legal and psychological concepts, followed by astep-by-step description of the assessment process from preparing for the evaluation to writing the report and testifying in court.Volumes include the following helpful features:BL Boxes that zero in on important information for use in evaluationsBL Tips for best practice and cautions against common pitfallsBL Highlighting of relevant case law and statutesBL Separate list of assessment tools for easy referenceBL Helpful glossary of key terms for the particular topicIn making recommendations for best practice, authors consider empirical support, legal relevance, and consistency with ethical and professional standards. These volumes offer invaluable guidance for anyone involved in conducting or using forensic evaluations. Patients provide valid informed consent to a treatment or a diagnostic procedure if they have sufficient capacity, have been given appropriate information, and give consent freely without coercion or undue influence. When a patient'scapacity for treatment consent is in doubt, a clinician must determine whether the patient indeed has the capacity. This book provides clear, step-by-step information on the evaluation procedure for capacity to consent to both treatment and research.","author":[{"dropping-particle":"","family":"Kim","given":"Scott Y H","non-dropping-particle":"","parse-names":false,"suffix":""}],"collection-title":"Best practices in forensic mental health assessment","id":"ITEM-1","issued":{"date-parts":[["2010"]]},"publisher":"Oxford University Press","publisher-place":"Oxford","title":"Evaluation of capacity to consent to treatment and research","type":"book"},"uris":["http://www.mendeley.com/documents/?uuid=52c32b13-4981-4718-81bd-7647ea2f14b5"]}],"mendeley":{"formattedCitation":"(Kim, 2010)","manualFormatting":"(Kim 2010)","plainTextFormattedCitation":"(Kim, 2010)","previouslyFormattedCitation":"(Kim, 2010)"},"properties":{"noteIndex":0},"schema":"https://github.com/citation-style-language/schema/raw/master/csl-citation.json"}</w:instrText>
      </w:r>
      <w:r w:rsidR="002D7CC3">
        <w:rPr>
          <w:lang w:val="en-US"/>
        </w:rPr>
        <w:fldChar w:fldCharType="separate"/>
      </w:r>
      <w:r w:rsidR="002F39CB" w:rsidRPr="002F39CB">
        <w:rPr>
          <w:noProof/>
          <w:lang w:val="en-US"/>
        </w:rPr>
        <w:t>(Kim</w:t>
      </w:r>
      <w:r w:rsidR="00A02A24">
        <w:rPr>
          <w:noProof/>
          <w:lang w:val="en-US"/>
        </w:rPr>
        <w:t xml:space="preserve"> </w:t>
      </w:r>
      <w:r w:rsidR="002F39CB" w:rsidRPr="002F39CB">
        <w:rPr>
          <w:noProof/>
          <w:lang w:val="en-US"/>
        </w:rPr>
        <w:t>2010)</w:t>
      </w:r>
      <w:r w:rsidR="002D7CC3">
        <w:rPr>
          <w:lang w:val="en-US"/>
        </w:rPr>
        <w:fldChar w:fldCharType="end"/>
      </w:r>
      <w:r w:rsidR="00892DE4">
        <w:rPr>
          <w:lang w:val="en-US"/>
        </w:rPr>
        <w:t>.</w:t>
      </w:r>
    </w:p>
    <w:p w14:paraId="1337D801" w14:textId="62817E46" w:rsidR="00BC042E" w:rsidRDefault="00BC042E" w:rsidP="00BC042E">
      <w:pPr>
        <w:pStyle w:val="ListParagraph"/>
        <w:numPr>
          <w:ilvl w:val="0"/>
          <w:numId w:val="1"/>
        </w:numPr>
        <w:rPr>
          <w:lang w:val="en-US"/>
        </w:rPr>
      </w:pPr>
      <w:r>
        <w:rPr>
          <w:lang w:val="en-US"/>
        </w:rPr>
        <w:t xml:space="preserve">Understand </w:t>
      </w:r>
      <w:r w:rsidR="00892DE4">
        <w:rPr>
          <w:lang w:val="en-US"/>
        </w:rPr>
        <w:t>the possible negative consequences of their consent</w:t>
      </w:r>
      <w:r w:rsidR="00B52442">
        <w:rPr>
          <w:lang w:val="en-US"/>
        </w:rPr>
        <w:t xml:space="preserve"> </w:t>
      </w:r>
      <w:r w:rsidR="00B52442">
        <w:rPr>
          <w:lang w:val="en-US"/>
        </w:rPr>
        <w:fldChar w:fldCharType="begin" w:fldLock="1"/>
      </w:r>
      <w:r w:rsidR="00C647C4">
        <w:rPr>
          <w:lang w:val="en-US"/>
        </w:rPr>
        <w:instrText>ADDIN CSL_CITATION {"citationItems":[{"id":"ITEM-1","itemData":{"author":[{"dropping-particle":"","family":"Leon Siantz","given":"M L","non-dropping-particle":"De","parse-names":false,"suffix":""}],"container-title":"The American journal of maternal child nursing","id":"ITEM-1","issue":"2","issued":{"date-parts":[["1988"]]},"page":"94","title":"Defining informed consent","type":"article-journal","volume":"13"},"uris":["http://www.mendeley.com/documents/?uuid=b26a07c8-b06a-45cd-a402-1dfd38936972"]}],"mendeley":{"formattedCitation":"(De Leon Siantz, 1988)","manualFormatting":"(De Leon Siantz 1988)","plainTextFormattedCitation":"(De Leon Siantz, 1988)","previouslyFormattedCitation":"(De Leon Siantz, 1988)"},"properties":{"noteIndex":0},"schema":"https://github.com/citation-style-language/schema/raw/master/csl-citation.json"}</w:instrText>
      </w:r>
      <w:r w:rsidR="00B52442">
        <w:rPr>
          <w:lang w:val="en-US"/>
        </w:rPr>
        <w:fldChar w:fldCharType="separate"/>
      </w:r>
      <w:r w:rsidR="00B52442" w:rsidRPr="00B52442">
        <w:rPr>
          <w:noProof/>
          <w:lang w:val="en-US"/>
        </w:rPr>
        <w:t>(De Leon Siantz 1988)</w:t>
      </w:r>
      <w:r w:rsidR="00B52442">
        <w:rPr>
          <w:lang w:val="en-US"/>
        </w:rPr>
        <w:fldChar w:fldCharType="end"/>
      </w:r>
      <w:r w:rsidR="00892DE4">
        <w:rPr>
          <w:lang w:val="en-US"/>
        </w:rPr>
        <w:t>.</w:t>
      </w:r>
    </w:p>
    <w:p w14:paraId="61372E6D" w14:textId="5DF7C3E9" w:rsidR="00892DE4" w:rsidRDefault="00892DE4" w:rsidP="00BC042E">
      <w:pPr>
        <w:pStyle w:val="ListParagraph"/>
        <w:numPr>
          <w:ilvl w:val="0"/>
          <w:numId w:val="1"/>
        </w:numPr>
        <w:rPr>
          <w:lang w:val="en-US"/>
        </w:rPr>
      </w:pPr>
      <w:r>
        <w:rPr>
          <w:lang w:val="en-US"/>
        </w:rPr>
        <w:t>Understand the possible positive consequences of their consent</w:t>
      </w:r>
      <w:r w:rsidR="00B52442">
        <w:rPr>
          <w:lang w:val="en-US"/>
        </w:rPr>
        <w:t xml:space="preserve"> </w:t>
      </w:r>
      <w:r w:rsidR="00B52442">
        <w:rPr>
          <w:lang w:val="en-US"/>
        </w:rPr>
        <w:fldChar w:fldCharType="begin" w:fldLock="1"/>
      </w:r>
      <w:r w:rsidR="00C647C4">
        <w:rPr>
          <w:lang w:val="en-US"/>
        </w:rPr>
        <w:instrText>ADDIN CSL_CITATION {"citationItems":[{"id":"ITEM-1","itemData":{"author":[{"dropping-particle":"","family":"Leon Siantz","given":"M L","non-dropping-particle":"De","parse-names":false,"suffix":""}],"container-title":"The American journal of maternal child nursing","id":"ITEM-1","issue":"2","issued":{"date-parts":[["1988"]]},"page":"94","title":"Defining informed consent","type":"article-journal","volume":"13"},"uris":["http://www.mendeley.com/documents/?uuid=b26a07c8-b06a-45cd-a402-1dfd38936972"]}],"mendeley":{"formattedCitation":"(De Leon Siantz, 1988)","manualFormatting":"(De Leon Siantz 1988)","plainTextFormattedCitation":"(De Leon Siantz, 1988)","previouslyFormattedCitation":"(De Leon Siantz, 1988)"},"properties":{"noteIndex":0},"schema":"https://github.com/citation-style-language/schema/raw/master/csl-citation.json"}</w:instrText>
      </w:r>
      <w:r w:rsidR="00B52442">
        <w:rPr>
          <w:lang w:val="en-US"/>
        </w:rPr>
        <w:fldChar w:fldCharType="separate"/>
      </w:r>
      <w:r w:rsidR="00B52442" w:rsidRPr="00B52442">
        <w:rPr>
          <w:noProof/>
          <w:lang w:val="en-US"/>
        </w:rPr>
        <w:t>(De Leon Siantz 1988)</w:t>
      </w:r>
      <w:r w:rsidR="00B52442">
        <w:rPr>
          <w:lang w:val="en-US"/>
        </w:rPr>
        <w:fldChar w:fldCharType="end"/>
      </w:r>
      <w:r>
        <w:rPr>
          <w:lang w:val="en-US"/>
        </w:rPr>
        <w:t>.</w:t>
      </w:r>
    </w:p>
    <w:p w14:paraId="5236A65B" w14:textId="6C0F25D4" w:rsidR="00892DE4" w:rsidRDefault="00892DE4" w:rsidP="00BC042E">
      <w:pPr>
        <w:pStyle w:val="ListParagraph"/>
        <w:numPr>
          <w:ilvl w:val="0"/>
          <w:numId w:val="1"/>
        </w:numPr>
        <w:rPr>
          <w:lang w:val="en-US"/>
        </w:rPr>
      </w:pPr>
      <w:r>
        <w:rPr>
          <w:lang w:val="en-US"/>
        </w:rPr>
        <w:t xml:space="preserve">Not be the subject of any coercion to consent (such as being </w:t>
      </w:r>
      <w:r w:rsidR="00787933">
        <w:rPr>
          <w:lang w:val="en-US"/>
        </w:rPr>
        <w:t>threatened</w:t>
      </w:r>
      <w:r w:rsidR="00741679">
        <w:rPr>
          <w:lang w:val="en-US"/>
        </w:rPr>
        <w:t xml:space="preserve"> or bribed)</w:t>
      </w:r>
      <w:r w:rsidR="002D7CC3">
        <w:rPr>
          <w:lang w:val="en-US"/>
        </w:rPr>
        <w:t xml:space="preserve"> </w:t>
      </w:r>
      <w:r w:rsidR="002D7CC3">
        <w:rPr>
          <w:lang w:val="en-US"/>
        </w:rPr>
        <w:fldChar w:fldCharType="begin" w:fldLock="1"/>
      </w:r>
      <w:r w:rsidR="00C647C4">
        <w:rPr>
          <w:lang w:val="en-US"/>
        </w:rPr>
        <w:instrText>ADDIN CSL_CITATION {"citationItems":[{"id":"ITEM-1","itemData":{"ISBN":"0-19-023019-3","abstract":"Forensic mental health assessment (FMHA) has grown into a specialization informed by research and professional guidelines. This series presents up-to-date information on the most important and frequently conducted forms of FMHA. Forensic mental health assessment (FMHA) has grown into a specialization informed by research and professional guidelines. This series presents up-to-date information on the most important and frequently conducted forms of FMHA. The 19 topical volumes address best approaches to practice for particular types of evaluation in the criminal, civil, and juvenile/family areas. Each volume contains a thorough discussion of the relevant legal and psychological concepts, followed by astep-by-step description of the assessment process from preparing for the evaluation to writing the report and testifying in court.Volumes include the following helpful features:BL Boxes that zero in on important information for use in evaluationsBL Tips for best practice and cautions against common pitfallsBL Highlighting of relevant case law and statutesBL Separate list of assessment tools for easy referenceBL Helpful glossary of key terms for the particular topicIn making recommendations for best practice, authors consider empirical support, legal relevance, and consistency with ethical and professional standards. These volumes offer invaluable guidance for anyone involved in conducting or using forensic evaluations. Patients provide valid informed consent to a treatment or a diagnostic procedure if they have sufficient capacity, have been given appropriate information, and give consent freely without coercion or undue influence. When a patient'scapacity for treatment consent is in doubt, a clinician must determine whether the patient indeed has the capacity. This book provides clear, step-by-step information on the evaluation procedure for capacity to consent to both treatment and research.","author":[{"dropping-particle":"","family":"Kim","given":"Scott Y H","non-dropping-particle":"","parse-names":false,"suffix":""}],"collection-title":"Best practices in forensic mental health assessment","id":"ITEM-1","issued":{"date-parts":[["2010"]]},"publisher":"Oxford University Press","publisher-place":"Oxford","title":"Evaluation of capacity to consent to treatment and research","type":"book"},"uris":["http://www.mendeley.com/documents/?uuid=52c32b13-4981-4718-81bd-7647ea2f14b5"]}],"mendeley":{"formattedCitation":"(Kim, 2010)","manualFormatting":"(Kim 2010)","plainTextFormattedCitation":"(Kim, 2010)","previouslyFormattedCitation":"(Kim, 2010)"},"properties":{"noteIndex":0},"schema":"https://github.com/citation-style-language/schema/raw/master/csl-citation.json"}</w:instrText>
      </w:r>
      <w:r w:rsidR="002D7CC3">
        <w:rPr>
          <w:lang w:val="en-US"/>
        </w:rPr>
        <w:fldChar w:fldCharType="separate"/>
      </w:r>
      <w:r w:rsidR="002F39CB" w:rsidRPr="002F39CB">
        <w:rPr>
          <w:noProof/>
          <w:lang w:val="en-US"/>
        </w:rPr>
        <w:t>(Kim 2010)</w:t>
      </w:r>
      <w:r w:rsidR="002D7CC3">
        <w:rPr>
          <w:lang w:val="en-US"/>
        </w:rPr>
        <w:fldChar w:fldCharType="end"/>
      </w:r>
      <w:r w:rsidR="00C843C0">
        <w:rPr>
          <w:lang w:val="en-US"/>
        </w:rPr>
        <w:t>.</w:t>
      </w:r>
    </w:p>
    <w:p w14:paraId="6F8B659D" w14:textId="180F80E0" w:rsidR="00741679" w:rsidRDefault="00062BF0" w:rsidP="00741679">
      <w:pPr>
        <w:rPr>
          <w:lang w:val="en-US"/>
        </w:rPr>
      </w:pPr>
      <w:r>
        <w:rPr>
          <w:lang w:val="en-US"/>
        </w:rPr>
        <w:t xml:space="preserve">The first requirement is not </w:t>
      </w:r>
      <w:r w:rsidR="00787BAC">
        <w:rPr>
          <w:lang w:val="en-US"/>
        </w:rPr>
        <w:t>incumbent</w:t>
      </w:r>
      <w:r>
        <w:rPr>
          <w:lang w:val="en-US"/>
        </w:rPr>
        <w:t xml:space="preserve"> on the design of the system; it </w:t>
      </w:r>
      <w:r w:rsidR="00787BAC">
        <w:rPr>
          <w:lang w:val="en-US"/>
        </w:rPr>
        <w:t xml:space="preserve">only needs to be appropriately evaluated. The second and third requirement relate to the information provided to the </w:t>
      </w:r>
      <w:r w:rsidR="003426D4">
        <w:rPr>
          <w:lang w:val="en-US"/>
        </w:rPr>
        <w:t xml:space="preserve">patients. </w:t>
      </w:r>
      <w:r w:rsidR="006571DD">
        <w:rPr>
          <w:lang w:val="en-US"/>
        </w:rPr>
        <w:t xml:space="preserve">To meet these </w:t>
      </w:r>
      <w:r w:rsidR="008764DE">
        <w:rPr>
          <w:lang w:val="en-US"/>
        </w:rPr>
        <w:t>standards, th</w:t>
      </w:r>
      <w:r w:rsidR="00A54375">
        <w:rPr>
          <w:lang w:val="en-US"/>
        </w:rPr>
        <w:t xml:space="preserve">ose whose data will be used must have the risks and benefits of the system explained, including how their data will be used, </w:t>
      </w:r>
      <w:r w:rsidR="009144DF">
        <w:rPr>
          <w:lang w:val="en-US"/>
        </w:rPr>
        <w:t>stored,</w:t>
      </w:r>
      <w:r w:rsidR="00A54375">
        <w:rPr>
          <w:lang w:val="en-US"/>
        </w:rPr>
        <w:t xml:space="preserve"> and transformed. </w:t>
      </w:r>
      <w:r w:rsidR="009622DA">
        <w:rPr>
          <w:lang w:val="en-US"/>
        </w:rPr>
        <w:t>This is not being met by the current system implementation plans.</w:t>
      </w:r>
    </w:p>
    <w:p w14:paraId="017863F0" w14:textId="28372453" w:rsidR="00513D9A" w:rsidRDefault="009622DA" w:rsidP="00741679">
      <w:pPr>
        <w:rPr>
          <w:lang w:val="en-US"/>
        </w:rPr>
      </w:pPr>
      <w:r w:rsidRPr="09A7FC42">
        <w:rPr>
          <w:lang w:val="en-US"/>
        </w:rPr>
        <w:t>The fourth requirement relates to the way in which participa</w:t>
      </w:r>
      <w:r w:rsidR="3D9971E7" w:rsidRPr="09A7FC42">
        <w:rPr>
          <w:lang w:val="en-US"/>
        </w:rPr>
        <w:t>n</w:t>
      </w:r>
      <w:r w:rsidRPr="09A7FC42">
        <w:rPr>
          <w:lang w:val="en-US"/>
        </w:rPr>
        <w:t xml:space="preserve">ts are given information and asked to consent. </w:t>
      </w:r>
      <w:r w:rsidR="00275741" w:rsidRPr="09A7FC42">
        <w:rPr>
          <w:lang w:val="en-US"/>
        </w:rPr>
        <w:t xml:space="preserve">The system as proposed does not offer any inducement to consent, </w:t>
      </w:r>
      <w:r w:rsidR="006022C2" w:rsidRPr="09A7FC42">
        <w:rPr>
          <w:lang w:val="en-US"/>
        </w:rPr>
        <w:t>but ther</w:t>
      </w:r>
      <w:r w:rsidR="00513D9A" w:rsidRPr="09A7FC42">
        <w:rPr>
          <w:lang w:val="en-US"/>
        </w:rPr>
        <w:t>e</w:t>
      </w:r>
      <w:r w:rsidR="006022C2" w:rsidRPr="09A7FC42">
        <w:rPr>
          <w:lang w:val="en-US"/>
        </w:rPr>
        <w:t xml:space="preserve"> are possible consequences to lack of consent. Those practices which do not offer data </w:t>
      </w:r>
      <w:r w:rsidR="00EF090F" w:rsidRPr="09A7FC42">
        <w:rPr>
          <w:lang w:val="en-US"/>
        </w:rPr>
        <w:t xml:space="preserve">will receive </w:t>
      </w:r>
      <w:r w:rsidR="00FC771B" w:rsidRPr="09A7FC42">
        <w:rPr>
          <w:lang w:val="en-US"/>
        </w:rPr>
        <w:t>rankings of 0 under the new system</w:t>
      </w:r>
      <w:r w:rsidR="00513D9A" w:rsidRPr="09A7FC42">
        <w:rPr>
          <w:lang w:val="en-US"/>
        </w:rPr>
        <w:t>. If this is made known to the patients, it may</w:t>
      </w:r>
      <w:r w:rsidR="00FC771B" w:rsidRPr="09A7FC42">
        <w:rPr>
          <w:lang w:val="en-US"/>
        </w:rPr>
        <w:t xml:space="preserve"> affect the </w:t>
      </w:r>
      <w:r w:rsidR="00513D9A" w:rsidRPr="09A7FC42">
        <w:rPr>
          <w:lang w:val="en-US"/>
        </w:rPr>
        <w:t>patient’s</w:t>
      </w:r>
      <w:r w:rsidR="00FC771B" w:rsidRPr="09A7FC42">
        <w:rPr>
          <w:lang w:val="en-US"/>
        </w:rPr>
        <w:t xml:space="preserve"> choice to consent</w:t>
      </w:r>
      <w:r w:rsidR="00513D9A" w:rsidRPr="09A7FC42">
        <w:rPr>
          <w:lang w:val="en-US"/>
        </w:rPr>
        <w:t>.</w:t>
      </w:r>
      <w:r w:rsidR="00145EB9" w:rsidRPr="09A7FC42">
        <w:rPr>
          <w:lang w:val="en-US"/>
        </w:rPr>
        <w:t xml:space="preserve"> </w:t>
      </w:r>
      <w:r w:rsidR="00FB0C13" w:rsidRPr="09A7FC42">
        <w:rPr>
          <w:lang w:val="en-US"/>
        </w:rPr>
        <w:t xml:space="preserve">For this </w:t>
      </w:r>
      <w:r w:rsidR="00E94A3B" w:rsidRPr="09A7FC42">
        <w:rPr>
          <w:lang w:val="en-US"/>
        </w:rPr>
        <w:t>reason,</w:t>
      </w:r>
      <w:r w:rsidR="00FB0C13" w:rsidRPr="09A7FC42">
        <w:rPr>
          <w:lang w:val="en-US"/>
        </w:rPr>
        <w:t xml:space="preserve"> practice</w:t>
      </w:r>
      <w:r w:rsidR="00E94A3B" w:rsidRPr="09A7FC42">
        <w:rPr>
          <w:lang w:val="en-US"/>
        </w:rPr>
        <w:t>s</w:t>
      </w:r>
      <w:r w:rsidR="00FB0C13" w:rsidRPr="09A7FC42">
        <w:rPr>
          <w:lang w:val="en-US"/>
        </w:rPr>
        <w:t xml:space="preserve"> not providing data should not be included in the rankings rather than assigned a 0.</w:t>
      </w:r>
    </w:p>
    <w:p w14:paraId="2B8470E6" w14:textId="6D71B2AD" w:rsidR="001C605C" w:rsidRDefault="00851E59" w:rsidP="00741679">
      <w:pPr>
        <w:rPr>
          <w:lang w:val="en-US"/>
        </w:rPr>
      </w:pPr>
      <w:r w:rsidRPr="09A7FC42">
        <w:rPr>
          <w:lang w:val="en-US"/>
        </w:rPr>
        <w:t xml:space="preserve">To ensure the system meets informed consent requirements, </w:t>
      </w:r>
      <w:r w:rsidR="17B338FA" w:rsidRPr="09A7FC42">
        <w:rPr>
          <w:lang w:val="en-US"/>
        </w:rPr>
        <w:t xml:space="preserve">patients should be provided with </w:t>
      </w:r>
      <w:r w:rsidR="000515BA" w:rsidRPr="09A7FC42">
        <w:rPr>
          <w:lang w:val="en-US"/>
        </w:rPr>
        <w:t xml:space="preserve">information on the system and </w:t>
      </w:r>
      <w:r w:rsidR="3D157222" w:rsidRPr="09A7FC42">
        <w:rPr>
          <w:lang w:val="en-US"/>
        </w:rPr>
        <w:t>how</w:t>
      </w:r>
      <w:r w:rsidR="000515BA" w:rsidRPr="09A7FC42">
        <w:rPr>
          <w:lang w:val="en-US"/>
        </w:rPr>
        <w:t xml:space="preserve"> their data</w:t>
      </w:r>
      <w:r w:rsidR="13BEAB32" w:rsidRPr="09A7FC42">
        <w:rPr>
          <w:lang w:val="en-US"/>
        </w:rPr>
        <w:t xml:space="preserve"> will be used</w:t>
      </w:r>
      <w:r w:rsidR="000515BA" w:rsidRPr="09A7FC42">
        <w:rPr>
          <w:lang w:val="en-US"/>
        </w:rPr>
        <w:t>.</w:t>
      </w:r>
      <w:r w:rsidR="009A6937" w:rsidRPr="09A7FC42">
        <w:rPr>
          <w:lang w:val="en-US"/>
        </w:rPr>
        <w:t xml:space="preserve"> </w:t>
      </w:r>
      <w:r w:rsidR="0B878F63" w:rsidRPr="09A7FC42">
        <w:rPr>
          <w:lang w:val="en-US"/>
        </w:rPr>
        <w:t xml:space="preserve">There should not be </w:t>
      </w:r>
      <w:r w:rsidR="009A6937" w:rsidRPr="09A7FC42">
        <w:rPr>
          <w:lang w:val="en-US"/>
        </w:rPr>
        <w:t>any strong inducement</w:t>
      </w:r>
      <w:r w:rsidR="3A5352C6" w:rsidRPr="09A7FC42">
        <w:rPr>
          <w:lang w:val="en-US"/>
        </w:rPr>
        <w:t xml:space="preserve"> for patients</w:t>
      </w:r>
      <w:r w:rsidR="009A6937" w:rsidRPr="09A7FC42">
        <w:rPr>
          <w:lang w:val="en-US"/>
        </w:rPr>
        <w:t xml:space="preserve"> to participate</w:t>
      </w:r>
      <w:r w:rsidR="49756DE6" w:rsidRPr="09A7FC42">
        <w:rPr>
          <w:lang w:val="en-US"/>
        </w:rPr>
        <w:t>,</w:t>
      </w:r>
      <w:r w:rsidR="009A6937" w:rsidRPr="09A7FC42">
        <w:rPr>
          <w:lang w:val="en-US"/>
        </w:rPr>
        <w:t xml:space="preserve"> or </w:t>
      </w:r>
      <w:r w:rsidR="621F8274" w:rsidRPr="09A7FC42">
        <w:rPr>
          <w:lang w:val="en-US"/>
        </w:rPr>
        <w:t xml:space="preserve">any </w:t>
      </w:r>
      <w:r w:rsidR="009A6937" w:rsidRPr="09A7FC42">
        <w:rPr>
          <w:lang w:val="en-US"/>
        </w:rPr>
        <w:t xml:space="preserve">risk negative </w:t>
      </w:r>
      <w:r w:rsidR="00924036" w:rsidRPr="09A7FC42">
        <w:rPr>
          <w:lang w:val="en-US"/>
        </w:rPr>
        <w:t>repercussions</w:t>
      </w:r>
      <w:r w:rsidR="009A6937" w:rsidRPr="09A7FC42">
        <w:rPr>
          <w:lang w:val="en-US"/>
        </w:rPr>
        <w:t xml:space="preserve"> if their consent is withheld.</w:t>
      </w:r>
      <w:r w:rsidR="000515BA" w:rsidRPr="09A7FC42">
        <w:rPr>
          <w:lang w:val="en-US"/>
        </w:rPr>
        <w:t xml:space="preserve"> </w:t>
      </w:r>
      <w:r w:rsidR="003F131B" w:rsidRPr="09A7FC42">
        <w:rPr>
          <w:lang w:val="en-US"/>
        </w:rPr>
        <w:t xml:space="preserve"> </w:t>
      </w:r>
      <w:r w:rsidR="001C605C" w:rsidRPr="09A7FC42">
        <w:rPr>
          <w:lang w:val="en-US"/>
        </w:rPr>
        <w:t>Participating practices could be asked to distribute information on the study and options for the patients to provide consent. This may have to take place over many months</w:t>
      </w:r>
      <w:r w:rsidR="003B7B77" w:rsidRPr="09A7FC42">
        <w:rPr>
          <w:lang w:val="en-US"/>
        </w:rPr>
        <w:t>.</w:t>
      </w:r>
    </w:p>
    <w:p w14:paraId="19C71C87" w14:textId="24466534" w:rsidR="001C605C" w:rsidRPr="006C2264" w:rsidRDefault="000133E8" w:rsidP="001C605C">
      <w:pPr>
        <w:pStyle w:val="Heading3"/>
        <w:rPr>
          <w:sz w:val="22"/>
          <w:szCs w:val="22"/>
          <w:lang w:val="en-US"/>
        </w:rPr>
      </w:pPr>
      <w:r w:rsidRPr="006C2264">
        <w:rPr>
          <w:sz w:val="22"/>
          <w:szCs w:val="22"/>
          <w:lang w:val="en-US"/>
        </w:rPr>
        <w:t>Absence of consent</w:t>
      </w:r>
    </w:p>
    <w:p w14:paraId="02A9A0E4" w14:textId="3DE095DA" w:rsidR="00B51C73" w:rsidRDefault="001C605C" w:rsidP="00741679">
      <w:pPr>
        <w:rPr>
          <w:lang w:val="en-US"/>
        </w:rPr>
      </w:pPr>
      <w:r w:rsidRPr="09A7FC42">
        <w:rPr>
          <w:lang w:val="en-US"/>
        </w:rPr>
        <w:t>I</w:t>
      </w:r>
      <w:r w:rsidR="00D46F8F" w:rsidRPr="09A7FC42">
        <w:rPr>
          <w:lang w:val="en-US"/>
        </w:rPr>
        <w:t xml:space="preserve">f there </w:t>
      </w:r>
      <w:r w:rsidR="073D92D3" w:rsidRPr="09A7FC42">
        <w:rPr>
          <w:lang w:val="en-US"/>
        </w:rPr>
        <w:t xml:space="preserve">is </w:t>
      </w:r>
      <w:r w:rsidR="00C15EE8" w:rsidRPr="09A7FC42">
        <w:rPr>
          <w:lang w:val="en-US"/>
        </w:rPr>
        <w:t xml:space="preserve">a lack of </w:t>
      </w:r>
      <w:r w:rsidR="00D46F8F" w:rsidRPr="09A7FC42">
        <w:rPr>
          <w:lang w:val="en-US"/>
        </w:rPr>
        <w:t xml:space="preserve">consenting </w:t>
      </w:r>
      <w:r w:rsidR="00E94A3B" w:rsidRPr="09A7FC42">
        <w:rPr>
          <w:lang w:val="en-US"/>
        </w:rPr>
        <w:t>patients</w:t>
      </w:r>
      <w:r w:rsidR="00D46F8F" w:rsidRPr="09A7FC42">
        <w:rPr>
          <w:lang w:val="en-US"/>
        </w:rPr>
        <w:t xml:space="preserve"> it will be impossible to achieve a robust result.</w:t>
      </w:r>
      <w:r w:rsidR="00C15EE8" w:rsidRPr="09A7FC42">
        <w:rPr>
          <w:lang w:val="en-US"/>
        </w:rPr>
        <w:t xml:space="preserve"> A determination of the number of patients needed to produce meaningful data should be made ahead of time, and those practices without data should not have rankings calculated. This may mean that there is not enough patient data to create the rankings system. </w:t>
      </w:r>
    </w:p>
    <w:p w14:paraId="0E66E93C" w14:textId="24F0395C" w:rsidR="00A24174" w:rsidRDefault="00C15EE8" w:rsidP="00741679">
      <w:pPr>
        <w:rPr>
          <w:lang w:val="en-US"/>
        </w:rPr>
      </w:pPr>
      <w:r w:rsidRPr="09A7FC42">
        <w:rPr>
          <w:lang w:val="en-US"/>
        </w:rPr>
        <w:t xml:space="preserve">One approach </w:t>
      </w:r>
      <w:r w:rsidR="00CA04B3" w:rsidRPr="09A7FC42">
        <w:rPr>
          <w:lang w:val="en-US"/>
        </w:rPr>
        <w:t xml:space="preserve">would be to re-examine the definition of efficiency. The system assumes that the number of </w:t>
      </w:r>
      <w:r w:rsidR="000133E8" w:rsidRPr="09A7FC42">
        <w:rPr>
          <w:lang w:val="en-US"/>
        </w:rPr>
        <w:t>patients</w:t>
      </w:r>
      <w:r w:rsidR="00CA04B3" w:rsidRPr="09A7FC42">
        <w:rPr>
          <w:lang w:val="en-US"/>
        </w:rPr>
        <w:t xml:space="preserve"> seen per hour is the greatest measure of </w:t>
      </w:r>
      <w:r w:rsidR="000133E8" w:rsidRPr="09A7FC42">
        <w:rPr>
          <w:lang w:val="en-US"/>
        </w:rPr>
        <w:t>efficiency</w:t>
      </w:r>
      <w:r w:rsidR="00CA04B3" w:rsidRPr="09A7FC42">
        <w:rPr>
          <w:lang w:val="en-US"/>
        </w:rPr>
        <w:t>, but there are other measures that do no</w:t>
      </w:r>
      <w:r w:rsidR="0EB2CFE2" w:rsidRPr="09A7FC42">
        <w:rPr>
          <w:lang w:val="en-US"/>
        </w:rPr>
        <w:t>t</w:t>
      </w:r>
      <w:r w:rsidR="00CA04B3" w:rsidRPr="09A7FC42">
        <w:rPr>
          <w:lang w:val="en-US"/>
        </w:rPr>
        <w:t xml:space="preserve"> require direct use of patient data</w:t>
      </w:r>
      <w:r w:rsidR="6C54C9B4" w:rsidRPr="09A7FC42">
        <w:rPr>
          <w:lang w:val="en-US"/>
        </w:rPr>
        <w:t>,</w:t>
      </w:r>
      <w:r w:rsidR="00B713C0" w:rsidRPr="09A7FC42">
        <w:rPr>
          <w:lang w:val="en-US"/>
        </w:rPr>
        <w:t xml:space="preserve"> includ</w:t>
      </w:r>
      <w:r w:rsidR="6DAF80DD" w:rsidRPr="09A7FC42">
        <w:rPr>
          <w:lang w:val="en-US"/>
        </w:rPr>
        <w:t>ing</w:t>
      </w:r>
      <w:r w:rsidR="00B713C0" w:rsidRPr="09A7FC42">
        <w:rPr>
          <w:lang w:val="en-US"/>
        </w:rPr>
        <w:t xml:space="preserve"> </w:t>
      </w:r>
      <w:r w:rsidR="51CD283D" w:rsidRPr="09A7FC42">
        <w:rPr>
          <w:lang w:val="en-US"/>
        </w:rPr>
        <w:t xml:space="preserve"> </w:t>
      </w:r>
      <w:r w:rsidR="00B713C0" w:rsidRPr="09A7FC42">
        <w:rPr>
          <w:lang w:val="en-US"/>
        </w:rPr>
        <w:t xml:space="preserve">financial and funding </w:t>
      </w:r>
      <w:r w:rsidR="00B51C73" w:rsidRPr="09A7FC42">
        <w:rPr>
          <w:lang w:val="en-US"/>
        </w:rPr>
        <w:t>information or</w:t>
      </w:r>
      <w:r w:rsidR="00F1560F" w:rsidRPr="09A7FC42">
        <w:rPr>
          <w:lang w:val="en-US"/>
        </w:rPr>
        <w:t xml:space="preserve"> collecting information directly from physicians.</w:t>
      </w:r>
    </w:p>
    <w:p w14:paraId="22DA8295" w14:textId="6E7249A4" w:rsidR="00B51C73" w:rsidRDefault="00B51C73" w:rsidP="00741679">
      <w:pPr>
        <w:rPr>
          <w:lang w:val="en-US"/>
        </w:rPr>
      </w:pPr>
      <w:r w:rsidRPr="09A7FC42">
        <w:rPr>
          <w:lang w:val="en-US"/>
        </w:rPr>
        <w:t>Anot</w:t>
      </w:r>
      <w:r w:rsidR="0053641C" w:rsidRPr="09A7FC42">
        <w:rPr>
          <w:lang w:val="en-US"/>
        </w:rPr>
        <w:t>her option</w:t>
      </w:r>
      <w:r w:rsidR="00811099" w:rsidRPr="09A7FC42">
        <w:rPr>
          <w:lang w:val="en-US"/>
        </w:rPr>
        <w:t xml:space="preserve"> </w:t>
      </w:r>
      <w:r w:rsidR="00D67C56" w:rsidRPr="09A7FC42">
        <w:rPr>
          <w:lang w:val="en-US"/>
        </w:rPr>
        <w:t>would be to use an</w:t>
      </w:r>
      <w:r w:rsidR="00466FAE" w:rsidRPr="09A7FC42">
        <w:rPr>
          <w:lang w:val="en-US"/>
        </w:rPr>
        <w:t xml:space="preserve"> opt-out system instead. </w:t>
      </w:r>
      <w:r w:rsidR="006C2264">
        <w:rPr>
          <w:lang w:val="en-US"/>
        </w:rPr>
        <w:t>Many</w:t>
      </w:r>
      <w:r w:rsidR="006C2264" w:rsidRPr="09A7FC42">
        <w:rPr>
          <w:lang w:val="en-US"/>
        </w:rPr>
        <w:t xml:space="preserve"> </w:t>
      </w:r>
      <w:r w:rsidR="00466FAE" w:rsidRPr="09A7FC42">
        <w:rPr>
          <w:lang w:val="en-US"/>
        </w:rPr>
        <w:t xml:space="preserve">reasons for a lack of consent could be </w:t>
      </w:r>
      <w:r w:rsidR="00FB1C64" w:rsidRPr="09A7FC42">
        <w:rPr>
          <w:lang w:val="en-US"/>
        </w:rPr>
        <w:t>logistical</w:t>
      </w:r>
      <w:r w:rsidR="00466FAE" w:rsidRPr="09A7FC42">
        <w:rPr>
          <w:lang w:val="en-US"/>
        </w:rPr>
        <w:t xml:space="preserve"> – patients </w:t>
      </w:r>
      <w:r w:rsidR="005F52B4" w:rsidRPr="09A7FC42">
        <w:rPr>
          <w:lang w:val="en-US"/>
        </w:rPr>
        <w:t xml:space="preserve">not actively opposing the use of their data but not willing to take proactive effort to register consent. Other large scale data projects have used an opt-in approach </w:t>
      </w:r>
      <w:r w:rsidRPr="09A7FC42">
        <w:rPr>
          <w:lang w:val="en-US"/>
        </w:rPr>
        <w:fldChar w:fldCharType="begin" w:fldLock="1"/>
      </w:r>
      <w:r w:rsidR="00A02A24">
        <w:rPr>
          <w:lang w:val="en-US"/>
        </w:rPr>
        <w:instrText>ADDIN CSL_CITATION {"citationItems":[{"id":"ITEM-1","itemData":{"DOI":"10.1093/ije/dyt238","ISSN":"0300-5771","abstract":"Principles for data protection play a crucial role in a large part of medical and public health science, especially for epidemiological research. Since the Helsinki Declaration (http://history.nih.gov/research/downloads/helsinki.pdf), the informed consent rule is often taken as the starting point for research. Informed consent is also the starting point in the current Directive for Data Protection in the EU and in the text for a new European Regulation. It seems to follow the reasoning that research involving sensitive data—all medical data are considered sensitive—cannot be done without informed consent.","author":[{"dropping-particle":"","family":"Vandenbroucke","given":"Jan P","non-dropping-particle":"","parse-names":false,"suffix":""},{"dropping-particle":"","family":"Olsen","given":"Jørn","non-dropping-particle":"","parse-names":false,"suffix":""}],"container-title":"International Journal of Epidemiology","id":"ITEM-1","issue":"6","issued":{"date-parts":[["2014","1","8"]]},"page":"1891-1892","title":"Informed consent and the new EU regulation on data protection","type":"article-journal","volume":"42"},"uris":["http://www.mendeley.com/documents/?uuid=83f88a1b-51ea-42e6-a9d7-acb76a2c6c1a"]}],"mendeley":{"formattedCitation":"(Vandenbroucke &amp; Olsen, 2014)","manualFormatting":"(Vandenbroucke &amp; Olsen 2014)","plainTextFormattedCitation":"(Vandenbroucke &amp; Olsen, 2014)","previouslyFormattedCitation":"(Vandenbroucke &amp; Olsen, 2014)"},"properties":{"noteIndex":0},"schema":"https://github.com/citation-style-language/schema/raw/master/csl-citation.json"}</w:instrText>
      </w:r>
      <w:r w:rsidRPr="09A7FC42">
        <w:rPr>
          <w:lang w:val="en-US"/>
        </w:rPr>
        <w:fldChar w:fldCharType="separate"/>
      </w:r>
      <w:r w:rsidR="005F52B4" w:rsidRPr="09A7FC42">
        <w:rPr>
          <w:noProof/>
          <w:lang w:val="en-US"/>
        </w:rPr>
        <w:t>(Vandenbroucke &amp; Olsen 2014)</w:t>
      </w:r>
      <w:r w:rsidRPr="09A7FC42">
        <w:rPr>
          <w:lang w:val="en-US"/>
        </w:rPr>
        <w:fldChar w:fldCharType="end"/>
      </w:r>
      <w:r w:rsidR="005F52B4" w:rsidRPr="09A7FC42">
        <w:rPr>
          <w:lang w:val="en-US"/>
        </w:rPr>
        <w:t xml:space="preserve">. This has </w:t>
      </w:r>
      <w:r w:rsidR="3E48FF7E" w:rsidRPr="09A7FC42">
        <w:rPr>
          <w:lang w:val="en-US"/>
        </w:rPr>
        <w:t xml:space="preserve">a </w:t>
      </w:r>
      <w:r w:rsidR="005F52B4" w:rsidRPr="09A7FC42">
        <w:rPr>
          <w:lang w:val="en-US"/>
        </w:rPr>
        <w:t xml:space="preserve">serious ethical implication however, </w:t>
      </w:r>
      <w:r w:rsidR="00FB1C64" w:rsidRPr="09A7FC42">
        <w:rPr>
          <w:lang w:val="en-US"/>
        </w:rPr>
        <w:t>as lack</w:t>
      </w:r>
      <w:r w:rsidR="005F52B4" w:rsidRPr="09A7FC42">
        <w:rPr>
          <w:lang w:val="en-US"/>
        </w:rPr>
        <w:t xml:space="preserve"> of an opt-out </w:t>
      </w:r>
      <w:r w:rsidR="005F52B4" w:rsidRPr="09A7FC42">
        <w:rPr>
          <w:lang w:val="en-US"/>
        </w:rPr>
        <w:lastRenderedPageBreak/>
        <w:t>rejection should not be treated as equivalent to informed consent</w:t>
      </w:r>
      <w:r w:rsidR="00FB1C64" w:rsidRPr="09A7FC42">
        <w:rPr>
          <w:lang w:val="en-US"/>
        </w:rPr>
        <w:t xml:space="preserve"> </w:t>
      </w:r>
      <w:r w:rsidRPr="09A7FC42">
        <w:rPr>
          <w:lang w:val="en-US"/>
        </w:rPr>
        <w:fldChar w:fldCharType="begin" w:fldLock="1"/>
      </w:r>
      <w:r w:rsidR="00C647C4">
        <w:rPr>
          <w:lang w:val="en-US"/>
        </w:rPr>
        <w:instrText>ADDIN CSL_CITATION {"citationItems":[{"id":"ITEM-1","itemData":{"DOI":"10.1007/s11948-015-9652-2","ISSN":"1471-5546","abstract":"The capacity to collect and analyse data is growing exponentially. Referred to as ‘Big Data’,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‘Big Data Divides’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‘academic’ and ‘commercial’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a…","author":[{"dropping-particle":"","family":"Mittelstadt","given":"Brent Daniel","non-dropping-particle":"","parse-names":false,"suffix":""},{"dropping-particle":"","family":"Floridi","given":"Luciano","non-dropping-particle":"","parse-names":false,"suffix":""}],"container-title":"Science and Engineering Ethics","id":"ITEM-1","issue":"2","issued":{"date-parts":[["2016"]]},"page":"303-341","title":"The Ethics of Big Data: Current and Foreseeable Issues in Biomedical Contexts","type":"article-journal","volume":"22"},"uris":["http://www.mendeley.com/documents/?uuid=6ae69c71-55e4-4566-aee3-7b1e0f3f15fb"]}],"mendeley":{"formattedCitation":"(Mittelstadt &amp; Floridi, 2016)","manualFormatting":"(Mittelstadt &amp; Floridi 2016)","plainTextFormattedCitation":"(Mittelstadt &amp; Floridi, 2016)","previouslyFormattedCitation":"(Mittelstadt &amp; Floridi, 2016)"},"properties":{"noteIndex":0},"schema":"https://github.com/citation-style-language/schema/raw/master/csl-citation.json"}</w:instrText>
      </w:r>
      <w:r w:rsidRPr="09A7FC42">
        <w:rPr>
          <w:lang w:val="en-US"/>
        </w:rPr>
        <w:fldChar w:fldCharType="separate"/>
      </w:r>
      <w:r w:rsidR="00FB1C64" w:rsidRPr="09A7FC42">
        <w:rPr>
          <w:noProof/>
          <w:lang w:val="en-US"/>
        </w:rPr>
        <w:t>(Mittelstadt &amp; Floridi 2016)</w:t>
      </w:r>
      <w:r w:rsidRPr="09A7FC42">
        <w:rPr>
          <w:lang w:val="en-US"/>
        </w:rPr>
        <w:fldChar w:fldCharType="end"/>
      </w:r>
      <w:r w:rsidR="005F52B4" w:rsidRPr="09A7FC42">
        <w:rPr>
          <w:lang w:val="en-US"/>
        </w:rPr>
        <w:t xml:space="preserve">. </w:t>
      </w:r>
      <w:r w:rsidR="17E06ABD" w:rsidRPr="09A7FC42">
        <w:rPr>
          <w:lang w:val="en-US"/>
        </w:rPr>
        <w:t>Therefore</w:t>
      </w:r>
      <w:r w:rsidR="005F52B4" w:rsidRPr="09A7FC42">
        <w:rPr>
          <w:lang w:val="en-US"/>
        </w:rPr>
        <w:t xml:space="preserve">, this is not </w:t>
      </w:r>
      <w:r w:rsidR="00FB1C64" w:rsidRPr="09A7FC42">
        <w:rPr>
          <w:lang w:val="en-US"/>
        </w:rPr>
        <w:t>the preferred option.</w:t>
      </w:r>
      <w:r w:rsidR="005F52B4" w:rsidRPr="09A7FC42">
        <w:rPr>
          <w:lang w:val="en-US"/>
        </w:rPr>
        <w:t xml:space="preserve"> </w:t>
      </w:r>
    </w:p>
    <w:p w14:paraId="62CF0E5F" w14:textId="7D63E5EA" w:rsidR="009F5D9D" w:rsidRPr="006C2264" w:rsidRDefault="0082368E" w:rsidP="009F5D9D">
      <w:pPr>
        <w:pStyle w:val="Heading2"/>
        <w:rPr>
          <w:sz w:val="28"/>
          <w:szCs w:val="28"/>
        </w:rPr>
      </w:pPr>
      <w:r w:rsidRPr="006C2264">
        <w:rPr>
          <w:sz w:val="28"/>
          <w:szCs w:val="28"/>
        </w:rPr>
        <w:t>Ethical briefing statement to staff</w:t>
      </w:r>
    </w:p>
    <w:p w14:paraId="32250522" w14:textId="06807E3C" w:rsidR="0019426F" w:rsidRPr="0019426F" w:rsidRDefault="0019426F">
      <w:r>
        <w:t xml:space="preserve">In carrying out this work, it is important </w:t>
      </w:r>
      <w:r w:rsidR="418EAE5D">
        <w:t xml:space="preserve">that </w:t>
      </w:r>
      <w:r>
        <w:t>you all adhere to the highest ethical standards. Private medical records are one of the most sensitive forms of data and us</w:t>
      </w:r>
      <w:r w:rsidR="1FE57ACE">
        <w:t>ing</w:t>
      </w:r>
      <w:r w:rsidR="035FBE74">
        <w:t xml:space="preserve"> it </w:t>
      </w:r>
      <w:r>
        <w:t>to rank practices has many potential pitfalls.</w:t>
      </w:r>
    </w:p>
    <w:p w14:paraId="2533A995" w14:textId="533EA61E" w:rsidR="00B41891" w:rsidRDefault="3C830A34" w:rsidP="09A7FC42">
      <w:r>
        <w:t>The system proposed would use human data to gain insight into a research problem (efficiency of medical practices) and distribute the findings for implementation. This is the same process research projects take, mean</w:t>
      </w:r>
      <w:r w:rsidR="797FD9E8">
        <w:t>ing</w:t>
      </w:r>
      <w:r>
        <w:t xml:space="preserve"> that </w:t>
      </w:r>
      <w:r w:rsidR="3147B2D4">
        <w:t>t</w:t>
      </w:r>
      <w:r w:rsidR="0077625D">
        <w:t xml:space="preserve">he most relevant code of conduct for this project is the </w:t>
      </w:r>
      <w:r w:rsidR="006E442E">
        <w:t xml:space="preserve">National Health and Medical Research Council’s </w:t>
      </w:r>
      <w:r w:rsidR="006E442E" w:rsidRPr="09A7FC42">
        <w:rPr>
          <w:i/>
          <w:iCs/>
        </w:rPr>
        <w:t>Australian Code for the Responsible Conduct of Research</w:t>
      </w:r>
      <w:r w:rsidR="008D3CC3" w:rsidRPr="09A7FC42">
        <w:rPr>
          <w:i/>
          <w:iCs/>
        </w:rPr>
        <w:t xml:space="preserve"> </w:t>
      </w:r>
      <w:r w:rsidR="008D3CC3">
        <w:t>(</w:t>
      </w:r>
      <w:r w:rsidR="00A51F29">
        <w:t>ACRCR</w:t>
      </w:r>
      <w:r w:rsidR="008D3CC3">
        <w:t>)</w:t>
      </w:r>
      <w:r w:rsidR="006E442E">
        <w:t>.</w:t>
      </w:r>
      <w:r w:rsidR="00C967E0">
        <w:t xml:space="preserve"> </w:t>
      </w:r>
    </w:p>
    <w:p w14:paraId="1282528B" w14:textId="2F4BE050" w:rsidR="00B41891" w:rsidRDefault="00C967E0" w:rsidP="09A7FC42">
      <w:r>
        <w:t xml:space="preserve">This code </w:t>
      </w:r>
      <w:r w:rsidR="00B65298">
        <w:t xml:space="preserve">is intended to </w:t>
      </w:r>
      <w:r w:rsidR="004345FA">
        <w:t xml:space="preserve">guide the ethical conduct of research </w:t>
      </w:r>
      <w:r w:rsidR="00934B4A">
        <w:t>in Australia and c</w:t>
      </w:r>
      <w:r w:rsidR="00324DCE">
        <w:t>overs the values that the research community is expect</w:t>
      </w:r>
      <w:r w:rsidR="1A7EECB9">
        <w:t>ed</w:t>
      </w:r>
      <w:r w:rsidR="00324DCE">
        <w:t xml:space="preserve"> to up</w:t>
      </w:r>
      <w:r w:rsidR="000C5289">
        <w:t xml:space="preserve">hold. </w:t>
      </w:r>
      <w:r w:rsidR="00CA1068">
        <w:t xml:space="preserve">The other key guidance for this project comes from the </w:t>
      </w:r>
      <w:r w:rsidR="00756C4F">
        <w:t>Australian Privacy Principals</w:t>
      </w:r>
      <w:r w:rsidR="00A51F29">
        <w:t xml:space="preserve"> (APP)</w:t>
      </w:r>
      <w:r w:rsidR="004963AE">
        <w:t xml:space="preserve">, which are part of the Privacy Act 1988 and </w:t>
      </w:r>
      <w:r w:rsidR="00250B2A">
        <w:t>govern</w:t>
      </w:r>
      <w:r w:rsidR="00480C66">
        <w:t xml:space="preserve"> the use and storage of personal data</w:t>
      </w:r>
      <w:r w:rsidR="00A02A24">
        <w:t xml:space="preserve"> (</w:t>
      </w:r>
      <w:r w:rsidR="00CD04DE" w:rsidRPr="00CD04DE">
        <w:rPr>
          <w:i/>
          <w:iCs/>
        </w:rPr>
        <w:t>The Australian Privacy Principles</w:t>
      </w:r>
      <w:r w:rsidR="00CD04DE">
        <w:t xml:space="preserve"> 2014</w:t>
      </w:r>
      <w:r w:rsidR="00C647C4">
        <w:t>)</w:t>
      </w:r>
      <w:r w:rsidR="00480C66">
        <w:t>.</w:t>
      </w:r>
    </w:p>
    <w:p w14:paraId="08918BB8" w14:textId="01A6DBE1" w:rsidR="00E5537A" w:rsidRDefault="00E5537A" w:rsidP="006E442E">
      <w:r>
        <w:t xml:space="preserve"> </w:t>
      </w:r>
      <w:r w:rsidR="2166EE94">
        <w:t xml:space="preserve">Every member </w:t>
      </w:r>
      <w:r w:rsidR="619FA6F1">
        <w:t xml:space="preserve">project team </w:t>
      </w:r>
      <w:r w:rsidR="52607FD4">
        <w:t xml:space="preserve">must </w:t>
      </w:r>
      <w:r w:rsidR="6714B041">
        <w:t>therefore</w:t>
      </w:r>
      <w:r>
        <w:t xml:space="preserve"> familiarise themselves with both documents mentioned above</w:t>
      </w:r>
      <w:r w:rsidR="43F69674">
        <w:t xml:space="preserve"> and adhere to</w:t>
      </w:r>
      <w:r w:rsidR="6CDFB450">
        <w:t xml:space="preserve"> </w:t>
      </w:r>
      <w:r w:rsidR="43F69674">
        <w:t>t</w:t>
      </w:r>
      <w:r>
        <w:t xml:space="preserve">hree specific </w:t>
      </w:r>
      <w:r w:rsidR="0070454B">
        <w:t>guidelines</w:t>
      </w:r>
      <w:r w:rsidR="3795A0F6">
        <w:t xml:space="preserve"> </w:t>
      </w:r>
      <w:r w:rsidR="47712868">
        <w:t xml:space="preserve">that </w:t>
      </w:r>
      <w:r w:rsidR="3795A0F6">
        <w:t>have been developed</w:t>
      </w:r>
      <w:r w:rsidR="0070454B">
        <w:t xml:space="preserve"> </w:t>
      </w:r>
      <w:r w:rsidR="00EC2A21">
        <w:t>with</w:t>
      </w:r>
      <w:r w:rsidR="00204854">
        <w:t xml:space="preserve"> reference to these codes and principals</w:t>
      </w:r>
      <w:r w:rsidR="798F2A38">
        <w:t>:</w:t>
      </w:r>
    </w:p>
    <w:p w14:paraId="34703838" w14:textId="318DAFB7" w:rsidR="00480C66" w:rsidRDefault="00350CD8" w:rsidP="00480C66">
      <w:pPr>
        <w:pStyle w:val="ListParagraph"/>
        <w:numPr>
          <w:ilvl w:val="0"/>
          <w:numId w:val="2"/>
        </w:numPr>
      </w:pPr>
      <w:r w:rsidRPr="09A7FC42">
        <w:rPr>
          <w:b/>
          <w:bCs/>
        </w:rPr>
        <w:t xml:space="preserve">All personal data should be treated with the highest respect </w:t>
      </w:r>
      <w:r w:rsidR="00582795" w:rsidRPr="09A7FC42">
        <w:rPr>
          <w:b/>
          <w:bCs/>
        </w:rPr>
        <w:t xml:space="preserve">and </w:t>
      </w:r>
      <w:r w:rsidR="0003748C" w:rsidRPr="09A7FC42">
        <w:rPr>
          <w:b/>
          <w:bCs/>
        </w:rPr>
        <w:t>security</w:t>
      </w:r>
      <w:r w:rsidR="0003748C">
        <w:t>.</w:t>
      </w:r>
      <w:r w:rsidR="00F41719">
        <w:t xml:space="preserve"> </w:t>
      </w:r>
      <w:r w:rsidR="00DB2377">
        <w:t xml:space="preserve">Australian Privacy Principal 11 requires data to be protected from </w:t>
      </w:r>
      <w:r w:rsidR="00F41719">
        <w:t>‘misuse, interference and loss’ as well as ‘unauthorised use, modification or disclosure’</w:t>
      </w:r>
      <w:r w:rsidR="5AF47102">
        <w:t xml:space="preserve"> </w:t>
      </w:r>
      <w:r w:rsidR="00C647C4">
        <w:t>(</w:t>
      </w:r>
      <w:r w:rsidR="00CD04DE" w:rsidRPr="00CD04DE">
        <w:rPr>
          <w:i/>
          <w:iCs/>
        </w:rPr>
        <w:t>The Australian Privacy Principles</w:t>
      </w:r>
      <w:r w:rsidR="00CD04DE">
        <w:t xml:space="preserve"> 2014 </w:t>
      </w:r>
      <w:r w:rsidR="00C647C4">
        <w:t>pp. 14)</w:t>
      </w:r>
      <w:r w:rsidR="00F41719">
        <w:t>.</w:t>
      </w:r>
      <w:r w:rsidR="0003748C">
        <w:t xml:space="preserve"> </w:t>
      </w:r>
      <w:r w:rsidR="004C3D3F">
        <w:t xml:space="preserve"> </w:t>
      </w:r>
      <w:r w:rsidR="008E0D9F">
        <w:t xml:space="preserve">Additionally, the </w:t>
      </w:r>
      <w:r w:rsidR="00683835">
        <w:t xml:space="preserve">ACRCR </w:t>
      </w:r>
      <w:r w:rsidR="771DE011">
        <w:t>requires that</w:t>
      </w:r>
      <w:r w:rsidR="0058089A">
        <w:t xml:space="preserve"> </w:t>
      </w:r>
      <w:r w:rsidR="6CCB9307">
        <w:t xml:space="preserve">research </w:t>
      </w:r>
      <w:r w:rsidR="008968A2">
        <w:t>participants</w:t>
      </w:r>
      <w:r w:rsidR="000E4B49">
        <w:t xml:space="preserve"> </w:t>
      </w:r>
      <w:r w:rsidR="4F3747B9">
        <w:t xml:space="preserve">be treated </w:t>
      </w:r>
      <w:r w:rsidR="000E4B49">
        <w:t>with respect, which</w:t>
      </w:r>
      <w:r w:rsidR="560297BF">
        <w:t xml:space="preserve"> here</w:t>
      </w:r>
      <w:r w:rsidR="5AF6AC1B">
        <w:t xml:space="preserve"> extends to </w:t>
      </w:r>
      <w:r w:rsidR="000E4B49">
        <w:t>patient data</w:t>
      </w:r>
      <w:r>
        <w:fldChar w:fldCharType="begin" w:fldLock="1"/>
      </w:r>
      <w:r w:rsidR="00C647C4">
        <w:instrText>ADDIN CSL_CITATION {"citationItems":[{"id":"ITEM-1","itemData":{"author":[{"dropping-particle":"","family":"Australian Research Council","given":"","non-dropping-particle":"","parse-names":false,"suffix":""},{"dropping-particle":"","family":"Universities Australia","given":"","non-dropping-particle":"","parse-names":false,"suffix":""}],"id":"ITEM-1","issued":{"date-parts":[["2018"]]},"title":"The Australian Code for the Responsible Conduct of Research","type":"report"},"uris":["http://www.mendeley.com/documents/?uuid=16f4fc2d-9094-414f-a991-51764f209919"]}],"mendeley":{"formattedCitation":"(Australian Research Council &amp; Universities Australia, 2018)","manualFormatting":"(Australian Research Council &amp; Universities Australia 2018, pp.2)","plainTextFormattedCitation":"(Australian Research Council &amp; Universities Australia, 2018)","previouslyFormattedCitation":"(Australian Research Council &amp; Universities Australia, 2018)"},"properties":{"noteIndex":0},"schema":"https://github.com/citation-style-language/schema/raw/master/csl-citation.json"}</w:instrText>
      </w:r>
      <w:r>
        <w:fldChar w:fldCharType="separate"/>
      </w:r>
      <w:r w:rsidR="00CD04DE" w:rsidRPr="00CD04DE">
        <w:t xml:space="preserve"> </w:t>
      </w:r>
      <w:r w:rsidR="00CD04DE">
        <w:t>(</w:t>
      </w:r>
      <w:r w:rsidR="00CD04DE" w:rsidRPr="00CD04DE">
        <w:t>National Health and Medical Research Council</w:t>
      </w:r>
      <w:r w:rsidR="000E4B49" w:rsidRPr="09A7FC42">
        <w:rPr>
          <w:noProof/>
        </w:rPr>
        <w:t xml:space="preserve"> 2018, pp.</w:t>
      </w:r>
      <w:r w:rsidR="008968A2" w:rsidRPr="09A7FC42">
        <w:rPr>
          <w:noProof/>
        </w:rPr>
        <w:t>2</w:t>
      </w:r>
      <w:r w:rsidR="000E4B49" w:rsidRPr="09A7FC42">
        <w:rPr>
          <w:noProof/>
        </w:rPr>
        <w:t>)</w:t>
      </w:r>
      <w:r>
        <w:fldChar w:fldCharType="end"/>
      </w:r>
      <w:r w:rsidR="000E4B49">
        <w:t>.</w:t>
      </w:r>
    </w:p>
    <w:p w14:paraId="76B76754" w14:textId="61BF07C4" w:rsidR="00480C66" w:rsidRDefault="00324DFC" w:rsidP="00480C66">
      <w:pPr>
        <w:pStyle w:val="ListParagraph"/>
        <w:numPr>
          <w:ilvl w:val="0"/>
          <w:numId w:val="2"/>
        </w:numPr>
      </w:pPr>
      <w:r w:rsidRPr="09A7FC42">
        <w:rPr>
          <w:b/>
          <w:bCs/>
        </w:rPr>
        <w:t>A</w:t>
      </w:r>
      <w:r w:rsidR="00EE7219" w:rsidRPr="09A7FC42">
        <w:rPr>
          <w:b/>
          <w:bCs/>
        </w:rPr>
        <w:t>nalys</w:t>
      </w:r>
      <w:r w:rsidR="77AF8D16" w:rsidRPr="09A7FC42">
        <w:rPr>
          <w:b/>
          <w:bCs/>
        </w:rPr>
        <w:t>e</w:t>
      </w:r>
      <w:r w:rsidR="00EE7219" w:rsidRPr="09A7FC42">
        <w:rPr>
          <w:b/>
          <w:bCs/>
        </w:rPr>
        <w:t>s</w:t>
      </w:r>
      <w:r w:rsidR="008E0D9F" w:rsidRPr="09A7FC42">
        <w:rPr>
          <w:b/>
          <w:bCs/>
        </w:rPr>
        <w:t xml:space="preserve"> should be robust and rigorous, particularly</w:t>
      </w:r>
      <w:r w:rsidR="00EE7219" w:rsidRPr="09A7FC42">
        <w:rPr>
          <w:b/>
          <w:bCs/>
        </w:rPr>
        <w:t xml:space="preserve"> those </w:t>
      </w:r>
      <w:r w:rsidR="3C3F4B82" w:rsidRPr="09A7FC42">
        <w:rPr>
          <w:b/>
          <w:bCs/>
        </w:rPr>
        <w:t xml:space="preserve">that </w:t>
      </w:r>
      <w:r w:rsidR="00EE7219" w:rsidRPr="09A7FC42">
        <w:rPr>
          <w:b/>
          <w:bCs/>
        </w:rPr>
        <w:t xml:space="preserve">will be used to make recommendations or </w:t>
      </w:r>
      <w:r w:rsidR="00A52679" w:rsidRPr="09A7FC42">
        <w:rPr>
          <w:b/>
          <w:bCs/>
        </w:rPr>
        <w:t>guide</w:t>
      </w:r>
      <w:r w:rsidR="00EE7219" w:rsidRPr="09A7FC42">
        <w:rPr>
          <w:b/>
          <w:bCs/>
        </w:rPr>
        <w:t xml:space="preserve"> decisions</w:t>
      </w:r>
      <w:r w:rsidR="008E0D9F" w:rsidRPr="09A7FC42">
        <w:rPr>
          <w:b/>
          <w:bCs/>
        </w:rPr>
        <w:t>.</w:t>
      </w:r>
      <w:r w:rsidR="00A52679" w:rsidRPr="09A7FC42">
        <w:rPr>
          <w:b/>
          <w:bCs/>
        </w:rPr>
        <w:t xml:space="preserve"> This includes actively seeking out bias in the data or analytical techniques.</w:t>
      </w:r>
      <w:r w:rsidR="00DF2E5F" w:rsidRPr="09A7FC42">
        <w:rPr>
          <w:b/>
          <w:bCs/>
        </w:rPr>
        <w:t xml:space="preserve"> </w:t>
      </w:r>
      <w:r w:rsidR="3C526391" w:rsidRPr="09A7FC42">
        <w:rPr>
          <w:b/>
          <w:bCs/>
        </w:rPr>
        <w:t xml:space="preserve"> </w:t>
      </w:r>
      <w:r w:rsidR="00BB286D">
        <w:t>ACRCR</w:t>
      </w:r>
      <w:r w:rsidR="0DE79CD4">
        <w:t xml:space="preserve"> principle </w:t>
      </w:r>
      <w:r w:rsidR="006C2264">
        <w:t>2</w:t>
      </w:r>
      <w:r w:rsidR="57323E2E">
        <w:t xml:space="preserve"> </w:t>
      </w:r>
      <w:r w:rsidR="4B94A756">
        <w:t xml:space="preserve">requires that </w:t>
      </w:r>
      <w:r w:rsidR="30BD0B04">
        <w:t xml:space="preserve">all </w:t>
      </w:r>
      <w:r w:rsidR="4B94A756">
        <w:t>bias</w:t>
      </w:r>
      <w:r w:rsidR="2E1CB9FC">
        <w:t>es</w:t>
      </w:r>
      <w:r w:rsidR="4B94A756">
        <w:t xml:space="preserve"> be avoided or</w:t>
      </w:r>
      <w:r w:rsidR="45765FC9">
        <w:t>, if unavoidable, be</w:t>
      </w:r>
      <w:r w:rsidR="4B94A756">
        <w:t xml:space="preserve"> acknowledged</w:t>
      </w:r>
      <w:r w:rsidR="00CA08FC">
        <w:t xml:space="preserve"> </w:t>
      </w:r>
      <w:r>
        <w:fldChar w:fldCharType="begin" w:fldLock="1"/>
      </w:r>
      <w:r w:rsidR="00CD04DE">
        <w:instrText>ADDIN CSL_CITATION {"citationItems":[{"id":"ITEM-1","itemData":{"author":[{"dropping-particle":"","family":"Australian Research Council","given":"","non-dropping-particle":"","parse-names":false,"suffix":""},{"dropping-particle":"","family":"Universities Australia","given":"","non-dropping-particle":"","parse-names":false,"suffix":""}],"id":"ITEM-1","issued":{"date-parts":[["2018"]]},"title":"The Australian Code for the Responsible Conduct of Research","type":"report"},"uris":["http://www.mendeley.com/documents/?uuid=16f4fc2d-9094-414f-a991-51764f209919"]}],"mendeley":{"formattedCitation":"(Australian Research Council &amp; Universities Australia, 2018)","manualFormatting":"(National Health and Medical Research Council  2018, pp.2)","plainTextFormattedCitation":"(Australian Research Council &amp; Universities Australia, 2018)","previouslyFormattedCitation":"(Australian Research Council &amp; Universities Australia, 2018)"},"properties":{"noteIndex":0},"schema":"https://github.com/citation-style-language/schema/raw/master/csl-citation.json"}</w:instrText>
      </w:r>
      <w:r>
        <w:fldChar w:fldCharType="separate"/>
      </w:r>
      <w:r w:rsidR="00CA08FC" w:rsidRPr="09A7FC42">
        <w:rPr>
          <w:noProof/>
        </w:rPr>
        <w:t>(</w:t>
      </w:r>
      <w:r w:rsidR="00CD04DE" w:rsidRPr="00CD04DE">
        <w:t>National Health and Medical Research Council</w:t>
      </w:r>
      <w:r w:rsidR="00CD04DE">
        <w:t xml:space="preserve">  </w:t>
      </w:r>
      <w:r w:rsidR="00CA08FC" w:rsidRPr="09A7FC42">
        <w:rPr>
          <w:noProof/>
        </w:rPr>
        <w:t>2018, pp.2)</w:t>
      </w:r>
      <w:r>
        <w:fldChar w:fldCharType="end"/>
      </w:r>
      <w:r w:rsidR="00CA08FC">
        <w:t>.</w:t>
      </w:r>
      <w:r w:rsidR="4A812A2D">
        <w:t xml:space="preserve"> </w:t>
      </w:r>
      <w:r w:rsidR="006C2264">
        <w:t>If biases are discovered, steps should be taken to resolved them within the project, and in the case where this is not possible, the relevant bias should be clearly identified in published material alongside data.</w:t>
      </w:r>
    </w:p>
    <w:p w14:paraId="75FF602D" w14:textId="0B8EBD2D" w:rsidR="00480C66" w:rsidRDefault="03D14493" w:rsidP="00480C66">
      <w:pPr>
        <w:pStyle w:val="ListParagraph"/>
        <w:numPr>
          <w:ilvl w:val="0"/>
          <w:numId w:val="2"/>
        </w:numPr>
      </w:pPr>
      <w:r w:rsidRPr="09A7FC42">
        <w:rPr>
          <w:b/>
          <w:bCs/>
        </w:rPr>
        <w:t xml:space="preserve"> All </w:t>
      </w:r>
      <w:r w:rsidR="008E0D9F" w:rsidRPr="09A7FC42">
        <w:rPr>
          <w:b/>
          <w:bCs/>
        </w:rPr>
        <w:t>consequences</w:t>
      </w:r>
      <w:r w:rsidR="00694EFF" w:rsidRPr="09A7FC42">
        <w:rPr>
          <w:b/>
          <w:bCs/>
        </w:rPr>
        <w:t xml:space="preserve"> </w:t>
      </w:r>
      <w:r w:rsidR="3A22DBCC" w:rsidRPr="09A7FC42">
        <w:rPr>
          <w:b/>
          <w:bCs/>
        </w:rPr>
        <w:t>should be considered prior to releasing this work,</w:t>
      </w:r>
      <w:r w:rsidR="00843C5A" w:rsidRPr="09A7FC42">
        <w:rPr>
          <w:b/>
          <w:bCs/>
        </w:rPr>
        <w:t xml:space="preserve"> including possible misuse</w:t>
      </w:r>
      <w:r w:rsidR="008E0D9F" w:rsidRPr="09A7FC42">
        <w:rPr>
          <w:b/>
          <w:bCs/>
        </w:rPr>
        <w:t>.</w:t>
      </w:r>
      <w:r w:rsidR="00843C5A">
        <w:t xml:space="preserve"> </w:t>
      </w:r>
      <w:r w:rsidR="00C21930">
        <w:t xml:space="preserve">Research work does not take </w:t>
      </w:r>
      <w:r w:rsidR="0050583C">
        <w:t>place</w:t>
      </w:r>
      <w:r w:rsidR="00C21930">
        <w:t xml:space="preserve"> </w:t>
      </w:r>
      <w:r w:rsidR="0050583C">
        <w:t>i</w:t>
      </w:r>
      <w:r w:rsidR="00C21930">
        <w:t xml:space="preserve">n a </w:t>
      </w:r>
      <w:r w:rsidR="0050583C">
        <w:t>vacuum</w:t>
      </w:r>
      <w:r w:rsidR="00C21930">
        <w:t xml:space="preserve">, </w:t>
      </w:r>
      <w:r w:rsidR="0050583C">
        <w:t xml:space="preserve">and </w:t>
      </w:r>
      <w:r w:rsidR="2B2C7672">
        <w:t>we have an</w:t>
      </w:r>
      <w:r w:rsidR="00C21930">
        <w:t xml:space="preserve"> ethical responsibility </w:t>
      </w:r>
      <w:r w:rsidR="0050583C">
        <w:t>to think carefully about</w:t>
      </w:r>
      <w:r w:rsidR="34642E47">
        <w:t xml:space="preserve"> both</w:t>
      </w:r>
      <w:r w:rsidR="009401F0">
        <w:t xml:space="preserve"> the use and possible misuse of all data and results before distribution </w:t>
      </w:r>
      <w:r w:rsidR="00694EFF">
        <w:fldChar w:fldCharType="begin" w:fldLock="1"/>
      </w:r>
      <w:r w:rsidR="00CD04DE">
        <w:instrText>ADDIN CSL_CITATION {"citationItems":[{"id":"ITEM-1","itemData":{"author":[{"dropping-particle":"","family":"Australian Research Council","given":"","non-dropping-particle":"","parse-names":false,"suffix":""},{"dropping-particle":"","family":"Universities Australia","given":"","non-dropping-particle":"","parse-names":false,"suffix":""}],"id":"ITEM-1","issued":{"date-parts":[["2018"]]},"title":"The Australian Code for the Responsible Conduct of Research","type":"report"},"uris":["http://www.mendeley.com/documents/?uuid=16f4fc2d-9094-414f-a991-51764f209919"]}],"mendeley":{"formattedCitation":"(Australian Research Council &amp; Universities Australia, 2018)","manualFormatting":"(National Health and Medical Research Council 2018, pp.2)","plainTextFormattedCitation":"(Australian Research Council &amp; Universities Australia, 2018)","previouslyFormattedCitation":"(Australian Research Council &amp; Universities Australia, 2018)"},"properties":{"noteIndex":0},"schema":"https://github.com/citation-style-language/schema/raw/master/csl-citation.json"}</w:instrText>
      </w:r>
      <w:r w:rsidR="00694EFF">
        <w:fldChar w:fldCharType="separate"/>
      </w:r>
      <w:r w:rsidR="009401F0" w:rsidRPr="09A7FC42">
        <w:rPr>
          <w:noProof/>
        </w:rPr>
        <w:t>(</w:t>
      </w:r>
      <w:r w:rsidR="00CD04DE" w:rsidRPr="00CD04DE">
        <w:t>National Health and Medical Research Council</w:t>
      </w:r>
      <w:r w:rsidR="009401F0" w:rsidRPr="09A7FC42">
        <w:rPr>
          <w:noProof/>
        </w:rPr>
        <w:t xml:space="preserve"> 2018, pp.2)</w:t>
      </w:r>
      <w:r w:rsidR="00694EFF">
        <w:fldChar w:fldCharType="end"/>
      </w:r>
      <w:r w:rsidR="009401F0">
        <w:t>.</w:t>
      </w:r>
    </w:p>
    <w:p w14:paraId="21CD1D60" w14:textId="34F6AAB3" w:rsidR="0019426F" w:rsidRDefault="001228AE" w:rsidP="00480C66">
      <w:r>
        <w:t xml:space="preserve"> </w:t>
      </w:r>
    </w:p>
    <w:p w14:paraId="308F905B" w14:textId="57ABD592" w:rsidR="009F5D9D" w:rsidRPr="006C2264" w:rsidRDefault="009F5D9D" w:rsidP="006C2264">
      <w:pPr>
        <w:pStyle w:val="Heading2"/>
        <w:pageBreakBefore/>
        <w:rPr>
          <w:sz w:val="28"/>
          <w:szCs w:val="28"/>
        </w:rPr>
      </w:pPr>
      <w:r w:rsidRPr="006C2264">
        <w:rPr>
          <w:sz w:val="28"/>
          <w:szCs w:val="28"/>
        </w:rPr>
        <w:lastRenderedPageBreak/>
        <w:t xml:space="preserve">Standards for </w:t>
      </w:r>
      <w:r w:rsidR="00EB304F" w:rsidRPr="006C2264">
        <w:rPr>
          <w:sz w:val="28"/>
          <w:szCs w:val="28"/>
        </w:rPr>
        <w:t>medical records</w:t>
      </w:r>
    </w:p>
    <w:p w14:paraId="7D834545" w14:textId="794E0381" w:rsidR="006A5383" w:rsidRDefault="00372D3B">
      <w:r>
        <w:t>The Australian code of conduct for doctors outline</w:t>
      </w:r>
      <w:r w:rsidR="00EC2A21">
        <w:t>s</w:t>
      </w:r>
      <w:r>
        <w:t xml:space="preserve"> rules around the keeping of medical records; that they should be </w:t>
      </w:r>
      <w:r w:rsidR="00C3746B">
        <w:t>‘held securely’ and not ‘subject to unauthorised access’</w:t>
      </w:r>
      <w:r w:rsidR="00A02A24">
        <w:t xml:space="preserve"> (Medical Board of Australia 2014)</w:t>
      </w:r>
      <w:r w:rsidR="00C3746B">
        <w:t xml:space="preserve">. </w:t>
      </w:r>
      <w:r w:rsidR="007B479A">
        <w:t>Anyone handling these records should uphold this same ethical standard, meaning all necessary steps are taken to safeguard the</w:t>
      </w:r>
      <w:r w:rsidR="39425777">
        <w:t>se</w:t>
      </w:r>
      <w:r w:rsidR="007B479A">
        <w:t xml:space="preserve"> records</w:t>
      </w:r>
      <w:r w:rsidR="007C21BD">
        <w:t xml:space="preserve">. </w:t>
      </w:r>
    </w:p>
    <w:p w14:paraId="1BC1648C" w14:textId="059D8E24" w:rsidR="006A5383" w:rsidRDefault="001B4C36" w:rsidP="09A7FC42">
      <w:r>
        <w:t xml:space="preserve">Principle 8 of the APP specifically addresses the </w:t>
      </w:r>
      <w:r w:rsidR="00503AE5">
        <w:t xml:space="preserve">offshoring of </w:t>
      </w:r>
      <w:r w:rsidR="006C2264">
        <w:t>data and</w:t>
      </w:r>
      <w:r w:rsidR="73820F13">
        <w:t xml:space="preserve"> requires that </w:t>
      </w:r>
      <w:r w:rsidR="008A5607">
        <w:t xml:space="preserve">those </w:t>
      </w:r>
      <w:r w:rsidR="73AFC3D5">
        <w:t xml:space="preserve">who </w:t>
      </w:r>
      <w:r w:rsidR="006C2264">
        <w:t>store</w:t>
      </w:r>
      <w:r w:rsidR="008A5607">
        <w:t xml:space="preserve"> data outside the country ensure </w:t>
      </w:r>
      <w:r w:rsidR="00946068">
        <w:t>any outside entity comp</w:t>
      </w:r>
      <w:r w:rsidR="645D41A3">
        <w:t>li</w:t>
      </w:r>
      <w:r w:rsidR="00946068">
        <w:t xml:space="preserve">es with the principles. More generally, this establishes an ethical </w:t>
      </w:r>
      <w:r w:rsidR="007621FB">
        <w:t>precedent</w:t>
      </w:r>
      <w:r w:rsidR="00946068">
        <w:t xml:space="preserve"> in which </w:t>
      </w:r>
      <w:r w:rsidR="7A9AC468">
        <w:t xml:space="preserve">the </w:t>
      </w:r>
      <w:r w:rsidR="005202E8">
        <w:t xml:space="preserve">keeping of records outside </w:t>
      </w:r>
      <w:r w:rsidR="32370945">
        <w:t xml:space="preserve">a </w:t>
      </w:r>
      <w:r w:rsidR="005202E8">
        <w:t xml:space="preserve">company, including in offshore locations, should not take place without establishing that the receiving </w:t>
      </w:r>
      <w:r w:rsidR="007621FB">
        <w:t>entity</w:t>
      </w:r>
      <w:r w:rsidR="005202E8">
        <w:t xml:space="preserve"> will </w:t>
      </w:r>
      <w:r w:rsidR="007621FB">
        <w:t>comply</w:t>
      </w:r>
      <w:r w:rsidR="005202E8">
        <w:t xml:space="preserve"> with </w:t>
      </w:r>
      <w:r w:rsidR="007621FB">
        <w:t>the same guidelines as the company itself.</w:t>
      </w:r>
    </w:p>
    <w:p w14:paraId="18A8F57A" w14:textId="530B3D30" w:rsidR="00B41891" w:rsidRPr="00B41891" w:rsidRDefault="21DEFCFC">
      <w:r>
        <w:t xml:space="preserve">Storing data internationally should be given special consideration in an ethical context, </w:t>
      </w:r>
      <w:r w:rsidR="1922E46B">
        <w:t xml:space="preserve">as </w:t>
      </w:r>
      <w:r w:rsidR="008B00E9">
        <w:t xml:space="preserve">issues that can </w:t>
      </w:r>
      <w:r w:rsidR="008A085E">
        <w:t>arise</w:t>
      </w:r>
      <w:r w:rsidR="008B00E9">
        <w:t xml:space="preserve"> from differing</w:t>
      </w:r>
      <w:r w:rsidR="006B0C53">
        <w:t xml:space="preserve"> cultural ethical perspectives</w:t>
      </w:r>
      <w:r w:rsidR="008A085E">
        <w:t xml:space="preserve"> </w:t>
      </w:r>
      <w:r w:rsidR="008B00E9">
        <w:fldChar w:fldCharType="begin" w:fldLock="1"/>
      </w:r>
      <w:r w:rsidR="00A02A24">
        <w:instrText>ADDIN CSL_CITATION {"citationItems":[{"id":"ITEM-1","itemData":{"DOI":"10.1007/BF00877152","ISSN":"1573-0697","abstract":"In this article, seven strategies for dealing with cross-cultural ethical conflict are described. Conflict situations are classified on the basis of centrality and consensus on the values involved, influence of the decision maker, and urgency. A contingency model suggests appropriate strategies for different situations. The model is applied to representative cases of cross-cultural ethical conflict.","author":[{"dropping-particle":"","family":"Kohls","given":"John","non-dropping-particle":"","parse-names":false,"suffix":""},{"dropping-particle":"","family":"Buller","given":"Paul","non-dropping-particle":"","parse-names":false,"suffix":""}],"container-title":"Journal of Business Ethics","id":"ITEM-1","issue":"1","issued":{"date-parts":[["1994"]]},"page":"31-38","title":"Resolving cross-cultural ethical conflict: Exploring alternative strategies","type":"article-journal","volume":"13"},"uris":["http://www.mendeley.com/documents/?uuid=f30218d3-12cd-4a23-837a-845ff37f967f"]}],"mendeley":{"formattedCitation":"(Kohls &amp; Buller, 1994)","manualFormatting":"(Kohls &amp; Buller 1994)","plainTextFormattedCitation":"(Kohls &amp; Buller, 1994)","previouslyFormattedCitation":"(Kohls &amp; Buller, 1994)"},"properties":{"noteIndex":0},"schema":"https://github.com/citation-style-language/schema/raw/master/csl-citation.json"}</w:instrText>
      </w:r>
      <w:r w:rsidR="008B00E9">
        <w:fldChar w:fldCharType="separate"/>
      </w:r>
      <w:r w:rsidR="002F03AB" w:rsidRPr="09A7FC42">
        <w:rPr>
          <w:noProof/>
        </w:rPr>
        <w:t>(Kohls &amp; Buller 1994)</w:t>
      </w:r>
      <w:r w:rsidR="008B00E9">
        <w:fldChar w:fldCharType="end"/>
      </w:r>
      <w:r w:rsidR="00B25BAE">
        <w:t xml:space="preserve">. </w:t>
      </w:r>
      <w:r w:rsidR="00B37A96">
        <w:t>There are also legal issues present, with different statu</w:t>
      </w:r>
      <w:r w:rsidR="4A7C4F17">
        <w:t>t</w:t>
      </w:r>
      <w:r w:rsidR="00B37A96">
        <w:t xml:space="preserve">es applying </w:t>
      </w:r>
      <w:r w:rsidR="6454B82C">
        <w:t>in different</w:t>
      </w:r>
      <w:r w:rsidR="00B37A96">
        <w:t xml:space="preserve"> countries. </w:t>
      </w:r>
      <w:r w:rsidR="3786B993">
        <w:t xml:space="preserve">International </w:t>
      </w:r>
      <w:r w:rsidR="594CE66E">
        <w:t xml:space="preserve">organisations </w:t>
      </w:r>
      <w:r w:rsidR="3786B993">
        <w:t xml:space="preserve">should be provided with </w:t>
      </w:r>
      <w:r w:rsidR="511AC5FA">
        <w:t>c</w:t>
      </w:r>
      <w:r w:rsidR="007D739D">
        <w:t>lear guidelines for the treatment of records</w:t>
      </w:r>
      <w:r w:rsidR="004F29AE">
        <w:t>, preferably in the form of a direct contract.</w:t>
      </w:r>
    </w:p>
    <w:p w14:paraId="39A47647" w14:textId="13AA1D6C" w:rsidR="00D07D1F" w:rsidRPr="00EB304F" w:rsidRDefault="00B41891" w:rsidP="00B41891">
      <w:pPr>
        <w:pStyle w:val="Heading2"/>
      </w:pPr>
      <w:r>
        <w:t>Unintended use of analysis</w:t>
      </w:r>
    </w:p>
    <w:p w14:paraId="2AD47DF1" w14:textId="6C1B14E9" w:rsidR="006C2264" w:rsidRDefault="006C2264" w:rsidP="006C2264">
      <w:r>
        <w:t xml:space="preserve">Human factors (and ergonomics) is the study of human interaction with objects and systems </w:t>
      </w:r>
      <w:r>
        <w:fldChar w:fldCharType="begin" w:fldLock="1"/>
      </w:r>
      <w:r w:rsidR="00A02A24">
        <w:instrText>ADDIN CSL_CITATION {"citationItems":[{"id":"ITEM-1","itemData":{"abstract":"Summary This chapter contains sections titled: Introduction Human–System Interactions HFE and Ecological Compatibility Distinguishing Features of Contemporary HFE Discipline and Profession Paradigms for Ergonomics Discipline Ergonomics Competency and Literacy Ergonomics Design Theoretical Ergonomics: Symvatology Congruence between Management and Ergonomics Human-Centered Design of Service Systems Human–Systems Integration Committee on Human–Systems Integration of the National Research Council The International Ergonomics Association (WW.IEA.CC) Future HFE Challenges References","author":[{"dropping-particle":"","family":"Karwowski","given":"Waldemar","non-dropping-particle":"","parse-names":false,"suffix":""}],"chapter-number":"1","container-title":"Handbook of Human Factors and Ergonomics","id":"ITEM-1","issued":{"date-parts":[["2012"]]},"page":"1-37","publisher":"John Wiley &amp; Sons, Ltd","title":"The Discipline of Human Factors and Ergonomics","type":"chapter"},"uris":["http://www.mendeley.com/documents/?uuid=9d17612f-5ca8-3690-a4e9-79f95e41cfa8"]}],"mendeley":{"formattedCitation":"(Karwowski, 2012)","manualFormatting":"(Karwowski 2012)","plainTextFormattedCitation":"(Karwowski, 2012)","previouslyFormattedCitation":"(Karwowski, 2012)"},"properties":{"noteIndex":0},"schema":"https://github.com/citation-style-language/schema/raw/master/csl-citation.json"}</w:instrText>
      </w:r>
      <w:r>
        <w:fldChar w:fldCharType="separate"/>
      </w:r>
      <w:r w:rsidRPr="09A7FC42">
        <w:rPr>
          <w:noProof/>
        </w:rPr>
        <w:t>(Karwowski 2012)</w:t>
      </w:r>
      <w:r>
        <w:fldChar w:fldCharType="end"/>
      </w:r>
      <w:r>
        <w:t>. There is no way to prescribe the way humans will use a system, even if guidance is offered. Therefore, it’s important to consider the misuses that are possible from any analysis or system that is produced.</w:t>
      </w:r>
      <w:r w:rsidRPr="006C2264">
        <w:t xml:space="preserve"> </w:t>
      </w:r>
      <w:r>
        <w:t>Distributing a ranking of essential service providers has already taken place, and this presents a good opportunity to learn what human factors have become an issue.</w:t>
      </w:r>
    </w:p>
    <w:p w14:paraId="552FCE38" w14:textId="2ED783E6" w:rsidR="00FD0DD5" w:rsidRPr="006C2264" w:rsidRDefault="00C4782A">
      <w:pPr>
        <w:rPr>
          <w:i/>
          <w:iCs/>
        </w:rPr>
      </w:pPr>
      <w:r>
        <w:t xml:space="preserve">In </w:t>
      </w:r>
      <w:r w:rsidR="00A12A9C">
        <w:t>2010</w:t>
      </w:r>
      <w:r>
        <w:t xml:space="preserve">, the Australian Government introduced a website designed to provide comprehensive information </w:t>
      </w:r>
      <w:r w:rsidR="00EF4B81">
        <w:t>to help</w:t>
      </w:r>
      <w:r>
        <w:t xml:space="preserve"> parents make decisions about their child’s schooling</w:t>
      </w:r>
      <w:r w:rsidR="007708D7">
        <w:t xml:space="preserve"> </w:t>
      </w:r>
      <w:r w:rsidR="005B2F45" w:rsidRPr="00A02A24">
        <w:fldChar w:fldCharType="begin" w:fldLock="1"/>
      </w:r>
      <w:r w:rsidR="00C647C4">
        <w:instrText>ADDIN CSL_CITATION {"citationItems":[{"id":"ITEM-1","itemData":{"URL":"https://www.myschool.edu.au/","accessed":{"date-parts":[["2020","6","20"]]},"id":"ITEM-1","issued":{"date-parts":[["0"]]},"title":"Home | My School","type":"webpage"},"uris":["http://www.mendeley.com/documents/?uuid=492df7fa-72c3-3844-8d23-6aa97f441080"]}],"mendeley":{"formattedCitation":"(&lt;i&gt;Home | My School&lt;/i&gt;, no date)","manualFormatting":"(Australian Curriculum, Assessment and Reporting Authority 2020)","plainTextFormattedCitation":"(Home | My School, no date)","previouslyFormattedCitation":"(&lt;i&gt;Home | My School&lt;/i&gt;, no date)"},"properties":{"noteIndex":0},"schema":"https://github.com/citation-style-language/schema/raw/master/csl-citation.json"}</w:instrText>
      </w:r>
      <w:r w:rsidR="005B2F45" w:rsidRPr="00A02A24">
        <w:fldChar w:fldCharType="separate"/>
      </w:r>
      <w:r w:rsidR="00A02A24" w:rsidRPr="00A02A24">
        <w:rPr>
          <w:noProof/>
        </w:rPr>
        <w:t>(Australian Curriculum, Assessment and Reporting Authority</w:t>
      </w:r>
      <w:r w:rsidR="00F46AC3" w:rsidRPr="00A02A24">
        <w:rPr>
          <w:noProof/>
        </w:rPr>
        <w:t xml:space="preserve"> </w:t>
      </w:r>
      <w:r w:rsidR="00A02A24" w:rsidRPr="00A02A24">
        <w:rPr>
          <w:noProof/>
        </w:rPr>
        <w:t>2020</w:t>
      </w:r>
      <w:r w:rsidR="00F46AC3" w:rsidRPr="00A02A24">
        <w:rPr>
          <w:noProof/>
        </w:rPr>
        <w:t>)</w:t>
      </w:r>
      <w:r w:rsidR="005B2F45" w:rsidRPr="00A02A24">
        <w:fldChar w:fldCharType="end"/>
      </w:r>
      <w:r w:rsidRPr="00A02A24">
        <w:t xml:space="preserve">. </w:t>
      </w:r>
      <w:r w:rsidR="00EF4B81" w:rsidRPr="00A02A24">
        <w:t>The primary measure on this w</w:t>
      </w:r>
      <w:r w:rsidR="00EF4B81">
        <w:t xml:space="preserve">ebsite is a school’s performance in the National Assessment Program – Literacy and Numeracy (NAPLAN).  </w:t>
      </w:r>
      <w:r w:rsidR="00D324FE">
        <w:t xml:space="preserve">Schools are not directly ranked, but the information present on </w:t>
      </w:r>
      <w:proofErr w:type="spellStart"/>
      <w:r w:rsidR="00D324FE">
        <w:t>MySchool</w:t>
      </w:r>
      <w:proofErr w:type="spellEnd"/>
      <w:r w:rsidR="00D324FE">
        <w:t xml:space="preserve"> makes </w:t>
      </w:r>
      <w:r w:rsidR="00152D71">
        <w:t xml:space="preserve">this </w:t>
      </w:r>
      <w:r w:rsidR="009E411E">
        <w:t>possible</w:t>
      </w:r>
      <w:r w:rsidR="007973CC">
        <w:t xml:space="preserve">, and media outlets have created </w:t>
      </w:r>
      <w:r w:rsidR="00FD0DD5">
        <w:t>and distributed rankings</w:t>
      </w:r>
      <w:r w:rsidR="009E555C">
        <w:t xml:space="preserve"> </w:t>
      </w:r>
      <w:r w:rsidR="005B2F45">
        <w:fldChar w:fldCharType="begin" w:fldLock="1"/>
      </w:r>
      <w:r w:rsidR="00C647C4">
        <w:instrText>ADDIN CSL_CITATION {"citationItems":[{"id":"ITEM-1","itemData":{"DOI":"10.1080/01596306.2012.698860","ISSN":"0159-6306","author":[{"dropping-particle":"","family":"Mockler","given":"Nicole","non-dropping-particle":"","parse-names":false,"suffix":""}],"container-title":"Discourse: Studies in the Cultural Politics of Education","id":"ITEM-1","issue":"1","issued":{"date-parts":[["2013","2","1"]]},"note":"doi: 10.1080/01596306.2012.698860","page":"1-16","publisher":"Routledge","title":"Reporting the ‘education revolution’: MySchool.edu.au in the print media","type":"article-journal","volume":"34"},"uris":["http://www.mendeley.com/documents/?uuid=cce76388-b3ec-4b5b-a648-b73330c3bdbd"]}],"mendeley":{"formattedCitation":"(Mockler, 2013)","manualFormatting":"(Mockler 2013)","plainTextFormattedCitation":"(Mockler, 2013)","previouslyFormattedCitation":"(Mockler, 2013)"},"properties":{"noteIndex":0},"schema":"https://github.com/citation-style-language/schema/raw/master/csl-citation.json"}</w:instrText>
      </w:r>
      <w:r w:rsidR="005B2F45">
        <w:fldChar w:fldCharType="separate"/>
      </w:r>
      <w:r w:rsidR="009E555C" w:rsidRPr="09A7FC42">
        <w:rPr>
          <w:noProof/>
        </w:rPr>
        <w:t>(Mockler 2013)</w:t>
      </w:r>
      <w:r w:rsidR="005B2F45">
        <w:fldChar w:fldCharType="end"/>
      </w:r>
      <w:r w:rsidR="00152D71">
        <w:t>.</w:t>
      </w:r>
      <w:r w:rsidR="00D238B8">
        <w:t xml:space="preserve"> </w:t>
      </w:r>
    </w:p>
    <w:p w14:paraId="25A64CA3" w14:textId="6BB9E0F5" w:rsidR="00FD0DD5" w:rsidRDefault="00FD0DD5">
      <w:r>
        <w:t xml:space="preserve">Many submissions </w:t>
      </w:r>
      <w:r w:rsidR="006C2264">
        <w:t xml:space="preserve">to a review of </w:t>
      </w:r>
      <w:proofErr w:type="spellStart"/>
      <w:r w:rsidR="006C2264">
        <w:t>MySchool</w:t>
      </w:r>
      <w:proofErr w:type="spellEnd"/>
      <w:r w:rsidR="006C2264">
        <w:t xml:space="preserve"> and NAPLAN </w:t>
      </w:r>
      <w:r>
        <w:t xml:space="preserve">reported that </w:t>
      </w:r>
      <w:r w:rsidR="007A1F24">
        <w:t xml:space="preserve">the rankings lead to </w:t>
      </w:r>
      <w:r w:rsidR="000743AA">
        <w:t xml:space="preserve">schools and teachers </w:t>
      </w:r>
      <w:r w:rsidR="007B545E">
        <w:t>focusing</w:t>
      </w:r>
      <w:r w:rsidR="000743AA">
        <w:t xml:space="preserve"> on teaching material on the NAPLAN tests</w:t>
      </w:r>
      <w:r w:rsidR="528AA9E6">
        <w:t xml:space="preserve"> rather than the curriculum itself</w:t>
      </w:r>
      <w:r w:rsidR="00F3027E">
        <w:t xml:space="preserve">, manipulating student data to attempt to get better </w:t>
      </w:r>
      <w:r w:rsidR="007B545E">
        <w:t>results</w:t>
      </w:r>
      <w:r w:rsidR="00F3027E">
        <w:t xml:space="preserve">, and </w:t>
      </w:r>
      <w:r w:rsidR="006C2264">
        <w:t>even the</w:t>
      </w:r>
      <w:r w:rsidR="00F3027E">
        <w:t xml:space="preserve"> </w:t>
      </w:r>
      <w:r w:rsidR="007B545E">
        <w:t>falsification</w:t>
      </w:r>
      <w:r w:rsidR="00F3027E">
        <w:t xml:space="preserve"> of </w:t>
      </w:r>
      <w:r w:rsidR="007B545E">
        <w:t>results</w:t>
      </w:r>
      <w:r w:rsidR="00F3027E">
        <w:t xml:space="preserve"> </w:t>
      </w:r>
      <w:r w:rsidR="005B2F45">
        <w:fldChar w:fldCharType="begin" w:fldLock="1"/>
      </w:r>
      <w:r w:rsidR="00C647C4">
        <w:instrText>ADDIN CSL_CITATION {"citationItems":[{"id":"ITEM-1","itemData":{"DOI":"10.1080/01425692.2015.1073100","ISSN":"0142-5692","author":[{"dropping-particle":"","family":"Ragusa","given":"Angela T","non-dropping-particle":"","parse-names":false,"suffix":""},{"dropping-particle":"","family":"Bousfield","given":"Kellie","non-dropping-particle":"","parse-names":false,"suffix":""}],"container-title":"British Journal of Sociology of Education","id":"ITEM-1","issue":"3","issued":{"date-parts":[["2017","4","3"]]},"note":"doi: 10.1080/01425692.2015.1073100","page":"265-286","publisher":"Routledge","title":"‘It’s not the test, it’s how it’s used!’ Critical analysis of public response to NAPLAN and MySchool Senate Inquiry","type":"article-journal","volume":"38"},"uris":["http://www.mendeley.com/documents/?uuid=2450fb04-2218-466d-bad0-9d19d5124caa"]}],"mendeley":{"formattedCitation":"(Ragusa &amp; Bousfield, 2017)","manualFormatting":"(Ragusa &amp; Bousfield 2017)","plainTextFormattedCitation":"(Ragusa &amp; Bousfield, 2017)","previouslyFormattedCitation":"(Ragusa &amp; Bousfield, 2017)"},"properties":{"noteIndex":0},"schema":"https://github.com/citation-style-language/schema/raw/master/csl-citation.json"}</w:instrText>
      </w:r>
      <w:r w:rsidR="005B2F45">
        <w:fldChar w:fldCharType="separate"/>
      </w:r>
      <w:r w:rsidR="007B545E" w:rsidRPr="09A7FC42">
        <w:rPr>
          <w:noProof/>
        </w:rPr>
        <w:t>(Ragusa &amp; Bousfield 2017)</w:t>
      </w:r>
      <w:r w:rsidR="005B2F45">
        <w:fldChar w:fldCharType="end"/>
      </w:r>
      <w:r w:rsidR="00F3027E">
        <w:t>.</w:t>
      </w:r>
      <w:r w:rsidR="00A94D33">
        <w:t xml:space="preserve"> This stems from a concern that results displayed on </w:t>
      </w:r>
      <w:proofErr w:type="spellStart"/>
      <w:r w:rsidR="0040194B">
        <w:t>M</w:t>
      </w:r>
      <w:r w:rsidR="00A94D33">
        <w:t>y</w:t>
      </w:r>
      <w:r w:rsidR="0040194B">
        <w:t>S</w:t>
      </w:r>
      <w:r w:rsidR="00A94D33">
        <w:t>chool</w:t>
      </w:r>
      <w:proofErr w:type="spellEnd"/>
      <w:r w:rsidR="00A94D33">
        <w:t xml:space="preserve"> are the main factor parents will use in choosing a</w:t>
      </w:r>
      <w:r w:rsidR="006D02A8">
        <w:t xml:space="preserve">n </w:t>
      </w:r>
      <w:r w:rsidR="0040194B">
        <w:t>institution</w:t>
      </w:r>
      <w:r w:rsidR="006D02A8">
        <w:t xml:space="preserve"> for their children. </w:t>
      </w:r>
    </w:p>
    <w:p w14:paraId="37D1DACF" w14:textId="67D1361E" w:rsidR="006D02A8" w:rsidRDefault="006D02A8">
      <w:r>
        <w:t xml:space="preserve">This situation can easily be applied to the ranking of medical </w:t>
      </w:r>
      <w:r w:rsidR="0040194B">
        <w:t>practice</w:t>
      </w:r>
      <w:r w:rsidR="5ADA7ECC">
        <w:t>s</w:t>
      </w:r>
      <w:r>
        <w:t>. I</w:t>
      </w:r>
      <w:r w:rsidR="00D34165">
        <w:t>n</w:t>
      </w:r>
      <w:r>
        <w:t xml:space="preserve"> this case it may lead to</w:t>
      </w:r>
      <w:r w:rsidR="5857935A">
        <w:t xml:space="preserve"> a</w:t>
      </w:r>
      <w:r>
        <w:t xml:space="preserve"> practice pressuring </w:t>
      </w:r>
      <w:r w:rsidR="006C2264">
        <w:t>doctors</w:t>
      </w:r>
      <w:r w:rsidR="00B424D8">
        <w:t xml:space="preserve"> to rush patients through appointments, manipulating data by record</w:t>
      </w:r>
      <w:r w:rsidR="0040194B">
        <w:t xml:space="preserve">ing </w:t>
      </w:r>
      <w:r w:rsidR="00B424D8">
        <w:t xml:space="preserve">session start and end times </w:t>
      </w:r>
      <w:r w:rsidR="009312BD">
        <w:t xml:space="preserve">differently, or in the extreme </w:t>
      </w:r>
      <w:r w:rsidR="00D34165">
        <w:t>reporting false data. This would be because the ranking could become the major factor by which patients choose clinics to attend.</w:t>
      </w:r>
    </w:p>
    <w:p w14:paraId="37944468" w14:textId="77777777" w:rsidR="005C1D0F" w:rsidRDefault="005C1D0F"/>
    <w:p w14:paraId="4CB33407" w14:textId="4C467736" w:rsidR="00E23BA5" w:rsidRDefault="00E23BA5" w:rsidP="00B41891">
      <w:pPr>
        <w:pStyle w:val="Heading2"/>
        <w:pageBreakBefore/>
      </w:pPr>
      <w:r>
        <w:lastRenderedPageBreak/>
        <w:t>References</w:t>
      </w:r>
    </w:p>
    <w:p w14:paraId="3EE5F2D1" w14:textId="7AB13639" w:rsidR="00CD04DE" w:rsidRDefault="00CD04DE" w:rsidP="00CD04DE">
      <w:r w:rsidRPr="00CD04DE">
        <w:rPr>
          <w:i/>
          <w:iCs/>
        </w:rPr>
        <w:t>The Australian Privacy Principles</w:t>
      </w:r>
      <w:r>
        <w:t xml:space="preserve"> 2014, Office of the Australian Information Commissioner, viewed 21 June 2020, &lt;https://www.oaic.gov.au/assets/privacy/australian-privacy-principles/the-australian-privacy-principles.pdf&gt;.</w:t>
      </w:r>
    </w:p>
    <w:p w14:paraId="16A110E6" w14:textId="61B668F7" w:rsidR="00CD04DE" w:rsidRDefault="00CD04DE" w:rsidP="00CD04DE">
      <w:r w:rsidRPr="00CD04DE">
        <w:t>National Health and Medical Research Council</w:t>
      </w:r>
      <w:r>
        <w:t xml:space="preserve"> 2018 </w:t>
      </w:r>
      <w:r w:rsidRPr="00CD04DE">
        <w:rPr>
          <w:i/>
          <w:iCs/>
        </w:rPr>
        <w:t>The Australian Code for the Responsible Conduct of Research</w:t>
      </w:r>
      <w:r>
        <w:t xml:space="preserve">, </w:t>
      </w:r>
      <w:r w:rsidRPr="00CD04DE">
        <w:t>Australian Research Council and Universities Australia</w:t>
      </w:r>
      <w:r>
        <w:t>, Canberra.</w:t>
      </w:r>
    </w:p>
    <w:p w14:paraId="3C11FA48" w14:textId="1DCF6558" w:rsidR="00CD04DE" w:rsidRDefault="00CD04DE" w:rsidP="00CD04DE">
      <w:r>
        <w:t xml:space="preserve">Australian </w:t>
      </w:r>
      <w:r w:rsidR="00991641">
        <w:t xml:space="preserve">Curriculum, Assessment and Reporting Authority (ACARA) </w:t>
      </w:r>
      <w:r>
        <w:t xml:space="preserve">n.d. </w:t>
      </w:r>
      <w:r w:rsidRPr="00CD04DE">
        <w:rPr>
          <w:i/>
          <w:iCs/>
        </w:rPr>
        <w:t>Home | My School</w:t>
      </w:r>
      <w:r>
        <w:t>,</w:t>
      </w:r>
      <w:r w:rsidR="00991641">
        <w:t xml:space="preserve"> Australian Curriculum, Assessment and Reporting Authority,</w:t>
      </w:r>
      <w:r>
        <w:t xml:space="preserve"> viewed 20 June 2020, &lt;https://www.myschool.edu.au/&gt;.</w:t>
      </w:r>
    </w:p>
    <w:p w14:paraId="18BB74E0" w14:textId="7BCE26BC" w:rsidR="00CD04DE" w:rsidRDefault="00CD04DE" w:rsidP="00CD04DE">
      <w:proofErr w:type="spellStart"/>
      <w:r>
        <w:t>Karwowski</w:t>
      </w:r>
      <w:proofErr w:type="spellEnd"/>
      <w:r>
        <w:t xml:space="preserve">, W 2012, ‘The Discipline of Human Factors and Ergonomics’, in G </w:t>
      </w:r>
      <w:proofErr w:type="spellStart"/>
      <w:r w:rsidRPr="00CD04DE">
        <w:t>Salvendy</w:t>
      </w:r>
      <w:proofErr w:type="spellEnd"/>
      <w:r>
        <w:t xml:space="preserve"> (ed), </w:t>
      </w:r>
      <w:r w:rsidRPr="00CD04DE">
        <w:rPr>
          <w:i/>
          <w:iCs/>
        </w:rPr>
        <w:t>Handbook of Human Factors and Ergonomics</w:t>
      </w:r>
      <w:r>
        <w:t>,</w:t>
      </w:r>
      <w:r w:rsidRPr="00CD04DE">
        <w:t xml:space="preserve"> </w:t>
      </w:r>
      <w:r>
        <w:t>John Wiley &amp; Sons, Ltd, pp. 1–37.</w:t>
      </w:r>
    </w:p>
    <w:p w14:paraId="6A7F6B3F" w14:textId="050ECEBD" w:rsidR="00CD04DE" w:rsidRDefault="00CD04DE" w:rsidP="00CD04DE">
      <w:r>
        <w:t xml:space="preserve">Kim, SYH 2010, </w:t>
      </w:r>
      <w:r w:rsidRPr="00991641">
        <w:rPr>
          <w:i/>
          <w:iCs/>
        </w:rPr>
        <w:t>Evaluation of capacity to consent to treatment and research</w:t>
      </w:r>
      <w:r w:rsidR="00991641">
        <w:rPr>
          <w:i/>
          <w:iCs/>
        </w:rPr>
        <w:t xml:space="preserve"> (best practices in forensic mental health assessment),</w:t>
      </w:r>
      <w:r>
        <w:t xml:space="preserve"> Oxford University Press</w:t>
      </w:r>
      <w:r w:rsidR="00991641">
        <w:t>, Oxford.</w:t>
      </w:r>
      <w:r>
        <w:t xml:space="preserve"> </w:t>
      </w:r>
    </w:p>
    <w:p w14:paraId="354240BB" w14:textId="5723E5F0" w:rsidR="00CD04DE" w:rsidRDefault="00CD04DE" w:rsidP="00CD04DE">
      <w:r>
        <w:t xml:space="preserve">Kohls, J &amp; Buller, P 1994, ‘Resolving cross-cultural ethical conflict: Exploring alternative strategies’, </w:t>
      </w:r>
      <w:r w:rsidRPr="00991641">
        <w:rPr>
          <w:i/>
          <w:iCs/>
        </w:rPr>
        <w:t>Journal of Business Ethics</w:t>
      </w:r>
      <w:r>
        <w:t>, vol. 13, no. 1, pp. 31–38</w:t>
      </w:r>
      <w:r w:rsidR="00991641">
        <w:t>.</w:t>
      </w:r>
    </w:p>
    <w:p w14:paraId="49BA0E8A" w14:textId="6527B913" w:rsidR="00CD04DE" w:rsidRDefault="00CD04DE" w:rsidP="00CD04DE">
      <w:r>
        <w:t xml:space="preserve">De Leon </w:t>
      </w:r>
      <w:proofErr w:type="spellStart"/>
      <w:r>
        <w:t>Siantz</w:t>
      </w:r>
      <w:proofErr w:type="spellEnd"/>
      <w:r>
        <w:t xml:space="preserve">, ML 1988, ‘Defining informed consent’, </w:t>
      </w:r>
      <w:r w:rsidRPr="00991641">
        <w:rPr>
          <w:i/>
          <w:iCs/>
        </w:rPr>
        <w:t xml:space="preserve">The American </w:t>
      </w:r>
      <w:r w:rsidR="00991641">
        <w:rPr>
          <w:i/>
          <w:iCs/>
        </w:rPr>
        <w:t>J</w:t>
      </w:r>
      <w:r w:rsidRPr="00991641">
        <w:rPr>
          <w:i/>
          <w:iCs/>
        </w:rPr>
        <w:t xml:space="preserve">ournal of </w:t>
      </w:r>
      <w:r w:rsidR="00991641">
        <w:rPr>
          <w:i/>
          <w:iCs/>
        </w:rPr>
        <w:t>M</w:t>
      </w:r>
      <w:r w:rsidRPr="00991641">
        <w:rPr>
          <w:i/>
          <w:iCs/>
        </w:rPr>
        <w:t xml:space="preserve">aternal </w:t>
      </w:r>
      <w:r w:rsidR="00991641">
        <w:rPr>
          <w:i/>
          <w:iCs/>
        </w:rPr>
        <w:t>C</w:t>
      </w:r>
      <w:r w:rsidRPr="00991641">
        <w:rPr>
          <w:i/>
          <w:iCs/>
        </w:rPr>
        <w:t xml:space="preserve">hild </w:t>
      </w:r>
      <w:r w:rsidR="00991641">
        <w:rPr>
          <w:i/>
          <w:iCs/>
        </w:rPr>
        <w:t>N</w:t>
      </w:r>
      <w:r w:rsidRPr="00991641">
        <w:rPr>
          <w:i/>
          <w:iCs/>
        </w:rPr>
        <w:t>ursing</w:t>
      </w:r>
      <w:r>
        <w:t>, vol. 13, no. 2, p. 94.</w:t>
      </w:r>
    </w:p>
    <w:p w14:paraId="01CC9E5A" w14:textId="10079C68" w:rsidR="00CD04DE" w:rsidRDefault="00CD04DE" w:rsidP="00CD04DE">
      <w:proofErr w:type="spellStart"/>
      <w:r>
        <w:t>Mittelstadt</w:t>
      </w:r>
      <w:proofErr w:type="spellEnd"/>
      <w:r>
        <w:t xml:space="preserve">, BD &amp; </w:t>
      </w:r>
      <w:proofErr w:type="spellStart"/>
      <w:r>
        <w:t>Floridi</w:t>
      </w:r>
      <w:proofErr w:type="spellEnd"/>
      <w:r>
        <w:t xml:space="preserve">, L 2016, ‘The Ethics of Big Data: Current and Foreseeable Issues in Biomedical Contexts’, </w:t>
      </w:r>
      <w:r w:rsidRPr="00991641">
        <w:rPr>
          <w:i/>
          <w:iCs/>
        </w:rPr>
        <w:t>Science and Engineering Ethics</w:t>
      </w:r>
      <w:r>
        <w:t>, vol. 22, no. 2, pp. 303–341</w:t>
      </w:r>
      <w:r w:rsidR="00991641">
        <w:t>.</w:t>
      </w:r>
    </w:p>
    <w:p w14:paraId="21E38A7C" w14:textId="2EB7E808" w:rsidR="00CD04DE" w:rsidRDefault="00CD04DE" w:rsidP="00CD04DE">
      <w:proofErr w:type="spellStart"/>
      <w:r>
        <w:t>Mockler</w:t>
      </w:r>
      <w:proofErr w:type="spellEnd"/>
      <w:r>
        <w:t xml:space="preserve">, N 2013, ‘Reporting the “education revolution”: MySchool.edu.au in the print media’, </w:t>
      </w:r>
      <w:r w:rsidRPr="00991641">
        <w:rPr>
          <w:i/>
          <w:iCs/>
        </w:rPr>
        <w:t>Discourse: Studies in the Cultural Politics of Education</w:t>
      </w:r>
      <w:r>
        <w:t>, vol. 34, no. 1, pp. 1–16</w:t>
      </w:r>
      <w:r w:rsidR="00991641">
        <w:t>.</w:t>
      </w:r>
    </w:p>
    <w:p w14:paraId="31447BD6" w14:textId="41CA770A" w:rsidR="00CD04DE" w:rsidRDefault="00CD04DE" w:rsidP="00CD04DE">
      <w:r>
        <w:t xml:space="preserve">Ragusa, AT &amp; Bousfield, K 2017, ‘“It’s not the test, it’s how it’s used!” Critical analysis of public response to NAPLAN and </w:t>
      </w:r>
      <w:proofErr w:type="spellStart"/>
      <w:r>
        <w:t>MySchool</w:t>
      </w:r>
      <w:proofErr w:type="spellEnd"/>
      <w:r>
        <w:t xml:space="preserve"> Senate Inquiry’, </w:t>
      </w:r>
      <w:r w:rsidRPr="00991641">
        <w:rPr>
          <w:i/>
          <w:iCs/>
        </w:rPr>
        <w:t>British Journal of Sociology of Education</w:t>
      </w:r>
      <w:r>
        <w:t>, vol. 38, no. 3, pp. 265–286.</w:t>
      </w:r>
    </w:p>
    <w:p w14:paraId="2B4F817B" w14:textId="78E833F3" w:rsidR="00CD04DE" w:rsidRDefault="00CD04DE" w:rsidP="00CD04DE">
      <w:proofErr w:type="spellStart"/>
      <w:r>
        <w:t>Vandenbroucke</w:t>
      </w:r>
      <w:proofErr w:type="spellEnd"/>
      <w:r>
        <w:t>, JP &amp; Olsen, J 2014, ‘Informed consent and the new EU regulation on data protection’</w:t>
      </w:r>
      <w:r w:rsidRPr="00991641">
        <w:rPr>
          <w:i/>
          <w:iCs/>
        </w:rPr>
        <w:t>, International Journal of Epidemiology,</w:t>
      </w:r>
      <w:r>
        <w:t xml:space="preserve"> vol. 42, no. 6, pp. 1891–1892</w:t>
      </w:r>
      <w:r w:rsidR="00991641">
        <w:t>.</w:t>
      </w:r>
    </w:p>
    <w:p w14:paraId="46583A51" w14:textId="2CFE736F" w:rsidR="00E23BA5" w:rsidRPr="00E23BA5" w:rsidRDefault="00E23BA5" w:rsidP="00E23BA5"/>
    <w:sectPr w:rsidR="00E23BA5" w:rsidRPr="00E23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96DFD"/>
    <w:multiLevelType w:val="hybridMultilevel"/>
    <w:tmpl w:val="799A90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154C37"/>
    <w:multiLevelType w:val="hybridMultilevel"/>
    <w:tmpl w:val="EEE2D6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29"/>
    <w:rsid w:val="000133E8"/>
    <w:rsid w:val="000157B1"/>
    <w:rsid w:val="0002161E"/>
    <w:rsid w:val="0003748C"/>
    <w:rsid w:val="00041203"/>
    <w:rsid w:val="000515BA"/>
    <w:rsid w:val="00062BF0"/>
    <w:rsid w:val="000743AA"/>
    <w:rsid w:val="000752F6"/>
    <w:rsid w:val="000805E2"/>
    <w:rsid w:val="00096620"/>
    <w:rsid w:val="000C5289"/>
    <w:rsid w:val="000C5A17"/>
    <w:rsid w:val="000E4B49"/>
    <w:rsid w:val="000E7555"/>
    <w:rsid w:val="000F3BE1"/>
    <w:rsid w:val="001228AE"/>
    <w:rsid w:val="00142807"/>
    <w:rsid w:val="00142879"/>
    <w:rsid w:val="00145EB9"/>
    <w:rsid w:val="001503B7"/>
    <w:rsid w:val="00152D71"/>
    <w:rsid w:val="001920C2"/>
    <w:rsid w:val="0019426F"/>
    <w:rsid w:val="001A1FE1"/>
    <w:rsid w:val="001B4C36"/>
    <w:rsid w:val="001B64FB"/>
    <w:rsid w:val="001B73C9"/>
    <w:rsid w:val="001C605C"/>
    <w:rsid w:val="00204854"/>
    <w:rsid w:val="002123E8"/>
    <w:rsid w:val="00250AA7"/>
    <w:rsid w:val="00250B2A"/>
    <w:rsid w:val="00275741"/>
    <w:rsid w:val="00287855"/>
    <w:rsid w:val="002A6CE0"/>
    <w:rsid w:val="002A73B2"/>
    <w:rsid w:val="002B3016"/>
    <w:rsid w:val="002B660C"/>
    <w:rsid w:val="002C2E78"/>
    <w:rsid w:val="002C663C"/>
    <w:rsid w:val="002D3F96"/>
    <w:rsid w:val="002D7CC3"/>
    <w:rsid w:val="002F03AB"/>
    <w:rsid w:val="002F39CB"/>
    <w:rsid w:val="00324DCE"/>
    <w:rsid w:val="00324DFC"/>
    <w:rsid w:val="003315E9"/>
    <w:rsid w:val="0034183B"/>
    <w:rsid w:val="003426D4"/>
    <w:rsid w:val="00350CD8"/>
    <w:rsid w:val="00356AA1"/>
    <w:rsid w:val="00372D3B"/>
    <w:rsid w:val="003770AA"/>
    <w:rsid w:val="00395E35"/>
    <w:rsid w:val="00397FBF"/>
    <w:rsid w:val="003B7B77"/>
    <w:rsid w:val="003E4ADF"/>
    <w:rsid w:val="003F131B"/>
    <w:rsid w:val="0040194B"/>
    <w:rsid w:val="00405B49"/>
    <w:rsid w:val="00433E3D"/>
    <w:rsid w:val="004345FA"/>
    <w:rsid w:val="00450A54"/>
    <w:rsid w:val="00463692"/>
    <w:rsid w:val="00466FAE"/>
    <w:rsid w:val="00480C66"/>
    <w:rsid w:val="00483971"/>
    <w:rsid w:val="004963AE"/>
    <w:rsid w:val="004C3D3F"/>
    <w:rsid w:val="004D041F"/>
    <w:rsid w:val="004D50A8"/>
    <w:rsid w:val="004F29AE"/>
    <w:rsid w:val="004F4A68"/>
    <w:rsid w:val="004F751C"/>
    <w:rsid w:val="004F7A2D"/>
    <w:rsid w:val="00503AE5"/>
    <w:rsid w:val="0050583C"/>
    <w:rsid w:val="00506098"/>
    <w:rsid w:val="00513D9A"/>
    <w:rsid w:val="005202E8"/>
    <w:rsid w:val="0053641C"/>
    <w:rsid w:val="00550616"/>
    <w:rsid w:val="00557F4E"/>
    <w:rsid w:val="0058089A"/>
    <w:rsid w:val="00582795"/>
    <w:rsid w:val="0059110C"/>
    <w:rsid w:val="005B2F45"/>
    <w:rsid w:val="005C1D0F"/>
    <w:rsid w:val="005D3F9B"/>
    <w:rsid w:val="005E063B"/>
    <w:rsid w:val="005E709D"/>
    <w:rsid w:val="005F52B4"/>
    <w:rsid w:val="006022C2"/>
    <w:rsid w:val="006571DD"/>
    <w:rsid w:val="00683835"/>
    <w:rsid w:val="006919C9"/>
    <w:rsid w:val="00694EFF"/>
    <w:rsid w:val="006975F9"/>
    <w:rsid w:val="006A36A3"/>
    <w:rsid w:val="006A5383"/>
    <w:rsid w:val="006B0C53"/>
    <w:rsid w:val="006C2264"/>
    <w:rsid w:val="006D02A8"/>
    <w:rsid w:val="006E442E"/>
    <w:rsid w:val="0070454B"/>
    <w:rsid w:val="00723CC8"/>
    <w:rsid w:val="00741679"/>
    <w:rsid w:val="00756C4F"/>
    <w:rsid w:val="007621FB"/>
    <w:rsid w:val="007708D7"/>
    <w:rsid w:val="0077625D"/>
    <w:rsid w:val="007779D8"/>
    <w:rsid w:val="00787933"/>
    <w:rsid w:val="00787BAC"/>
    <w:rsid w:val="007973CC"/>
    <w:rsid w:val="007A1F24"/>
    <w:rsid w:val="007B479A"/>
    <w:rsid w:val="007B545E"/>
    <w:rsid w:val="007C21BD"/>
    <w:rsid w:val="007D6613"/>
    <w:rsid w:val="007D739D"/>
    <w:rsid w:val="00811099"/>
    <w:rsid w:val="0082368E"/>
    <w:rsid w:val="00825D31"/>
    <w:rsid w:val="008338C5"/>
    <w:rsid w:val="00833D97"/>
    <w:rsid w:val="00843C5A"/>
    <w:rsid w:val="00851E59"/>
    <w:rsid w:val="008764DE"/>
    <w:rsid w:val="0088579E"/>
    <w:rsid w:val="0089239C"/>
    <w:rsid w:val="00892DE4"/>
    <w:rsid w:val="008968A2"/>
    <w:rsid w:val="008A085E"/>
    <w:rsid w:val="008A5607"/>
    <w:rsid w:val="008B00E9"/>
    <w:rsid w:val="008B5876"/>
    <w:rsid w:val="008C6F8B"/>
    <w:rsid w:val="008D3CC3"/>
    <w:rsid w:val="008E0D9F"/>
    <w:rsid w:val="009144DF"/>
    <w:rsid w:val="00914924"/>
    <w:rsid w:val="00915B32"/>
    <w:rsid w:val="00924036"/>
    <w:rsid w:val="009312BD"/>
    <w:rsid w:val="00933B18"/>
    <w:rsid w:val="00934B4A"/>
    <w:rsid w:val="009401F0"/>
    <w:rsid w:val="00946068"/>
    <w:rsid w:val="009622DA"/>
    <w:rsid w:val="00991641"/>
    <w:rsid w:val="009A6937"/>
    <w:rsid w:val="009E411E"/>
    <w:rsid w:val="009E555C"/>
    <w:rsid w:val="009F5D9D"/>
    <w:rsid w:val="009F710A"/>
    <w:rsid w:val="00A02A24"/>
    <w:rsid w:val="00A12A9C"/>
    <w:rsid w:val="00A24174"/>
    <w:rsid w:val="00A3007B"/>
    <w:rsid w:val="00A37D0C"/>
    <w:rsid w:val="00A51F29"/>
    <w:rsid w:val="00A52679"/>
    <w:rsid w:val="00A54375"/>
    <w:rsid w:val="00A6310A"/>
    <w:rsid w:val="00A638A6"/>
    <w:rsid w:val="00A71118"/>
    <w:rsid w:val="00A7446C"/>
    <w:rsid w:val="00A87829"/>
    <w:rsid w:val="00A94D33"/>
    <w:rsid w:val="00AE082D"/>
    <w:rsid w:val="00B065C7"/>
    <w:rsid w:val="00B25BAE"/>
    <w:rsid w:val="00B27271"/>
    <w:rsid w:val="00B37A96"/>
    <w:rsid w:val="00B41891"/>
    <w:rsid w:val="00B424D8"/>
    <w:rsid w:val="00B51C73"/>
    <w:rsid w:val="00B52442"/>
    <w:rsid w:val="00B65298"/>
    <w:rsid w:val="00B713C0"/>
    <w:rsid w:val="00B725A5"/>
    <w:rsid w:val="00B915C2"/>
    <w:rsid w:val="00BB286D"/>
    <w:rsid w:val="00BC042E"/>
    <w:rsid w:val="00BF2515"/>
    <w:rsid w:val="00C1151F"/>
    <w:rsid w:val="00C15EE8"/>
    <w:rsid w:val="00C21930"/>
    <w:rsid w:val="00C3746B"/>
    <w:rsid w:val="00C4782A"/>
    <w:rsid w:val="00C647C4"/>
    <w:rsid w:val="00C843C0"/>
    <w:rsid w:val="00C967E0"/>
    <w:rsid w:val="00CA04B3"/>
    <w:rsid w:val="00CA08FC"/>
    <w:rsid w:val="00CA1068"/>
    <w:rsid w:val="00CC1290"/>
    <w:rsid w:val="00CD04DE"/>
    <w:rsid w:val="00CF55ED"/>
    <w:rsid w:val="00CF60EA"/>
    <w:rsid w:val="00D07D1F"/>
    <w:rsid w:val="00D147E1"/>
    <w:rsid w:val="00D238B8"/>
    <w:rsid w:val="00D3240B"/>
    <w:rsid w:val="00D324FE"/>
    <w:rsid w:val="00D34165"/>
    <w:rsid w:val="00D444AE"/>
    <w:rsid w:val="00D46F8F"/>
    <w:rsid w:val="00D67C56"/>
    <w:rsid w:val="00DB2377"/>
    <w:rsid w:val="00DF2E5F"/>
    <w:rsid w:val="00E0011D"/>
    <w:rsid w:val="00E23BA5"/>
    <w:rsid w:val="00E479E9"/>
    <w:rsid w:val="00E5537A"/>
    <w:rsid w:val="00E900AD"/>
    <w:rsid w:val="00E94A3B"/>
    <w:rsid w:val="00EB2596"/>
    <w:rsid w:val="00EB304F"/>
    <w:rsid w:val="00EB3FE8"/>
    <w:rsid w:val="00EC18DF"/>
    <w:rsid w:val="00EC2A21"/>
    <w:rsid w:val="00EE7219"/>
    <w:rsid w:val="00EE7371"/>
    <w:rsid w:val="00EF090F"/>
    <w:rsid w:val="00EF4B81"/>
    <w:rsid w:val="00F1560F"/>
    <w:rsid w:val="00F3027E"/>
    <w:rsid w:val="00F41719"/>
    <w:rsid w:val="00F46AC3"/>
    <w:rsid w:val="00F76D26"/>
    <w:rsid w:val="00F82451"/>
    <w:rsid w:val="00F85A88"/>
    <w:rsid w:val="00F86398"/>
    <w:rsid w:val="00F93EBA"/>
    <w:rsid w:val="00FB0C13"/>
    <w:rsid w:val="00FB1C64"/>
    <w:rsid w:val="00FC771B"/>
    <w:rsid w:val="00FD0DD5"/>
    <w:rsid w:val="00FD6B8F"/>
    <w:rsid w:val="00FF0482"/>
    <w:rsid w:val="00FF543F"/>
    <w:rsid w:val="035FBE74"/>
    <w:rsid w:val="03D14493"/>
    <w:rsid w:val="05544930"/>
    <w:rsid w:val="056624D4"/>
    <w:rsid w:val="069F36B5"/>
    <w:rsid w:val="07118362"/>
    <w:rsid w:val="073D92D3"/>
    <w:rsid w:val="090D3632"/>
    <w:rsid w:val="09866828"/>
    <w:rsid w:val="09A7FC42"/>
    <w:rsid w:val="0B878F63"/>
    <w:rsid w:val="0BC89A89"/>
    <w:rsid w:val="0C136622"/>
    <w:rsid w:val="0DA055F5"/>
    <w:rsid w:val="0DE79CD4"/>
    <w:rsid w:val="0DFD550C"/>
    <w:rsid w:val="0EA34CF1"/>
    <w:rsid w:val="0EB2CFE2"/>
    <w:rsid w:val="0F3F01E7"/>
    <w:rsid w:val="0FD6E509"/>
    <w:rsid w:val="10C2C070"/>
    <w:rsid w:val="10C69149"/>
    <w:rsid w:val="10E94DAE"/>
    <w:rsid w:val="114C0347"/>
    <w:rsid w:val="12C8F506"/>
    <w:rsid w:val="12EE45C4"/>
    <w:rsid w:val="13BEAB32"/>
    <w:rsid w:val="1417CA33"/>
    <w:rsid w:val="14ADC19A"/>
    <w:rsid w:val="17B338FA"/>
    <w:rsid w:val="17E06ABD"/>
    <w:rsid w:val="18CB72B6"/>
    <w:rsid w:val="18F0D0C3"/>
    <w:rsid w:val="1922E46B"/>
    <w:rsid w:val="19CE5538"/>
    <w:rsid w:val="19EBCBFA"/>
    <w:rsid w:val="1A5C9F37"/>
    <w:rsid w:val="1A7EECB9"/>
    <w:rsid w:val="1ABB7BEA"/>
    <w:rsid w:val="1ADC1B6C"/>
    <w:rsid w:val="1CA222DB"/>
    <w:rsid w:val="1CEE9E30"/>
    <w:rsid w:val="1DDB7BBD"/>
    <w:rsid w:val="1E11BF77"/>
    <w:rsid w:val="1F9BBD70"/>
    <w:rsid w:val="1FCF6C0C"/>
    <w:rsid w:val="1FE57ACE"/>
    <w:rsid w:val="2097F9CE"/>
    <w:rsid w:val="2166EE94"/>
    <w:rsid w:val="217C7744"/>
    <w:rsid w:val="21DEFCFC"/>
    <w:rsid w:val="22EE07D5"/>
    <w:rsid w:val="26C58BCE"/>
    <w:rsid w:val="273D19AF"/>
    <w:rsid w:val="28E2E92B"/>
    <w:rsid w:val="29632FA7"/>
    <w:rsid w:val="29708D6B"/>
    <w:rsid w:val="297236D9"/>
    <w:rsid w:val="2B2C7672"/>
    <w:rsid w:val="2C0CD898"/>
    <w:rsid w:val="2D5021F4"/>
    <w:rsid w:val="2E1CB9FC"/>
    <w:rsid w:val="2ECF8619"/>
    <w:rsid w:val="30BD0B04"/>
    <w:rsid w:val="3147B2D4"/>
    <w:rsid w:val="32370945"/>
    <w:rsid w:val="335C6553"/>
    <w:rsid w:val="3360D1E5"/>
    <w:rsid w:val="34642E47"/>
    <w:rsid w:val="3786B993"/>
    <w:rsid w:val="3795A0F6"/>
    <w:rsid w:val="39425777"/>
    <w:rsid w:val="39C7721B"/>
    <w:rsid w:val="3A22DBCC"/>
    <w:rsid w:val="3A5352C6"/>
    <w:rsid w:val="3C3F4B82"/>
    <w:rsid w:val="3C526391"/>
    <w:rsid w:val="3C830A34"/>
    <w:rsid w:val="3D157222"/>
    <w:rsid w:val="3D9971E7"/>
    <w:rsid w:val="3E48FF7E"/>
    <w:rsid w:val="418EAE5D"/>
    <w:rsid w:val="425C0AD9"/>
    <w:rsid w:val="430F1AAA"/>
    <w:rsid w:val="43F69674"/>
    <w:rsid w:val="45765FC9"/>
    <w:rsid w:val="4646DCB7"/>
    <w:rsid w:val="466D3EB4"/>
    <w:rsid w:val="46CEACD6"/>
    <w:rsid w:val="47712868"/>
    <w:rsid w:val="49756DE6"/>
    <w:rsid w:val="4A7C4F17"/>
    <w:rsid w:val="4A812A2D"/>
    <w:rsid w:val="4B94A756"/>
    <w:rsid w:val="4E404A1D"/>
    <w:rsid w:val="4EE496CA"/>
    <w:rsid w:val="4F1AFF2E"/>
    <w:rsid w:val="4F3747B9"/>
    <w:rsid w:val="4F846514"/>
    <w:rsid w:val="50141CA8"/>
    <w:rsid w:val="511AC5FA"/>
    <w:rsid w:val="519945CC"/>
    <w:rsid w:val="51CD283D"/>
    <w:rsid w:val="52607FD4"/>
    <w:rsid w:val="5275A6AB"/>
    <w:rsid w:val="528AA9E6"/>
    <w:rsid w:val="5470500F"/>
    <w:rsid w:val="55703948"/>
    <w:rsid w:val="560297BF"/>
    <w:rsid w:val="56A74A8C"/>
    <w:rsid w:val="5718AEE4"/>
    <w:rsid w:val="57323E2E"/>
    <w:rsid w:val="5857935A"/>
    <w:rsid w:val="590A73F8"/>
    <w:rsid w:val="591039ED"/>
    <w:rsid w:val="594CE66E"/>
    <w:rsid w:val="5AD2C85E"/>
    <w:rsid w:val="5ADA7ECC"/>
    <w:rsid w:val="5AF47102"/>
    <w:rsid w:val="5AF6AC1B"/>
    <w:rsid w:val="5D2C9D99"/>
    <w:rsid w:val="5E972027"/>
    <w:rsid w:val="614803F7"/>
    <w:rsid w:val="619FA6F1"/>
    <w:rsid w:val="621F8274"/>
    <w:rsid w:val="62669AD6"/>
    <w:rsid w:val="62D38E08"/>
    <w:rsid w:val="632C1758"/>
    <w:rsid w:val="6454B82C"/>
    <w:rsid w:val="645D41A3"/>
    <w:rsid w:val="65E4710E"/>
    <w:rsid w:val="66504B5D"/>
    <w:rsid w:val="6699ABEE"/>
    <w:rsid w:val="6714B041"/>
    <w:rsid w:val="68645CCC"/>
    <w:rsid w:val="68CAAC87"/>
    <w:rsid w:val="6A2E8973"/>
    <w:rsid w:val="6A7BFE40"/>
    <w:rsid w:val="6A83A33D"/>
    <w:rsid w:val="6ACDE6B4"/>
    <w:rsid w:val="6AE6205B"/>
    <w:rsid w:val="6BBDA4E9"/>
    <w:rsid w:val="6C54C9B4"/>
    <w:rsid w:val="6CCB9307"/>
    <w:rsid w:val="6CDFB450"/>
    <w:rsid w:val="6DAF80DD"/>
    <w:rsid w:val="6E3A0DA5"/>
    <w:rsid w:val="6E503EE8"/>
    <w:rsid w:val="6E750402"/>
    <w:rsid w:val="70D0CCE3"/>
    <w:rsid w:val="71010669"/>
    <w:rsid w:val="7146F2D5"/>
    <w:rsid w:val="73820F13"/>
    <w:rsid w:val="73AFC3D5"/>
    <w:rsid w:val="747417C0"/>
    <w:rsid w:val="75DAD9B5"/>
    <w:rsid w:val="771DE011"/>
    <w:rsid w:val="7725107A"/>
    <w:rsid w:val="77AF8D16"/>
    <w:rsid w:val="794A583B"/>
    <w:rsid w:val="797FD9E8"/>
    <w:rsid w:val="798F2A38"/>
    <w:rsid w:val="7A63BA31"/>
    <w:rsid w:val="7A63E85F"/>
    <w:rsid w:val="7A9AC468"/>
    <w:rsid w:val="7B74ED58"/>
    <w:rsid w:val="7BD32432"/>
    <w:rsid w:val="7E85F62D"/>
    <w:rsid w:val="7FC076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08A8"/>
  <w15:chartTrackingRefBased/>
  <w15:docId w15:val="{242DAA6C-2A9E-45C1-9A30-55E73407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6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B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E75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042E"/>
    <w:pPr>
      <w:ind w:left="720"/>
      <w:contextualSpacing/>
    </w:pPr>
  </w:style>
  <w:style w:type="character" w:customStyle="1" w:styleId="Heading3Char">
    <w:name w:val="Heading 3 Char"/>
    <w:basedOn w:val="DefaultParagraphFont"/>
    <w:link w:val="Heading3"/>
    <w:uiPriority w:val="9"/>
    <w:rsid w:val="006A36A3"/>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56AA1"/>
    <w:rPr>
      <w:sz w:val="16"/>
      <w:szCs w:val="16"/>
    </w:rPr>
  </w:style>
  <w:style w:type="paragraph" w:styleId="CommentText">
    <w:name w:val="annotation text"/>
    <w:basedOn w:val="Normal"/>
    <w:link w:val="CommentTextChar"/>
    <w:uiPriority w:val="99"/>
    <w:semiHidden/>
    <w:unhideWhenUsed/>
    <w:rsid w:val="00356AA1"/>
    <w:pPr>
      <w:spacing w:line="240" w:lineRule="auto"/>
    </w:pPr>
    <w:rPr>
      <w:sz w:val="20"/>
      <w:szCs w:val="20"/>
    </w:rPr>
  </w:style>
  <w:style w:type="character" w:customStyle="1" w:styleId="CommentTextChar">
    <w:name w:val="Comment Text Char"/>
    <w:basedOn w:val="DefaultParagraphFont"/>
    <w:link w:val="CommentText"/>
    <w:uiPriority w:val="99"/>
    <w:semiHidden/>
    <w:rsid w:val="00356AA1"/>
    <w:rPr>
      <w:sz w:val="20"/>
      <w:szCs w:val="20"/>
    </w:rPr>
  </w:style>
  <w:style w:type="paragraph" w:styleId="CommentSubject">
    <w:name w:val="annotation subject"/>
    <w:basedOn w:val="CommentText"/>
    <w:next w:val="CommentText"/>
    <w:link w:val="CommentSubjectChar"/>
    <w:uiPriority w:val="99"/>
    <w:semiHidden/>
    <w:unhideWhenUsed/>
    <w:rsid w:val="00356AA1"/>
    <w:rPr>
      <w:b/>
      <w:bCs/>
    </w:rPr>
  </w:style>
  <w:style w:type="character" w:customStyle="1" w:styleId="CommentSubjectChar">
    <w:name w:val="Comment Subject Char"/>
    <w:basedOn w:val="CommentTextChar"/>
    <w:link w:val="CommentSubject"/>
    <w:uiPriority w:val="99"/>
    <w:semiHidden/>
    <w:rsid w:val="00356AA1"/>
    <w:rPr>
      <w:b/>
      <w:bCs/>
      <w:sz w:val="20"/>
      <w:szCs w:val="20"/>
    </w:rPr>
  </w:style>
  <w:style w:type="paragraph" w:styleId="BalloonText">
    <w:name w:val="Balloon Text"/>
    <w:basedOn w:val="Normal"/>
    <w:link w:val="BalloonTextChar"/>
    <w:uiPriority w:val="99"/>
    <w:semiHidden/>
    <w:unhideWhenUsed/>
    <w:rsid w:val="00356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F318C-13C4-4A07-9408-9E3AB9629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4887</Words>
  <Characters>27859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dc:creator>
  <cp:keywords/>
  <dc:description/>
  <cp:lastModifiedBy>Kristen</cp:lastModifiedBy>
  <cp:revision>2</cp:revision>
  <dcterms:created xsi:type="dcterms:W3CDTF">2021-04-05T04:50:00Z</dcterms:created>
  <dcterms:modified xsi:type="dcterms:W3CDTF">2021-04-05T04:50:00Z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http://csl.mendeley.com/styles/183622471/harvard-university-of-adelaide</vt:lpwstr>
  </property>
  <property fmtid="{D5CDD505-2E9C-101B-9397-08002B2CF9AE}" pid="13" name="Mendeley Recent Style Name 5_1">
    <vt:lpwstr>Cite Them Right 10th edition - Harvard - Kristen Osborne</vt:lpwstr>
  </property>
  <property fmtid="{D5CDD505-2E9C-101B-9397-08002B2CF9AE}" pid="14" name="Mendeley Recent Style Id 6_1">
    <vt:lpwstr>https://csl.mendeley.com/styles/183622471/harvard-university-of-adelaide</vt:lpwstr>
  </property>
  <property fmtid="{D5CDD505-2E9C-101B-9397-08002B2CF9AE}" pid="15" name="Mendeley Recent Style Name 6_1">
    <vt:lpwstr>Harvard - University of Adelaide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ce52fd5c-c9b3-339e-8194-46627fe2cb39</vt:lpwstr>
  </property>
  <property fmtid="{D5CDD505-2E9C-101B-9397-08002B2CF9AE}" pid="24" name="Mendeley Citation Style_1">
    <vt:lpwstr>https://csl.mendeley.com/styles/183622471/harvard-university-of-adelaide</vt:lpwstr>
  </property>
</Properties>
</file>