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780EA7"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Pr>
          <w:rFonts w:ascii="Times New Roman" w:hAnsi="Times New Roman"/>
          <w:b/>
          <w:bCs/>
          <w:color w:val="0D0D0D" w:themeColor="text1" w:themeTint="F2"/>
          <w:sz w:val="44"/>
          <w:szCs w:val="44"/>
        </w:rPr>
        <w:t>GHANA COMMUNICATION TECHNOLOGY UNIVERSITY</w:t>
      </w:r>
    </w:p>
    <w:p w14:paraId="07B0F6E4" w14:textId="5E64F38C" w:rsidR="00AC0BFD" w:rsidRPr="002D6FFA"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AN ELECTRONIC TOLL COLLECTION SYSTEM (GHAVeT)</w:t>
      </w:r>
    </w:p>
    <w:p w14:paraId="2AFC44EC" w14:textId="77777777" w:rsidR="00C36FE6" w:rsidRPr="002D6FFA"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By</w:t>
      </w:r>
    </w:p>
    <w:p w14:paraId="2AECDF23" w14:textId="465615D6" w:rsidR="00C36FE6" w:rsidRPr="002D6FFA"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KUSEAMO RICHARD JAMPANA</w:t>
      </w:r>
    </w:p>
    <w:p w14:paraId="5C390D8A" w14:textId="0AA08BCA" w:rsidR="00C36FE6" w:rsidRPr="002D6FFA"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w:t>
      </w:r>
      <w:r w:rsidR="0084437E">
        <w:rPr>
          <w:rFonts w:ascii="Times New Roman" w:hAnsi="Times New Roman"/>
          <w:b/>
          <w:bCs/>
          <w:color w:val="0D0D0D" w:themeColor="text1" w:themeTint="F2"/>
          <w:sz w:val="28"/>
          <w:szCs w:val="28"/>
        </w:rPr>
        <w:t>4211219317</w:t>
      </w:r>
      <w:r w:rsidRPr="002D6FFA">
        <w:rPr>
          <w:rFonts w:ascii="Times New Roman" w:hAnsi="Times New Roman"/>
          <w:b/>
          <w:bCs/>
          <w:color w:val="0D0D0D" w:themeColor="text1" w:themeTint="F2"/>
          <w:sz w:val="28"/>
          <w:szCs w:val="28"/>
        </w:rPr>
        <w:t>)</w:t>
      </w:r>
    </w:p>
    <w:p w14:paraId="586A17A5" w14:textId="77777777" w:rsidR="0084437E" w:rsidRPr="0084437E"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84437E">
        <w:rPr>
          <w:rFonts w:ascii="Times New Roman" w:hAnsi="Times New Roman"/>
          <w:b/>
          <w:bCs/>
          <w:color w:val="0D0D0D" w:themeColor="text1" w:themeTint="F2"/>
          <w:sz w:val="28"/>
          <w:szCs w:val="28"/>
        </w:rPr>
        <w:t xml:space="preserve">BOAKYE ESTELLA FREMA </w:t>
      </w:r>
    </w:p>
    <w:p w14:paraId="2F85ABD0" w14:textId="21CC1E26" w:rsidR="00C36FE6" w:rsidRPr="002D6FFA"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w:t>
      </w:r>
      <w:r w:rsidRPr="0084437E">
        <w:rPr>
          <w:rFonts w:ascii="Times New Roman" w:hAnsi="Times New Roman"/>
          <w:b/>
          <w:bCs/>
          <w:color w:val="0D0D0D" w:themeColor="text1" w:themeTint="F2"/>
          <w:sz w:val="28"/>
          <w:szCs w:val="28"/>
        </w:rPr>
        <w:t>4211219347</w:t>
      </w:r>
      <w:r>
        <w:rPr>
          <w:rFonts w:ascii="Times New Roman" w:hAnsi="Times New Roman"/>
          <w:b/>
          <w:bCs/>
          <w:color w:val="0D0D0D" w:themeColor="text1" w:themeTint="F2"/>
          <w:sz w:val="28"/>
          <w:szCs w:val="28"/>
        </w:rPr>
        <w:t>0)</w:t>
      </w:r>
    </w:p>
    <w:p w14:paraId="2467BC3B" w14:textId="77777777" w:rsidR="00C36FE6" w:rsidRPr="002D6FFA"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2D6FFA"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RESEARCH PROJECT REPORT/ THESIS Submitted to the</w:t>
      </w:r>
    </w:p>
    <w:p w14:paraId="17B70C8A" w14:textId="7D3E4E4E" w:rsidR="00C36FE6" w:rsidRPr="002D6FFA"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DEPARTMENT OF</w:t>
      </w:r>
      <w:r w:rsidR="00763C69">
        <w:rPr>
          <w:rFonts w:ascii="Times New Roman" w:hAnsi="Times New Roman"/>
          <w:b/>
          <w:bCs/>
          <w:color w:val="0D0D0D" w:themeColor="text1" w:themeTint="F2"/>
          <w:sz w:val="28"/>
          <w:szCs w:val="28"/>
        </w:rPr>
        <w:t xml:space="preserve"> INFORMATION TECHNOLOGY</w:t>
      </w:r>
      <w:r w:rsidR="006F6BC2">
        <w:rPr>
          <w:rFonts w:ascii="Times New Roman" w:hAnsi="Times New Roman"/>
          <w:b/>
          <w:bCs/>
          <w:color w:val="0D0D0D" w:themeColor="text1" w:themeTint="F2"/>
          <w:sz w:val="28"/>
          <w:szCs w:val="28"/>
        </w:rPr>
        <w:t>,</w:t>
      </w:r>
    </w:p>
    <w:p w14:paraId="6468BC1C" w14:textId="289EF655" w:rsidR="00C36FE6" w:rsidRPr="002D6FFA"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 xml:space="preserve"> FACULTY OF </w:t>
      </w:r>
      <w:r w:rsidR="0084437E">
        <w:rPr>
          <w:rFonts w:ascii="Times New Roman" w:hAnsi="Times New Roman"/>
          <w:b/>
          <w:bCs/>
          <w:color w:val="0D0D0D" w:themeColor="text1" w:themeTint="F2"/>
          <w:sz w:val="28"/>
          <w:szCs w:val="28"/>
        </w:rPr>
        <w:t>COMPUTING AND INFORMATION SYSTEMS</w:t>
      </w:r>
    </w:p>
    <w:p w14:paraId="21055DEF" w14:textId="77777777" w:rsidR="00C36FE6" w:rsidRPr="002D6FFA"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2D6FFA"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 xml:space="preserve">AWARD OF BACHELOR OF </w:t>
      </w:r>
      <w:r w:rsidR="0084437E">
        <w:rPr>
          <w:rFonts w:ascii="Times New Roman" w:hAnsi="Times New Roman"/>
          <w:b/>
          <w:bCs/>
          <w:color w:val="0D0D0D" w:themeColor="text1" w:themeTint="F2"/>
          <w:sz w:val="28"/>
          <w:szCs w:val="28"/>
        </w:rPr>
        <w:t>SCIENCE</w:t>
      </w:r>
      <w:r w:rsidR="006457D9">
        <w:rPr>
          <w:rFonts w:ascii="Times New Roman" w:hAnsi="Times New Roman"/>
          <w:b/>
          <w:bCs/>
          <w:color w:val="0D0D0D" w:themeColor="text1" w:themeTint="F2"/>
          <w:sz w:val="28"/>
          <w:szCs w:val="28"/>
        </w:rPr>
        <w:t xml:space="preserve"> INFORMATION TECHNOLOGY</w:t>
      </w:r>
      <w:r w:rsidRPr="002D6FFA">
        <w:rPr>
          <w:rFonts w:ascii="Times New Roman" w:hAnsi="Times New Roman"/>
          <w:b/>
          <w:bCs/>
          <w:color w:val="0D0D0D" w:themeColor="text1" w:themeTint="F2"/>
          <w:sz w:val="28"/>
          <w:szCs w:val="28"/>
        </w:rPr>
        <w:t xml:space="preserve"> (</w:t>
      </w:r>
      <w:r w:rsidR="006457D9">
        <w:rPr>
          <w:rFonts w:ascii="Times New Roman" w:hAnsi="Times New Roman"/>
          <w:b/>
          <w:bCs/>
          <w:color w:val="0D0D0D" w:themeColor="text1" w:themeTint="F2"/>
          <w:sz w:val="28"/>
          <w:szCs w:val="28"/>
        </w:rPr>
        <w:t>BIT</w:t>
      </w:r>
      <w:r w:rsidRPr="002D6FFA">
        <w:rPr>
          <w:rFonts w:ascii="Times New Roman" w:hAnsi="Times New Roman"/>
          <w:b/>
          <w:bCs/>
          <w:color w:val="0D0D0D" w:themeColor="text1" w:themeTint="F2"/>
          <w:sz w:val="28"/>
          <w:szCs w:val="28"/>
        </w:rPr>
        <w:t>) DEGREE</w:t>
      </w:r>
    </w:p>
    <w:p w14:paraId="6C9F1BF2" w14:textId="2F001212" w:rsidR="00133D65" w:rsidRPr="002D6FFA"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In</w:t>
      </w:r>
    </w:p>
    <w:p w14:paraId="119CD460" w14:textId="77777777" w:rsidR="00C36FE6" w:rsidRPr="002D6FFA" w:rsidRDefault="00826015"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COMPUTER SCIENCE</w:t>
      </w:r>
    </w:p>
    <w:p w14:paraId="488C2943" w14:textId="77777777" w:rsidR="00C36FE6" w:rsidRPr="002D6FFA"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2D6FFA"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2D6FFA"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25CEA177" w:rsidR="00780EA7" w:rsidRPr="00780EA7" w:rsidRDefault="006457D9"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780EA7" w:rsidSect="00B42867">
          <w:footerReference w:type="first" r:id="rId8"/>
          <w:pgSz w:w="12240" w:h="15840"/>
          <w:pgMar w:top="720" w:right="1440" w:bottom="1440" w:left="1440" w:header="720" w:footer="720" w:gutter="0"/>
          <w:pgNumType w:fmt="lowerRoman" w:start="1"/>
          <w:cols w:space="720"/>
          <w:docGrid w:linePitch="360"/>
        </w:sectPr>
      </w:pPr>
      <w:r>
        <w:rPr>
          <w:rFonts w:ascii="Times New Roman" w:hAnsi="Times New Roman"/>
          <w:b/>
          <w:bCs/>
          <w:color w:val="0D0D0D" w:themeColor="text1" w:themeTint="F2"/>
          <w:sz w:val="28"/>
          <w:szCs w:val="28"/>
        </w:rPr>
        <w:t xml:space="preserve">FEBUARY, </w:t>
      </w:r>
      <w:r w:rsidR="00213D42" w:rsidRPr="002D6FFA">
        <w:rPr>
          <w:rFonts w:ascii="Times New Roman" w:hAnsi="Times New Roman"/>
          <w:b/>
          <w:bCs/>
          <w:color w:val="0D0D0D" w:themeColor="text1" w:themeTint="F2"/>
          <w:sz w:val="28"/>
          <w:szCs w:val="28"/>
        </w:rPr>
        <w:t>20</w:t>
      </w:r>
      <w:r w:rsidR="003076CB">
        <w:rPr>
          <w:rFonts w:ascii="Times New Roman" w:hAnsi="Times New Roman"/>
          <w:b/>
          <w:bCs/>
          <w:color w:val="0D0D0D" w:themeColor="text1" w:themeTint="F2"/>
          <w:sz w:val="28"/>
          <w:szCs w:val="28"/>
        </w:rPr>
        <w:t>2</w:t>
      </w:r>
      <w:r w:rsidR="00763C69">
        <w:rPr>
          <w:rFonts w:ascii="Times New Roman" w:hAnsi="Times New Roman"/>
          <w:b/>
          <w:bCs/>
          <w:color w:val="0D0D0D" w:themeColor="text1" w:themeTint="F2"/>
          <w:sz w:val="28"/>
          <w:szCs w:val="28"/>
        </w:rPr>
        <w:t>4</w:t>
      </w:r>
    </w:p>
    <w:p w14:paraId="0331D3FF" w14:textId="77777777" w:rsidR="00B42867" w:rsidRDefault="00B42867" w:rsidP="00780EA7">
      <w:pPr>
        <w:sectPr w:rsidR="00B42867"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7777777" w:rsidR="005D4B1D" w:rsidRDefault="005D4B1D" w:rsidP="00780EA7">
      <w:pPr>
        <w:pStyle w:val="Heading1"/>
        <w:spacing w:after="0" w:line="360" w:lineRule="auto"/>
      </w:pPr>
      <w:bookmarkStart w:id="2" w:name="_Toc149621679"/>
    </w:p>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proofErr w:type="gramStart"/>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proofErr w:type="gramEnd"/>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Most High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D26D18">
      <w:p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GHAVeT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4F5C0ECC" w14:textId="0C3FF813"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authorities alike. 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10C171DB" w14:textId="522DD782" w:rsidR="00180688" w:rsidRPr="00180688"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 xml:space="preserve">AIMS AND OBJECTIVES </w:t>
      </w:r>
    </w:p>
    <w:p w14:paraId="58134EBE" w14:textId="77777777" w:rsidR="00180688" w:rsidRP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AIM OF THE RESEARCH PROJECT</w:t>
      </w:r>
      <w:r w:rsidRPr="00180688">
        <w:rPr>
          <w:rFonts w:ascii="Segoe UI" w:hAnsi="Segoe UI" w:cs="Segoe UI"/>
          <w:color w:val="0D0D0D"/>
          <w:shd w:val="clear" w:color="auto" w:fill="FFFFFF"/>
        </w:rPr>
        <w:t xml:space="preserve"> </w:t>
      </w:r>
    </w:p>
    <w:p w14:paraId="21A4F965" w14:textId="4C0659E6" w:rsidR="00180688" w:rsidRDefault="00180688" w:rsidP="00847D09">
      <w:pPr>
        <w:spacing w:after="0" w:line="480" w:lineRule="auto"/>
        <w:jc w:val="both"/>
        <w:rPr>
          <w:rFonts w:ascii="Segoe UI" w:hAnsi="Segoe UI" w:cs="Segoe UI"/>
          <w:color w:val="0D0D0D"/>
          <w:shd w:val="clear" w:color="auto" w:fill="FFFFFF"/>
        </w:rPr>
      </w:pPr>
      <w:r w:rsidRPr="00180688">
        <w:rPr>
          <w:rFonts w:ascii="Segoe UI" w:hAnsi="Segoe UI" w:cs="Segoe UI"/>
          <w:color w:val="0D0D0D"/>
          <w:shd w:val="clear" w:color="auto" w:fill="FFFFFF"/>
        </w:rPr>
        <w:t xml:space="preserve">The aim of this research is to revolutionize the toll collection system in Ghana by introducing and implementing an advanced Electronic Toll Collection (ETC) system. This system aims to </w:t>
      </w:r>
      <w:r w:rsidRPr="00180688">
        <w:rPr>
          <w:rFonts w:ascii="Segoe UI" w:hAnsi="Segoe UI" w:cs="Segoe UI"/>
          <w:color w:val="0D0D0D"/>
          <w:shd w:val="clear" w:color="auto" w:fill="FFFFFF"/>
        </w:rPr>
        <w:lastRenderedPageBreak/>
        <w:t>enhance the efficiency, transparency, and effectiveness of toll collection processes across the country's road networks. By leveraging cutting-edge technology and innovative approaches, the research seeks to address the existing challenges associated with manual toll collection methods and pave the way for a more streamlined and user-centric tolling experience.</w:t>
      </w:r>
    </w:p>
    <w:p w14:paraId="2AB3A1E6" w14:textId="77777777" w:rsidR="00C173A6" w:rsidRPr="00180688" w:rsidRDefault="00C173A6" w:rsidP="00847D09">
      <w:pPr>
        <w:spacing w:after="0" w:line="480" w:lineRule="auto"/>
        <w:jc w:val="both"/>
        <w:rPr>
          <w:rFonts w:ascii="Times New Roman" w:hAnsi="Times New Roman"/>
          <w:b/>
          <w:bCs/>
          <w:color w:val="0D0D0D" w:themeColor="text1" w:themeTint="F2"/>
          <w:kern w:val="32"/>
          <w:sz w:val="24"/>
          <w:szCs w:val="24"/>
        </w:rPr>
      </w:pPr>
    </w:p>
    <w:p w14:paraId="0C12A2D6" w14:textId="4AFBDE47" w:rsid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OBJECTIVES</w:t>
      </w:r>
    </w:p>
    <w:p w14:paraId="1E23B4E5" w14:textId="45F5B44A" w:rsidR="00180688" w:rsidRPr="0018068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 xml:space="preserve">AUTOMATE TOLL COLLECTION PROCESS: </w:t>
      </w:r>
      <w:r w:rsidR="00180688" w:rsidRPr="00847D09">
        <w:rPr>
          <w:rFonts w:ascii="Times New Roman" w:hAnsi="Times New Roman"/>
          <w:color w:val="0D0D0D" w:themeColor="text1" w:themeTint="F2"/>
          <w:kern w:val="32"/>
          <w:sz w:val="24"/>
          <w:szCs w:val="24"/>
        </w:rPr>
        <w:t>The first objective is to develop and implement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5ADF73E8" w14:textId="016B55C8" w:rsidR="00180688" w:rsidRPr="00847D09" w:rsidRDefault="00847D09" w:rsidP="00D93BC2">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847D09">
        <w:rPr>
          <w:rFonts w:ascii="Times New Roman" w:hAnsi="Times New Roman"/>
          <w:b/>
          <w:bCs/>
          <w:color w:val="0D0D0D" w:themeColor="text1" w:themeTint="F2"/>
          <w:kern w:val="32"/>
          <w:sz w:val="24"/>
          <w:szCs w:val="24"/>
        </w:rPr>
        <w:t>ENSURE ACCURACY AND SECURITY:</w:t>
      </w:r>
      <w:r w:rsidRPr="00180688">
        <w:rPr>
          <w:rFonts w:ascii="Times New Roman" w:hAnsi="Times New Roman"/>
          <w:b/>
          <w:bCs/>
          <w:color w:val="0D0D0D" w:themeColor="text1" w:themeTint="F2"/>
          <w:kern w:val="32"/>
          <w:sz w:val="24"/>
          <w:szCs w:val="24"/>
        </w:rPr>
        <w:t xml:space="preserve"> </w:t>
      </w:r>
      <w:r w:rsidR="00180688" w:rsidRPr="00847D09">
        <w:rPr>
          <w:rFonts w:ascii="Times New Roman" w:hAnsi="Times New Roman"/>
          <w:color w:val="0D0D0D" w:themeColor="text1" w:themeTint="F2"/>
          <w:kern w:val="32"/>
          <w:sz w:val="24"/>
          <w:szCs w:val="24"/>
        </w:rPr>
        <w:t>The second objective involves incorporating a function into the ETC system to ensure the accuracy and security of toll collection transactions. This function aims to mitigate errors, fraud, and pilferage associated with manual toll collection processes. By implementing secure encryption protocols, authentication mechanisms, and transaction verification processes, the system will enhance the integrity and reliability of toll collection, minimizing revenue leakages and financial losses for transportation authorities.</w:t>
      </w:r>
    </w:p>
    <w:p w14:paraId="22ED98BD" w14:textId="28947233" w:rsidR="00847D09" w:rsidRPr="00847D09"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t xml:space="preserve">ENABLE REAL-TIME DATA ANALYSIS: </w:t>
      </w:r>
      <w:r w:rsidRPr="00847D09">
        <w:rPr>
          <w:rFonts w:ascii="Times New Roman" w:hAnsi="Times New Roman"/>
          <w:color w:val="0D0D0D" w:themeColor="text1" w:themeTint="F2"/>
          <w:kern w:val="32"/>
          <w:sz w:val="24"/>
          <w:szCs w:val="24"/>
        </w:rPr>
        <w:t xml:space="preserve">The third objective is to design and integrate a function for real-time data collection and analysis within the ETC system. This function will enable transportation authorities to collect and analyze data on toll </w:t>
      </w:r>
      <w:r w:rsidRPr="00847D09">
        <w:rPr>
          <w:rFonts w:ascii="Times New Roman" w:hAnsi="Times New Roman"/>
          <w:color w:val="0D0D0D" w:themeColor="text1" w:themeTint="F2"/>
          <w:kern w:val="32"/>
          <w:sz w:val="24"/>
          <w:szCs w:val="24"/>
        </w:rPr>
        <w:lastRenderedPageBreak/>
        <w:t>transactions, traffic patterns, and user behavior in real-time. By providing insights into road usage, traffic flow, and toll compliance, the system will empower authorities to make informed decisions regarding road infrastructure investment, traffic management, and toll compliance enforcement. Real-time data analysis will facilitate proactive measures to optimize road networks and improve overall transportation efficiency.</w:t>
      </w:r>
    </w:p>
    <w:p w14:paraId="100955F7" w14:textId="77777777" w:rsidR="00847D09" w:rsidRPr="00847D09" w:rsidRDefault="00847D09"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5133AD43" w14:textId="78AF30E7" w:rsidR="00847D09" w:rsidRPr="00847D09"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t xml:space="preserve">FACILITATE TOLL COMPLIANCE ENFORCEMENT: </w:t>
      </w:r>
      <w:r w:rsidRPr="00847D09">
        <w:rPr>
          <w:rFonts w:ascii="Times New Roman" w:hAnsi="Times New Roman"/>
          <w:color w:val="0D0D0D" w:themeColor="text1" w:themeTint="F2"/>
          <w:kern w:val="32"/>
          <w:sz w:val="24"/>
          <w:szCs w:val="24"/>
        </w:rPr>
        <w:t>The fourth objective is to implement a function within the ETC system that facilitates toll compliance enforcement. This function will leverage automated monitoring, detection, and enforcement mechanisms to ensure adherence to toll payment regulations. By employing advanced algorithms, surveillance technologies, and automated enforcement processes, the system will deter toll evasion and promote compliance with toll payment requirements. By effectively enforcing toll compliance, the system will reduce revenue losses and enhance the sustainability of transportation infrastructure funding.</w:t>
      </w:r>
    </w:p>
    <w:p w14:paraId="468AB696" w14:textId="77777777" w:rsidR="00847D09" w:rsidRPr="00847D09" w:rsidRDefault="00847D09"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74AEB11" w14:textId="4B6CEDBA" w:rsidR="0018068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t xml:space="preserve">ENHANCE PAYMENT OPTIONS: </w:t>
      </w:r>
      <w:r w:rsidRPr="00847D09">
        <w:rPr>
          <w:rFonts w:ascii="Times New Roman" w:hAnsi="Times New Roman"/>
          <w:color w:val="0D0D0D" w:themeColor="text1" w:themeTint="F2"/>
          <w:kern w:val="32"/>
          <w:sz w:val="24"/>
          <w:szCs w:val="24"/>
        </w:rPr>
        <w:t xml:space="preserve">The fifth objective aims to enhance the payment options available to road users within the ETC system. By introducing flexible payment methods such as mobile payments, electronic wallets, and contactless transactions, the system will improve user convenience, satisfaction, and compliance. Offering diverse and user-friendly payment options will encourage more road users to adopt electronic toll payment methods, reducing reliance on cash </w:t>
      </w:r>
      <w:r w:rsidRPr="00847D09">
        <w:rPr>
          <w:rFonts w:ascii="Times New Roman" w:hAnsi="Times New Roman"/>
          <w:color w:val="0D0D0D" w:themeColor="text1" w:themeTint="F2"/>
          <w:kern w:val="32"/>
          <w:sz w:val="24"/>
          <w:szCs w:val="24"/>
        </w:rPr>
        <w:lastRenderedPageBreak/>
        <w:t>transactions and streamlining the toll collection process. Additionally, enhanced payment options will cater to the preferences and needs of a wider range of commuters, promoting inclusivity and accessibility in toll collection systems.</w:t>
      </w: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4E3A4E3E" w14:textId="77777777" w:rsidR="00847D09" w:rsidRPr="00180688" w:rsidRDefault="00847D09" w:rsidP="00847D09">
      <w:pPr>
        <w:pStyle w:val="ListParagraph"/>
        <w:spacing w:after="0" w:line="480" w:lineRule="auto"/>
        <w:ind w:left="1080"/>
        <w:jc w:val="both"/>
        <w:rPr>
          <w:rFonts w:ascii="Times New Roman" w:hAnsi="Times New Roman"/>
          <w:b/>
          <w:bCs/>
          <w:color w:val="0D0D0D" w:themeColor="text1" w:themeTint="F2"/>
          <w:kern w:val="32"/>
          <w:sz w:val="24"/>
          <w:szCs w:val="24"/>
        </w:rPr>
      </w:pPr>
    </w:p>
    <w:p w14:paraId="1F8E164C" w14:textId="6F703B44" w:rsidR="00AF332B" w:rsidRPr="00847D09"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t>ORGANIZATION OF THE STUDY</w:t>
      </w:r>
    </w:p>
    <w:p w14:paraId="28FA27E5" w14:textId="77777777" w:rsidR="00AF332B" w:rsidRPr="00D26D18" w:rsidRDefault="00AF332B" w:rsidP="00847D09">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This research project is structured as follows:</w:t>
      </w:r>
    </w:p>
    <w:p w14:paraId="1FD93E35" w14:textId="77777777"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t>Chapter One</w:t>
      </w:r>
      <w:r w:rsidRPr="00D26D18">
        <w:rPr>
          <w:rFonts w:ascii="Times New Roman" w:hAnsi="Times New Roman"/>
          <w:color w:val="0D0D0D" w:themeColor="text1" w:themeTint="F2"/>
          <w:kern w:val="32"/>
          <w:sz w:val="24"/>
          <w:szCs w:val="24"/>
        </w:rPr>
        <w:t>: Introduction to the research, outlining the background, problem statement, research questions, objectives, significance, and organization of the study.</w:t>
      </w:r>
    </w:p>
    <w:p w14:paraId="6C342BB4" w14:textId="77777777"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t>Chapter Two</w:t>
      </w:r>
      <w:r w:rsidRPr="00D26D18">
        <w:rPr>
          <w:rFonts w:ascii="Times New Roman" w:hAnsi="Times New Roman"/>
          <w:color w:val="0D0D0D" w:themeColor="text1" w:themeTint="F2"/>
          <w:kern w:val="32"/>
          <w:sz w:val="24"/>
          <w:szCs w:val="24"/>
        </w:rPr>
        <w:t>: Comprehensive review of relevant literature related to toll collection systems, RFID technology, and Electronic Toll Collection systems worldwide.</w:t>
      </w:r>
    </w:p>
    <w:p w14:paraId="287D77ED" w14:textId="77777777"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t>Chapter Three</w:t>
      </w:r>
      <w:r w:rsidRPr="00D26D18">
        <w:rPr>
          <w:rFonts w:ascii="Times New Roman" w:hAnsi="Times New Roman"/>
          <w:color w:val="0D0D0D" w:themeColor="text1" w:themeTint="F2"/>
          <w:kern w:val="32"/>
          <w:sz w:val="24"/>
          <w:szCs w:val="24"/>
        </w:rPr>
        <w:t>: Description of the research methodology, including data collection methods, research design, and analytical techniques employed in the study.</w:t>
      </w:r>
    </w:p>
    <w:p w14:paraId="706E8959" w14:textId="77777777"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t>Chapter Four</w:t>
      </w:r>
      <w:r w:rsidRPr="00D26D18">
        <w:rPr>
          <w:rFonts w:ascii="Times New Roman" w:hAnsi="Times New Roman"/>
          <w:color w:val="0D0D0D" w:themeColor="text1" w:themeTint="F2"/>
          <w:kern w:val="32"/>
          <w:sz w:val="24"/>
          <w:szCs w:val="24"/>
        </w:rPr>
        <w:t>: Details of the proposed design and implementation of GHAVeT Systems, including system architecture, components, functionalities, and deployment strategies.</w:t>
      </w:r>
    </w:p>
    <w:p w14:paraId="5B981BC2" w14:textId="77777777" w:rsidR="00AF332B" w:rsidRPr="00D26D18" w:rsidRDefault="00AF332B" w:rsidP="00D93BC2">
      <w:pPr>
        <w:numPr>
          <w:ilvl w:val="0"/>
          <w:numId w:val="1"/>
        </w:num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t>Chapter Five</w:t>
      </w:r>
      <w:r w:rsidRPr="00D26D18">
        <w:rPr>
          <w:rFonts w:ascii="Times New Roman" w:hAnsi="Times New Roman"/>
          <w:color w:val="0D0D0D" w:themeColor="text1" w:themeTint="F2"/>
          <w:kern w:val="32"/>
          <w:sz w:val="24"/>
          <w:szCs w:val="24"/>
        </w:rPr>
        <w:t>: Conclusion of the research with a summary of findings, conclusions drawn from the study, and recommendations for future research and implementation of GHAVeT Systems in Ghana's transportation sector.</w:t>
      </w:r>
    </w:p>
    <w:p w14:paraId="736978F1" w14:textId="77777777" w:rsidR="001B0F0E" w:rsidRPr="00D26D18" w:rsidRDefault="00B65143" w:rsidP="00847D09">
      <w:pPr>
        <w:spacing w:line="480" w:lineRule="auto"/>
        <w:jc w:val="center"/>
        <w:rPr>
          <w:rFonts w:ascii="Times New Roman" w:hAnsi="Times New Roman"/>
          <w:b/>
          <w:bCs/>
          <w:color w:val="0D0D0D" w:themeColor="text1" w:themeTint="F2"/>
          <w:sz w:val="24"/>
          <w:szCs w:val="24"/>
        </w:rPr>
      </w:pPr>
      <w:r w:rsidRPr="00D26D18">
        <w:rPr>
          <w:rFonts w:ascii="Times New Roman" w:hAnsi="Times New Roman"/>
          <w:color w:val="0D0D0D" w:themeColor="text1" w:themeTint="F2"/>
          <w:kern w:val="32"/>
          <w:sz w:val="24"/>
          <w:szCs w:val="24"/>
        </w:rPr>
        <w:br w:type="page"/>
      </w:r>
      <w:bookmarkStart w:id="15" w:name="_Toc149306327"/>
      <w:bookmarkStart w:id="16" w:name="_Toc149621694"/>
      <w:r w:rsidR="001B0F0E" w:rsidRPr="00D26D18">
        <w:rPr>
          <w:rFonts w:ascii="Times New Roman" w:hAnsi="Times New Roman"/>
          <w:b/>
          <w:bCs/>
          <w:color w:val="0D0D0D" w:themeColor="text1" w:themeTint="F2"/>
          <w:sz w:val="24"/>
          <w:szCs w:val="24"/>
        </w:rPr>
        <w:lastRenderedPageBreak/>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t>LITERATURE REVIEW</w:t>
      </w:r>
      <w:bookmarkEnd w:id="17"/>
      <w:bookmarkEnd w:id="18"/>
    </w:p>
    <w:p w14:paraId="6C6C9C26" w14:textId="6E202A3D" w:rsidR="00075ADE" w:rsidRPr="00075ADE" w:rsidRDefault="00075ADE" w:rsidP="00ED2425">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1DAF4EB9"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 today's era of rapid technological advancement, the efficient management of transportation systems is paramount for driving economic growth and societal development. Among the crucial components of transportation infrastructure is toll collection, serving as a vital source of revenue for maintaining and expanding road networks. However, traditional toll collection methods, often reliant on manual processes, present significant challenges such as inefficiencies, revenue losses, and traffic congestion at toll plazas. 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 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 Systems), aims to address existing challenges and usher in a new era of toll collection efficiency.</w:t>
      </w:r>
    </w:p>
    <w:p w14:paraId="696BDEDB" w14:textId="480E6C1D"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2.1 CONCEPT OF ELECTRONIC TOLL COLLECTION SYSTEMS</w:t>
      </w:r>
    </w:p>
    <w:p w14:paraId="6A51549E" w14:textId="454A1AE0"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Electronic Toll Collection (ETC) systems represent a paradigm shift in toll collection methodology, harnessing advanced technologies to automate toll payment and vehicle identification processes. At the core of ETC systems lies the principle of seamless and </w:t>
      </w:r>
      <w:r w:rsidRPr="00075ADE">
        <w:rPr>
          <w:rFonts w:ascii="Times New Roman" w:hAnsi="Times New Roman"/>
          <w:color w:val="0D0D0D" w:themeColor="text1" w:themeTint="F2"/>
          <w:kern w:val="32"/>
          <w:sz w:val="24"/>
          <w:szCs w:val="24"/>
        </w:rPr>
        <w:lastRenderedPageBreak/>
        <w:t>contactless toll transactions, enabling vehicles to pass through toll points without stopping. The GHAVeT System embodies this concept, aiming to revolutionize toll collection processes in Ghana by introducing automated and efficient toll payment mechanisms. By implementing RFID technology and other advanced systems, the GHAVeT System seeks to enhance traffic flow, reduce congestion at toll plazas, and improve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4D6D2CA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 DEFINITIONS</w:t>
      </w:r>
    </w:p>
    <w:p w14:paraId="17B38D43" w14:textId="1EF7C50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p>
    <w:p w14:paraId="224ED4E5"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7AEFC3F3" w14:textId="7CF61E81" w:rsidR="006523BE" w:rsidRPr="00ED2425" w:rsidRDefault="006523BE" w:rsidP="00ED2425">
      <w:p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2.2.1 ELECTRONIC TOLL COLLECTION (ETC) </w:t>
      </w:r>
    </w:p>
    <w:p w14:paraId="5E3EFB4F" w14:textId="40AE549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ETC refers to the automated process of toll collection, where tolls are electronically deducted from a prepaid account or billed to the vehicle owner after passing through a toll point. ETC systems utilize technologies such as RFID, GPS, and vehicle detection sensors to facilitate seamless toll transactions.</w:t>
      </w:r>
    </w:p>
    <w:p w14:paraId="55ABF3A1"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2.2.2 RFID TECHNOLOGY RADIO FREQUENCY IDENTIFICATION (RFID)</w:t>
      </w:r>
    </w:p>
    <w:p w14:paraId="313BF9D7" w14:textId="4214E327" w:rsidR="00075ADE" w:rsidRPr="00ED2425" w:rsidRDefault="006523BE" w:rsidP="00ED2425">
      <w:p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This t</w:t>
      </w:r>
      <w:r w:rsidR="00075ADE" w:rsidRPr="00075ADE">
        <w:rPr>
          <w:rFonts w:ascii="Times New Roman" w:hAnsi="Times New Roman"/>
          <w:color w:val="0D0D0D" w:themeColor="text1" w:themeTint="F2"/>
          <w:kern w:val="32"/>
          <w:sz w:val="24"/>
          <w:szCs w:val="24"/>
        </w:rPr>
        <w:t>echnology involves the use of radio waves to identify and track objects. In the context of ETC systems, RFID tags are affixed to vehicles, enabling automated identification and toll payment as vehicles pass through RFID-equipped toll points.</w:t>
      </w:r>
    </w:p>
    <w:p w14:paraId="365B2782"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D17A22F" w14:textId="5F41538B"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lastRenderedPageBreak/>
        <w:t xml:space="preserve">2.2.3 TOLL PLAZA </w:t>
      </w:r>
    </w:p>
    <w:p w14:paraId="64EC7569" w14:textId="12B04675"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A toll plaza is a designated location on a roadway where tolls are collected from vehicles. In ETC systems, toll plazas are equipped with electronic toll collection equipment, including RFID readers, cameras, and transaction processing systems.</w:t>
      </w:r>
    </w:p>
    <w:p w14:paraId="0F8BC269"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7462BD45" w14:textId="316BE155"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2.2.4 TOLL TRANSACTION</w:t>
      </w:r>
    </w:p>
    <w:p w14:paraId="5E6121D9" w14:textId="08FD318E"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 A toll transaction refers to the process of collecting tolls from vehicles passing through a toll point. In ETC systems, toll transactions occur electronically, with toll amounts deducted from prepaid accounts or billed to vehicle owners based on RFID tag identification.</w:t>
      </w:r>
    </w:p>
    <w:p w14:paraId="4F5C607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2.2.5 Prepaid Account A prepaid account is a digital account maintained by vehicle owners to facilitate electronic toll payments. Funds are deposited into the account in advance, and toll amounts are deducted automatically during toll transactions.</w:t>
      </w:r>
    </w:p>
    <w:p w14:paraId="25ED9EE2" w14:textId="369643C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2.2.6 Transaction Processing System A transaction processing system is a computerized system used to process and record toll transactions in real-time. In ETC systems, transaction processing systems capture vehicle data, calculate toll amounts, and facilitate payment processing.</w:t>
      </w:r>
    </w:p>
    <w:p w14:paraId="3DB2945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2.2.7 INTEROPERABILITY </w:t>
      </w:r>
    </w:p>
    <w:p w14:paraId="27F4FBED" w14:textId="6EB248D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Interoperability refers to the ability of ETC systems to seamlessly exchange data and process toll transactions across different toll networks and jurisdictions. Interoperable ETC systems allow vehicles to use a single RFID tag or account for toll payments across multiple toll roads and facilities.</w:t>
      </w:r>
    </w:p>
    <w:p w14:paraId="48A1D22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2.2.8 DYNAMIC PRICING </w:t>
      </w:r>
    </w:p>
    <w:p w14:paraId="7C7172EF" w14:textId="06F0A04D"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lastRenderedPageBreak/>
        <w:t>Dynamic pricing is a tolling strategy that adjusts toll rates based on factors such as traffic congestion, time of day, and vehicle occupancy. In ETC systems, dynamic pricing mechanisms help manage traffic flow and optimize toll revenues by incentivizing off-peak travel and reducing congestion.</w:t>
      </w:r>
    </w:p>
    <w:p w14:paraId="3A688D8F" w14:textId="77777777" w:rsidR="006523BE" w:rsidRPr="00ED2425" w:rsidRDefault="00075ADE" w:rsidP="00ED2425">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2.2.9 GHAVeTTag T</w:t>
      </w:r>
    </w:p>
    <w:p w14:paraId="275331BD" w14:textId="371631A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he GHAVeTTag is a unique identifier affixed to the windscreen of vehicles participating in the GHAVeT System. This tag contains RFID technology and is linked to the owner's prepaid account. GHAVeTTags are applied for by the account owner and are essential for automated toll transactions within the GHAVeT System. Additionally, GHAVeTTags can be obtained and affixed to vehicles by authorized toll collection authorities.</w:t>
      </w:r>
    </w:p>
    <w:p w14:paraId="697B2523"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3DA7DD54" w14:textId="7E3E4CD3"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2.3 ADVANTAGES OF ELECTRONIC TOLL COLLECTION SYSTEMS</w:t>
      </w:r>
    </w:p>
    <w:p w14:paraId="6BE2A5CC"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The implementation of Electronic Toll Collection (ETC) systems offers numerous advantages for transportation management and infrastructure development. These advantages include:</w:t>
      </w:r>
    </w:p>
    <w:p w14:paraId="1C55D5A9"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Improved Traffic Flow: </w:t>
      </w:r>
      <w:r w:rsidRPr="00ED2425">
        <w:rPr>
          <w:rFonts w:ascii="Times New Roman" w:hAnsi="Times New Roman"/>
          <w:color w:val="0D0D0D" w:themeColor="text1" w:themeTint="F2"/>
          <w:kern w:val="32"/>
          <w:sz w:val="24"/>
          <w:szCs w:val="24"/>
        </w:rPr>
        <w:t xml:space="preserve">ETC systems streamline toll collection processes, reducing congestion at toll plazas and enhancing traffic flow on roadways. </w:t>
      </w:r>
    </w:p>
    <w:p w14:paraId="0B387F8E"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Enhanced Revenue Collection: Automated toll collection mechanisms improve revenue collection accuracy and efficiency, minimizing revenue losses due to evasion and manual errors. </w:t>
      </w:r>
    </w:p>
    <w:p w14:paraId="68F3C0BC"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Reduced Environmental Impact:</w:t>
      </w:r>
      <w:r w:rsidRPr="00ED2425">
        <w:rPr>
          <w:rFonts w:ascii="Times New Roman" w:hAnsi="Times New Roman"/>
          <w:color w:val="0D0D0D" w:themeColor="text1" w:themeTint="F2"/>
          <w:kern w:val="32"/>
          <w:sz w:val="24"/>
          <w:szCs w:val="24"/>
        </w:rPr>
        <w:t xml:space="preserve"> By reducing idling time and vehicle emissions at toll plazas, ETC systems contribute to environmental sustainability and air quality improvement. </w:t>
      </w:r>
    </w:p>
    <w:p w14:paraId="48F2C6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Pr="00ED2425">
        <w:rPr>
          <w:rFonts w:ascii="Times New Roman" w:hAnsi="Times New Roman"/>
          <w:b/>
          <w:bCs/>
          <w:color w:val="0D0D0D" w:themeColor="text1" w:themeTint="F2"/>
          <w:kern w:val="32"/>
          <w:sz w:val="24"/>
          <w:szCs w:val="24"/>
        </w:rPr>
        <w:t>Enhanced Customer Convenience:</w:t>
      </w:r>
      <w:r w:rsidRPr="00ED2425">
        <w:rPr>
          <w:rFonts w:ascii="Times New Roman" w:hAnsi="Times New Roman"/>
          <w:color w:val="0D0D0D" w:themeColor="text1" w:themeTint="F2"/>
          <w:kern w:val="32"/>
          <w:sz w:val="24"/>
          <w:szCs w:val="24"/>
        </w:rPr>
        <w:t xml:space="preserve"> ETC systems offer drivers the convenience of contactless toll payment, eliminating the need to stop at toll booths and facilitating seamless travel experiences. </w:t>
      </w:r>
    </w:p>
    <w:p w14:paraId="3567C5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Operational Efficiency:</w:t>
      </w:r>
      <w:r w:rsidRPr="00ED2425">
        <w:rPr>
          <w:rFonts w:ascii="Times New Roman" w:hAnsi="Times New Roman"/>
          <w:color w:val="0D0D0D" w:themeColor="text1" w:themeTint="F2"/>
          <w:kern w:val="32"/>
          <w:sz w:val="24"/>
          <w:szCs w:val="24"/>
        </w:rPr>
        <w:t xml:space="preserve"> ETC systems streamline toll collection operations, reducing labor costs, and administrative overhead associated with manual toll collection methods. • Interoperability: Interoperable ETC systems enable seamless toll transactions across different toll networks and jurisdictions, enhancing travel convenience and efficiency for motorists.</w:t>
      </w:r>
    </w:p>
    <w:p w14:paraId="70FF6B7B" w14:textId="66191FF2" w:rsidR="00075AD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Flexibility:</w:t>
      </w:r>
      <w:r w:rsidRPr="00ED2425">
        <w:rPr>
          <w:rFonts w:ascii="Times New Roman" w:hAnsi="Times New Roman"/>
          <w:color w:val="0D0D0D" w:themeColor="text1" w:themeTint="F2"/>
          <w:kern w:val="32"/>
          <w:sz w:val="24"/>
          <w:szCs w:val="24"/>
        </w:rPr>
        <w:t xml:space="preserve"> ETC systems allow for the implementation of dynamic pricing strategies, enabling authorities to adjust toll rates based on traffic conditions and demand patterns, thereby optimizing revenue generation.</w:t>
      </w:r>
    </w:p>
    <w:p w14:paraId="6CEB66D2" w14:textId="77777777" w:rsidR="006523BE" w:rsidRPr="00ED2425" w:rsidRDefault="006523BE" w:rsidP="00ED2425">
      <w:pPr>
        <w:spacing w:after="0" w:line="480" w:lineRule="auto"/>
        <w:jc w:val="both"/>
        <w:rPr>
          <w:rFonts w:ascii="Times New Roman" w:hAnsi="Times New Roman"/>
          <w:color w:val="0D0D0D" w:themeColor="text1" w:themeTint="F2"/>
          <w:kern w:val="32"/>
          <w:sz w:val="24"/>
          <w:szCs w:val="24"/>
        </w:rPr>
      </w:pPr>
    </w:p>
    <w:p w14:paraId="11CB4EF0" w14:textId="63203834"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2.4 DISADVANTAGES OF ELECTRONIC TOLL COLLECTION SYSTEMS</w:t>
      </w:r>
    </w:p>
    <w:p w14:paraId="3FA00D6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Despite their numerous advantages, Electronic Toll Collection (ETC) systems may also pose certain challenges and drawbacks. These disadvantages include:</w:t>
      </w:r>
    </w:p>
    <w:p w14:paraId="66D69F7F" w14:textId="3D0DEC58" w:rsidR="006523B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INITIAL IMPLEMENTATION COSTS: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 xml:space="preserve">The upfront costs associated with deploying ETC systems, including infrastructure investment, technology procurement, and system integration, can be substantial. </w:t>
      </w:r>
    </w:p>
    <w:p w14:paraId="6A7B71A1" w14:textId="16991594"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TECHNOLOGICAL BARRIERS: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rely on advanced technologies such as RFID, GPS, and transaction processing systems, which may require robust IT infrastructure and internet connectivity. In regions with limited technological capabilities, deploying ETC systems may be challenging. </w:t>
      </w:r>
    </w:p>
    <w:p w14:paraId="727CF123" w14:textId="681A5993"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00E255F9" w:rsidRPr="00ED2425">
        <w:rPr>
          <w:rFonts w:ascii="Times New Roman" w:hAnsi="Times New Roman"/>
          <w:b/>
          <w:bCs/>
          <w:color w:val="0D0D0D" w:themeColor="text1" w:themeTint="F2"/>
          <w:kern w:val="32"/>
          <w:sz w:val="24"/>
          <w:szCs w:val="24"/>
        </w:rPr>
        <w:t>PRIVACY AND SECURITY CONCERNS: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ETC systems involve the collection and storage of sensitive user data, raising concerns about privacy breaches and cybersecurity risks. Safeguarding system integrity and protecting user information are essential but challenging tasks.</w:t>
      </w:r>
    </w:p>
    <w:p w14:paraId="7AB3584A" w14:textId="69187F53"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EQUITY AND ACCESSIBILITY ISSUES: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may inadvertently exclude certain segments of the population, such as low-income motorists or those without access to digital payment methods, leading to concerns about equity and accessibility. </w:t>
      </w:r>
    </w:p>
    <w:p w14:paraId="7A2EF571" w14:textId="1BE34914" w:rsidR="00075AD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LEGAL AND REGULATORY CHALLENGES: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The implementation of ETC systems may be subject to regulatory hurdles, including licensing requirements, data protection regulations, and interoperability standards, which can vary across jurisdictions. • User Acceptance and Adoption: ETC systems require user acceptance and adoption to realize their full benefits. Resistance to change, lack of awareness, and concerns about privacy and reliability may hinder user acceptance and adoption rates.</w:t>
      </w:r>
    </w:p>
    <w:p w14:paraId="79775230" w14:textId="77777777" w:rsidR="00E255F9" w:rsidRPr="00ED2425" w:rsidRDefault="00E255F9" w:rsidP="00ED2425">
      <w:pPr>
        <w:pStyle w:val="ListParagraph"/>
        <w:spacing w:after="0" w:line="480" w:lineRule="auto"/>
        <w:jc w:val="both"/>
        <w:rPr>
          <w:rFonts w:ascii="Times New Roman" w:hAnsi="Times New Roman"/>
          <w:color w:val="0D0D0D" w:themeColor="text1" w:themeTint="F2"/>
          <w:kern w:val="32"/>
          <w:sz w:val="24"/>
          <w:szCs w:val="24"/>
        </w:rPr>
      </w:pPr>
    </w:p>
    <w:p w14:paraId="768AE5C3" w14:textId="18AC0FB5" w:rsidR="00075ADE" w:rsidRPr="00075ADE" w:rsidRDefault="00E255F9"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2.5 RELATED WORKS</w:t>
      </w:r>
    </w:p>
    <w:p w14:paraId="499D5177" w14:textId="69257B3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5DF4C698" w14:textId="346A58F9"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"Integration of Electronic Toll Collection Systems with Intelligent Transportation Systems: A Review"</w:t>
      </w:r>
      <w:r w:rsidRPr="00ED2425">
        <w:rPr>
          <w:rFonts w:ascii="Times New Roman" w:hAnsi="Times New Roman"/>
          <w:color w:val="0D0D0D" w:themeColor="text1" w:themeTint="F2"/>
          <w:kern w:val="32"/>
          <w:sz w:val="24"/>
          <w:szCs w:val="24"/>
        </w:rPr>
        <w:t xml:space="preserve"> by Wang et al. (2018), reviews the integration of ETC systems with Intelligent Transportation Systems (ITS) to enhance traffic management and road safety. The study explores synergies between ETC and ITS technologies, such as traffic </w:t>
      </w:r>
      <w:r w:rsidRPr="00ED2425">
        <w:rPr>
          <w:rFonts w:ascii="Times New Roman" w:hAnsi="Times New Roman"/>
          <w:color w:val="0D0D0D" w:themeColor="text1" w:themeTint="F2"/>
          <w:kern w:val="32"/>
          <w:sz w:val="24"/>
          <w:szCs w:val="24"/>
        </w:rPr>
        <w:lastRenderedPageBreak/>
        <w:t>monitoring, incident detection, and congestion management, to improve overall transportation efficiency.</w:t>
      </w:r>
    </w:p>
    <w:p w14:paraId="6EE41A5A" w14:textId="198E267F"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“Optimizing Traffic Flow and Toll Revenue Using Electronic Toll Collection Systems: A Case Study of a Major Metropolitan Area”</w:t>
      </w:r>
      <w:r w:rsidRPr="00ED2425">
        <w:rPr>
          <w:rFonts w:ascii="Times New Roman" w:hAnsi="Times New Roman"/>
          <w:color w:val="0D0D0D" w:themeColor="text1" w:themeTint="F2"/>
          <w:kern w:val="32"/>
          <w:sz w:val="24"/>
          <w:szCs w:val="24"/>
        </w:rPr>
        <w:t xml:space="preserve"> by Lee et al. (2019), presents a case study analyzing the impact of ETC systems on traffic flow and toll revenue generation in a major metropolitan area. The study examines the effectiveness of dynamic pricing strategies and operational optimizations in improving transportation efficiency and revenue collection.</w:t>
      </w:r>
    </w:p>
    <w:p w14:paraId="65C3093B" w14:textId="0BC9F2FD"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“Comparative Analysis of Electronic Toll Collection Systems: Case Studies from Various Countries”</w:t>
      </w:r>
      <w:r w:rsidRPr="00ED2425">
        <w:rPr>
          <w:rFonts w:ascii="Times New Roman" w:hAnsi="Times New Roman"/>
          <w:color w:val="0D0D0D" w:themeColor="text1" w:themeTint="F2"/>
          <w:kern w:val="32"/>
          <w:sz w:val="24"/>
          <w:szCs w:val="24"/>
        </w:rPr>
        <w:t xml:space="preserve"> by Kumar et al. (2020), conducts a comparative analysis of ETC systems implemented in different countries. The study examines system architectures, technological features, user acceptance, and policy frameworks to identify best practices and lessons learned for system optimization and interoperability.</w:t>
      </w:r>
    </w:p>
    <w:p w14:paraId="622AC476" w14:textId="588395C6"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"Electronic Toll Collection Systems: Technologies and Implementation Challenges"</w:t>
      </w:r>
      <w:r w:rsidRPr="00ED2425">
        <w:rPr>
          <w:rFonts w:ascii="Times New Roman" w:hAnsi="Times New Roman"/>
          <w:color w:val="0D0D0D" w:themeColor="text1" w:themeTint="F2"/>
          <w:kern w:val="32"/>
          <w:sz w:val="24"/>
          <w:szCs w:val="24"/>
        </w:rPr>
        <w:t xml:space="preserve"> by Wu et al. (2021), provides an overview of ETC technologies, implementation challenges, and best practices for successful deployment. • "Interoperability in Electronic Toll Collection Systems: Challenges and Opportunities" by Choudhary et al. (2019), examines the interoperability issues and solutions in ETC systems, emphasizing the importance of standardization and collaboration among toll operators. </w:t>
      </w:r>
    </w:p>
    <w:p w14:paraId="4B15B30E" w14:textId="14BB0208"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"Cost-Benefit Analysis of Electronic Toll Collection Systems: Case Studies from Different Regions"</w:t>
      </w:r>
      <w:r w:rsidRPr="00ED2425">
        <w:rPr>
          <w:rFonts w:ascii="Times New Roman" w:hAnsi="Times New Roman"/>
          <w:color w:val="0D0D0D" w:themeColor="text1" w:themeTint="F2"/>
          <w:kern w:val="32"/>
          <w:sz w:val="24"/>
          <w:szCs w:val="24"/>
        </w:rPr>
        <w:t xml:space="preserve"> by Rodriguez et al. (2018), conducts a cost-benefit analysis of ETC systems deployed in different regions. The study evaluates the economic viability, return </w:t>
      </w:r>
      <w:r w:rsidRPr="00ED2425">
        <w:rPr>
          <w:rFonts w:ascii="Times New Roman" w:hAnsi="Times New Roman"/>
          <w:color w:val="0D0D0D" w:themeColor="text1" w:themeTint="F2"/>
          <w:kern w:val="32"/>
          <w:sz w:val="24"/>
          <w:szCs w:val="24"/>
        </w:rPr>
        <w:lastRenderedPageBreak/>
        <w:t>on investment, and social welfare implications of ETC implementation to assess its overall value and feasibility.</w:t>
      </w:r>
    </w:p>
    <w:p w14:paraId="6549AA7F" w14:textId="05A013D5"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"Policy Analysis of Electronic Toll Collection Systems: Lessons from National and International Initiatives"</w:t>
      </w:r>
      <w:r w:rsidRPr="00ED2425">
        <w:rPr>
          <w:rFonts w:ascii="Times New Roman" w:hAnsi="Times New Roman"/>
          <w:color w:val="0D0D0D" w:themeColor="text1" w:themeTint="F2"/>
          <w:kern w:val="32"/>
          <w:sz w:val="24"/>
          <w:szCs w:val="24"/>
        </w:rPr>
        <w:t xml:space="preserve"> by Fernandez et al. (2020), conducts a policy analysis of ETC systems implemented in various countries. The study examines policy frameworks, regulatory mechanisms, and stakeholder engagement strategies to identify barriers and enablers for successful ETC implementation and adoption</w:t>
      </w:r>
    </w:p>
    <w:p w14:paraId="13BC57FD"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Strategies for Electronic Toll Collection Systems"</w:t>
      </w:r>
      <w:r w:rsidRPr="00ED2425">
        <w:rPr>
          <w:rFonts w:ascii="Times New Roman" w:hAnsi="Times New Roman"/>
          <w:color w:val="0D0D0D" w:themeColor="text1" w:themeTint="F2"/>
          <w:kern w:val="32"/>
          <w:sz w:val="24"/>
          <w:szCs w:val="24"/>
        </w:rPr>
        <w:t xml:space="preserve"> by Zhang et al. (2020), explores dynamic pricing mechanisms in ETC systems, analyzing their effectiveness in managing traffic congestion and optimizing toll revenues. </w:t>
      </w:r>
    </w:p>
    <w:p w14:paraId="6E789492"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"Privacy and Security Issues in Electronic Toll Collection Systems"</w:t>
      </w:r>
      <w:r w:rsidRPr="00ED2425">
        <w:rPr>
          <w:rFonts w:ascii="Times New Roman" w:hAnsi="Times New Roman"/>
          <w:color w:val="0D0D0D" w:themeColor="text1" w:themeTint="F2"/>
          <w:kern w:val="32"/>
          <w:sz w:val="24"/>
          <w:szCs w:val="24"/>
        </w:rPr>
        <w:t xml:space="preserve"> by Siddiqui et al. (2020), investigates the privacy and security concerns associated with ETC systems, proposing strategies for mitigating risks and safeguarding user data. </w:t>
      </w:r>
    </w:p>
    <w:p w14:paraId="4D55DDE8"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"User Acceptance of Electronic Toll Collection Systems: A Review of Literature"</w:t>
      </w:r>
      <w:r w:rsidRPr="00ED2425">
        <w:rPr>
          <w:rFonts w:ascii="Times New Roman" w:hAnsi="Times New Roman"/>
          <w:color w:val="0D0D0D" w:themeColor="text1" w:themeTint="F2"/>
          <w:kern w:val="32"/>
          <w:sz w:val="24"/>
          <w:szCs w:val="24"/>
        </w:rPr>
        <w:t xml:space="preserve"> by Nakatsuji et al. (2018), reviews existing literature on user acceptance of ETC systems, identifying factors influencing adoption behavior and suggesting approaches to enhance user engagement. </w:t>
      </w:r>
    </w:p>
    <w:p w14:paraId="334B242A" w14:textId="722EFB59" w:rsidR="00075AD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"Equity and Accessibility in Electronic Toll Collection Systems"</w:t>
      </w:r>
      <w:r w:rsidRPr="00ED2425">
        <w:rPr>
          <w:rFonts w:ascii="Times New Roman" w:hAnsi="Times New Roman"/>
          <w:color w:val="0D0D0D" w:themeColor="text1" w:themeTint="F2"/>
          <w:kern w:val="32"/>
          <w:sz w:val="24"/>
          <w:szCs w:val="24"/>
        </w:rPr>
        <w:t xml:space="preserve"> by Yan et al. (2017), examines equity and accessibility issues in ETC systems, highlighting disparities in access and proposing inclusive design strategies to address the needs of underserved populations.</w:t>
      </w:r>
    </w:p>
    <w:p w14:paraId="64B7223E"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These related works offer valuable insights and perspectives on Electronic Toll Collection (ETC) systems, providing a foundation for further research and practical application in transportation </w:t>
      </w:r>
      <w:r w:rsidRPr="00075ADE">
        <w:rPr>
          <w:rFonts w:ascii="Times New Roman" w:hAnsi="Times New Roman"/>
          <w:color w:val="0D0D0D" w:themeColor="text1" w:themeTint="F2"/>
          <w:kern w:val="32"/>
          <w:sz w:val="24"/>
          <w:szCs w:val="24"/>
        </w:rPr>
        <w:lastRenderedPageBreak/>
        <w:t>management and infrastructure development. By synthesizing the findings and recommendations from these studies, stakeholders can inform decision-making processes and optimize the implementation of ETC systems to maximize their benefits while mitigating potential challenges.</w:t>
      </w:r>
    </w:p>
    <w:p w14:paraId="417EA224" w14:textId="3A400EF9" w:rsidR="008F12CF" w:rsidRDefault="008F12CF" w:rsidP="00ED2425">
      <w:pPr>
        <w:spacing w:after="0" w:line="480" w:lineRule="auto"/>
        <w:jc w:val="both"/>
        <w:rPr>
          <w:rFonts w:ascii="Times New Roman" w:hAnsi="Times New Roman"/>
          <w:color w:val="0D0D0D" w:themeColor="text1" w:themeTint="F2"/>
          <w:kern w:val="32"/>
          <w:sz w:val="24"/>
          <w:szCs w:val="24"/>
        </w:rPr>
      </w:pPr>
    </w:p>
    <w:p w14:paraId="468B41A5" w14:textId="676232F4" w:rsidR="00ED2425" w:rsidRPr="00ED2425" w:rsidRDefault="00ED2425" w:rsidP="00ED2425">
      <w:pPr>
        <w:rPr>
          <w:rFonts w:ascii="Times New Roman" w:hAnsi="Times New Roman"/>
          <w:sz w:val="24"/>
          <w:szCs w:val="24"/>
        </w:rPr>
      </w:pPr>
    </w:p>
    <w:p w14:paraId="3D499694" w14:textId="4B2280BC" w:rsidR="00ED2425" w:rsidRPr="00ED2425" w:rsidRDefault="00ED2425" w:rsidP="00ED2425">
      <w:pPr>
        <w:rPr>
          <w:rFonts w:ascii="Times New Roman" w:hAnsi="Times New Roman"/>
          <w:sz w:val="24"/>
          <w:szCs w:val="24"/>
        </w:rPr>
      </w:pPr>
    </w:p>
    <w:p w14:paraId="05B18564" w14:textId="0656FFAF" w:rsidR="00ED2425" w:rsidRPr="00ED2425" w:rsidRDefault="00ED2425" w:rsidP="00ED2425">
      <w:pPr>
        <w:rPr>
          <w:rFonts w:ascii="Times New Roman" w:hAnsi="Times New Roman"/>
          <w:sz w:val="24"/>
          <w:szCs w:val="24"/>
        </w:rPr>
      </w:pPr>
    </w:p>
    <w:p w14:paraId="529B9272" w14:textId="354E1042" w:rsidR="00ED2425" w:rsidRPr="00ED2425" w:rsidRDefault="00ED2425" w:rsidP="00ED2425">
      <w:pPr>
        <w:rPr>
          <w:rFonts w:ascii="Times New Roman" w:hAnsi="Times New Roman"/>
          <w:sz w:val="24"/>
          <w:szCs w:val="24"/>
        </w:rPr>
      </w:pPr>
    </w:p>
    <w:p w14:paraId="0ED27C96" w14:textId="3C023A58" w:rsidR="00ED2425" w:rsidRPr="00ED2425" w:rsidRDefault="00ED2425" w:rsidP="00ED2425">
      <w:pPr>
        <w:rPr>
          <w:rFonts w:ascii="Times New Roman" w:hAnsi="Times New Roman"/>
          <w:sz w:val="24"/>
          <w:szCs w:val="24"/>
        </w:rPr>
      </w:pPr>
    </w:p>
    <w:p w14:paraId="3C85101F" w14:textId="57C83A0B" w:rsidR="00ED2425" w:rsidRPr="00ED2425" w:rsidRDefault="00ED2425" w:rsidP="00ED2425">
      <w:pPr>
        <w:rPr>
          <w:rFonts w:ascii="Times New Roman" w:hAnsi="Times New Roman"/>
          <w:sz w:val="24"/>
          <w:szCs w:val="24"/>
        </w:rPr>
      </w:pPr>
    </w:p>
    <w:p w14:paraId="3767AE75" w14:textId="1F9C9F04" w:rsidR="00ED2425" w:rsidRDefault="00ED2425" w:rsidP="00ED2425">
      <w:pPr>
        <w:rPr>
          <w:rFonts w:ascii="Times New Roman" w:hAnsi="Times New Roman"/>
          <w:color w:val="0D0D0D" w:themeColor="text1" w:themeTint="F2"/>
          <w:kern w:val="32"/>
          <w:sz w:val="24"/>
          <w:szCs w:val="24"/>
        </w:rPr>
      </w:pPr>
    </w:p>
    <w:p w14:paraId="568D0E21" w14:textId="7C63F23C" w:rsidR="00ED2425" w:rsidRPr="00ED2425" w:rsidRDefault="00ED2425" w:rsidP="00ED2425">
      <w:pPr>
        <w:tabs>
          <w:tab w:val="left" w:pos="1880"/>
        </w:tabs>
        <w:rPr>
          <w:rFonts w:ascii="Times New Roman" w:hAnsi="Times New Roman"/>
          <w:sz w:val="24"/>
          <w:szCs w:val="24"/>
        </w:rPr>
      </w:pPr>
      <w:r>
        <w:rPr>
          <w:rFonts w:ascii="Times New Roman" w:hAnsi="Times New Roman"/>
          <w:sz w:val="24"/>
          <w:szCs w:val="24"/>
        </w:rPr>
        <w:tab/>
      </w:r>
    </w:p>
    <w:sectPr w:rsidR="00ED2425" w:rsidRPr="00ED2425"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0FA1F" w14:textId="77777777" w:rsidR="004D4ECF" w:rsidRDefault="004D4ECF">
      <w:pPr>
        <w:spacing w:after="0" w:line="240" w:lineRule="auto"/>
      </w:pPr>
      <w:r>
        <w:separator/>
      </w:r>
    </w:p>
  </w:endnote>
  <w:endnote w:type="continuationSeparator" w:id="0">
    <w:p w14:paraId="71E9B038" w14:textId="77777777" w:rsidR="004D4ECF" w:rsidRDefault="004D4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2F97" w14:textId="77777777" w:rsidR="004D4ECF" w:rsidRDefault="004D4ECF">
      <w:pPr>
        <w:spacing w:after="0" w:line="240" w:lineRule="auto"/>
      </w:pPr>
      <w:r>
        <w:separator/>
      </w:r>
    </w:p>
  </w:footnote>
  <w:footnote w:type="continuationSeparator" w:id="0">
    <w:p w14:paraId="203903F5" w14:textId="77777777" w:rsidR="004D4ECF" w:rsidRDefault="004D4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CC"/>
    <w:rsid w:val="00090A65"/>
    <w:rsid w:val="0009239E"/>
    <w:rsid w:val="000950EF"/>
    <w:rsid w:val="0009582D"/>
    <w:rsid w:val="00095D88"/>
    <w:rsid w:val="0009740F"/>
    <w:rsid w:val="000974A1"/>
    <w:rsid w:val="000A2AC7"/>
    <w:rsid w:val="000A2D0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E10EF"/>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643B"/>
    <w:rsid w:val="0012769C"/>
    <w:rsid w:val="00127777"/>
    <w:rsid w:val="00133B15"/>
    <w:rsid w:val="00133D65"/>
    <w:rsid w:val="00136463"/>
    <w:rsid w:val="00137D04"/>
    <w:rsid w:val="001410FA"/>
    <w:rsid w:val="00141599"/>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64A8"/>
    <w:rsid w:val="002172B6"/>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B39"/>
    <w:rsid w:val="00270744"/>
    <w:rsid w:val="00274A3D"/>
    <w:rsid w:val="00275810"/>
    <w:rsid w:val="00280CDE"/>
    <w:rsid w:val="00283B81"/>
    <w:rsid w:val="00290A73"/>
    <w:rsid w:val="002955BD"/>
    <w:rsid w:val="002A30C6"/>
    <w:rsid w:val="002A4594"/>
    <w:rsid w:val="002A63CD"/>
    <w:rsid w:val="002A712F"/>
    <w:rsid w:val="002B015C"/>
    <w:rsid w:val="002B0262"/>
    <w:rsid w:val="002B2F5F"/>
    <w:rsid w:val="002B603E"/>
    <w:rsid w:val="002C0736"/>
    <w:rsid w:val="002C085E"/>
    <w:rsid w:val="002C1CDF"/>
    <w:rsid w:val="002C6394"/>
    <w:rsid w:val="002C676D"/>
    <w:rsid w:val="002D17EC"/>
    <w:rsid w:val="002D4FA9"/>
    <w:rsid w:val="002D5EE5"/>
    <w:rsid w:val="002D6FFA"/>
    <w:rsid w:val="002E2EB9"/>
    <w:rsid w:val="002E4FC8"/>
    <w:rsid w:val="002F0699"/>
    <w:rsid w:val="002F1D70"/>
    <w:rsid w:val="002F4B09"/>
    <w:rsid w:val="002F5429"/>
    <w:rsid w:val="002F5438"/>
    <w:rsid w:val="003034E9"/>
    <w:rsid w:val="00305BB2"/>
    <w:rsid w:val="003076CB"/>
    <w:rsid w:val="00307C6C"/>
    <w:rsid w:val="00307CD5"/>
    <w:rsid w:val="00310FAC"/>
    <w:rsid w:val="003124EF"/>
    <w:rsid w:val="00314C41"/>
    <w:rsid w:val="00316CE4"/>
    <w:rsid w:val="003171E7"/>
    <w:rsid w:val="00320E6B"/>
    <w:rsid w:val="0032323E"/>
    <w:rsid w:val="003240F3"/>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3897"/>
    <w:rsid w:val="00384750"/>
    <w:rsid w:val="00384F09"/>
    <w:rsid w:val="00387955"/>
    <w:rsid w:val="00391186"/>
    <w:rsid w:val="00391543"/>
    <w:rsid w:val="0039314E"/>
    <w:rsid w:val="0039316B"/>
    <w:rsid w:val="003A3907"/>
    <w:rsid w:val="003A3AEE"/>
    <w:rsid w:val="003A3FFB"/>
    <w:rsid w:val="003A4486"/>
    <w:rsid w:val="003A687E"/>
    <w:rsid w:val="003A778A"/>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B6B"/>
    <w:rsid w:val="003F5D4F"/>
    <w:rsid w:val="003F68C4"/>
    <w:rsid w:val="003F7564"/>
    <w:rsid w:val="0040244A"/>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4721"/>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364B"/>
    <w:rsid w:val="004B4B78"/>
    <w:rsid w:val="004C1907"/>
    <w:rsid w:val="004C36CC"/>
    <w:rsid w:val="004C38DC"/>
    <w:rsid w:val="004C59F6"/>
    <w:rsid w:val="004D2A3D"/>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1824"/>
    <w:rsid w:val="005927BC"/>
    <w:rsid w:val="00592817"/>
    <w:rsid w:val="00592B11"/>
    <w:rsid w:val="00595CC6"/>
    <w:rsid w:val="00596ECD"/>
    <w:rsid w:val="00597213"/>
    <w:rsid w:val="005A0750"/>
    <w:rsid w:val="005A07F8"/>
    <w:rsid w:val="005A2CF6"/>
    <w:rsid w:val="005A4E56"/>
    <w:rsid w:val="005A51D1"/>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628B"/>
    <w:rsid w:val="00616CCA"/>
    <w:rsid w:val="0061761C"/>
    <w:rsid w:val="00617777"/>
    <w:rsid w:val="00617B80"/>
    <w:rsid w:val="006223AB"/>
    <w:rsid w:val="00624E23"/>
    <w:rsid w:val="00633435"/>
    <w:rsid w:val="00636061"/>
    <w:rsid w:val="00636763"/>
    <w:rsid w:val="006367FD"/>
    <w:rsid w:val="006369B8"/>
    <w:rsid w:val="00636A53"/>
    <w:rsid w:val="00636B8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3C95"/>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5C6D"/>
    <w:rsid w:val="007E7FB3"/>
    <w:rsid w:val="007F0EA1"/>
    <w:rsid w:val="007F17C4"/>
    <w:rsid w:val="007F2EBA"/>
    <w:rsid w:val="007F378B"/>
    <w:rsid w:val="007F71A0"/>
    <w:rsid w:val="007F7749"/>
    <w:rsid w:val="007F78C1"/>
    <w:rsid w:val="007F7F3C"/>
    <w:rsid w:val="00800A19"/>
    <w:rsid w:val="00802212"/>
    <w:rsid w:val="00805A9B"/>
    <w:rsid w:val="0080626A"/>
    <w:rsid w:val="0080643E"/>
    <w:rsid w:val="00806C49"/>
    <w:rsid w:val="00806F6C"/>
    <w:rsid w:val="00814E3F"/>
    <w:rsid w:val="00814F0A"/>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17BB"/>
    <w:rsid w:val="008D3681"/>
    <w:rsid w:val="008D381A"/>
    <w:rsid w:val="008D3DE3"/>
    <w:rsid w:val="008E13BE"/>
    <w:rsid w:val="008E35CA"/>
    <w:rsid w:val="008E4FFE"/>
    <w:rsid w:val="008E53CB"/>
    <w:rsid w:val="008E5FC2"/>
    <w:rsid w:val="008E74F9"/>
    <w:rsid w:val="008E7700"/>
    <w:rsid w:val="008E7AB7"/>
    <w:rsid w:val="008F12CF"/>
    <w:rsid w:val="008F162E"/>
    <w:rsid w:val="008F2D4C"/>
    <w:rsid w:val="008F38C1"/>
    <w:rsid w:val="008F7117"/>
    <w:rsid w:val="009014A2"/>
    <w:rsid w:val="0091060C"/>
    <w:rsid w:val="00920821"/>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6CB2"/>
    <w:rsid w:val="00957F16"/>
    <w:rsid w:val="0096021D"/>
    <w:rsid w:val="0096183D"/>
    <w:rsid w:val="00961B3D"/>
    <w:rsid w:val="00961BE5"/>
    <w:rsid w:val="00962D0B"/>
    <w:rsid w:val="00963FC2"/>
    <w:rsid w:val="00970500"/>
    <w:rsid w:val="00973D27"/>
    <w:rsid w:val="00976A50"/>
    <w:rsid w:val="00976AF7"/>
    <w:rsid w:val="009779EE"/>
    <w:rsid w:val="00977D60"/>
    <w:rsid w:val="00983221"/>
    <w:rsid w:val="009845C5"/>
    <w:rsid w:val="00984826"/>
    <w:rsid w:val="00984F3D"/>
    <w:rsid w:val="009852F0"/>
    <w:rsid w:val="0098660D"/>
    <w:rsid w:val="00986A93"/>
    <w:rsid w:val="00987C68"/>
    <w:rsid w:val="00992718"/>
    <w:rsid w:val="009942D6"/>
    <w:rsid w:val="00994DB4"/>
    <w:rsid w:val="009967EA"/>
    <w:rsid w:val="009979B8"/>
    <w:rsid w:val="009A0BE9"/>
    <w:rsid w:val="009A0F81"/>
    <w:rsid w:val="009A3785"/>
    <w:rsid w:val="009A6C3E"/>
    <w:rsid w:val="009B3521"/>
    <w:rsid w:val="009B51B2"/>
    <w:rsid w:val="009B5B8E"/>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F32"/>
    <w:rsid w:val="00A0375E"/>
    <w:rsid w:val="00A03FE8"/>
    <w:rsid w:val="00A04029"/>
    <w:rsid w:val="00A048C4"/>
    <w:rsid w:val="00A0520A"/>
    <w:rsid w:val="00A06229"/>
    <w:rsid w:val="00A136CA"/>
    <w:rsid w:val="00A1782C"/>
    <w:rsid w:val="00A2239A"/>
    <w:rsid w:val="00A2569C"/>
    <w:rsid w:val="00A26A54"/>
    <w:rsid w:val="00A31281"/>
    <w:rsid w:val="00A31284"/>
    <w:rsid w:val="00A3154B"/>
    <w:rsid w:val="00A3246A"/>
    <w:rsid w:val="00A328BA"/>
    <w:rsid w:val="00A336F7"/>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A27"/>
    <w:rsid w:val="00AA2049"/>
    <w:rsid w:val="00AA3FCD"/>
    <w:rsid w:val="00AA47EB"/>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CA6"/>
    <w:rsid w:val="00AE3221"/>
    <w:rsid w:val="00AE37DE"/>
    <w:rsid w:val="00AE40BC"/>
    <w:rsid w:val="00AE5A87"/>
    <w:rsid w:val="00AE6288"/>
    <w:rsid w:val="00AF332B"/>
    <w:rsid w:val="00AF38DC"/>
    <w:rsid w:val="00AF4CF1"/>
    <w:rsid w:val="00AF71C4"/>
    <w:rsid w:val="00B025ED"/>
    <w:rsid w:val="00B02882"/>
    <w:rsid w:val="00B02E5D"/>
    <w:rsid w:val="00B03BCC"/>
    <w:rsid w:val="00B055C6"/>
    <w:rsid w:val="00B05734"/>
    <w:rsid w:val="00B07779"/>
    <w:rsid w:val="00B125BE"/>
    <w:rsid w:val="00B12C02"/>
    <w:rsid w:val="00B1358B"/>
    <w:rsid w:val="00B172BF"/>
    <w:rsid w:val="00B24429"/>
    <w:rsid w:val="00B2616D"/>
    <w:rsid w:val="00B27A74"/>
    <w:rsid w:val="00B3090D"/>
    <w:rsid w:val="00B31560"/>
    <w:rsid w:val="00B322A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265D"/>
    <w:rsid w:val="00BF5BEC"/>
    <w:rsid w:val="00C004A1"/>
    <w:rsid w:val="00C0142D"/>
    <w:rsid w:val="00C046E0"/>
    <w:rsid w:val="00C1251C"/>
    <w:rsid w:val="00C12AA7"/>
    <w:rsid w:val="00C15358"/>
    <w:rsid w:val="00C16875"/>
    <w:rsid w:val="00C173A6"/>
    <w:rsid w:val="00C20EEF"/>
    <w:rsid w:val="00C21181"/>
    <w:rsid w:val="00C214EC"/>
    <w:rsid w:val="00C21E49"/>
    <w:rsid w:val="00C25D40"/>
    <w:rsid w:val="00C26E54"/>
    <w:rsid w:val="00C2733C"/>
    <w:rsid w:val="00C27910"/>
    <w:rsid w:val="00C31F70"/>
    <w:rsid w:val="00C3633D"/>
    <w:rsid w:val="00C36F89"/>
    <w:rsid w:val="00C36FE6"/>
    <w:rsid w:val="00C37713"/>
    <w:rsid w:val="00C436B2"/>
    <w:rsid w:val="00C44D0F"/>
    <w:rsid w:val="00C45BCD"/>
    <w:rsid w:val="00C46400"/>
    <w:rsid w:val="00C47B9F"/>
    <w:rsid w:val="00C50B97"/>
    <w:rsid w:val="00C5182B"/>
    <w:rsid w:val="00C53519"/>
    <w:rsid w:val="00C53C17"/>
    <w:rsid w:val="00C53F45"/>
    <w:rsid w:val="00C56493"/>
    <w:rsid w:val="00C568C7"/>
    <w:rsid w:val="00C611AB"/>
    <w:rsid w:val="00C63A3B"/>
    <w:rsid w:val="00C63EB0"/>
    <w:rsid w:val="00C647E6"/>
    <w:rsid w:val="00C6490E"/>
    <w:rsid w:val="00C65810"/>
    <w:rsid w:val="00C71416"/>
    <w:rsid w:val="00C71FD5"/>
    <w:rsid w:val="00C731C3"/>
    <w:rsid w:val="00C7724B"/>
    <w:rsid w:val="00C77F7C"/>
    <w:rsid w:val="00C80614"/>
    <w:rsid w:val="00C8148D"/>
    <w:rsid w:val="00C8177F"/>
    <w:rsid w:val="00C82542"/>
    <w:rsid w:val="00C91AB7"/>
    <w:rsid w:val="00C93A2E"/>
    <w:rsid w:val="00C94BC0"/>
    <w:rsid w:val="00C953DF"/>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7263"/>
    <w:rsid w:val="00D02463"/>
    <w:rsid w:val="00D07787"/>
    <w:rsid w:val="00D11679"/>
    <w:rsid w:val="00D12631"/>
    <w:rsid w:val="00D12C63"/>
    <w:rsid w:val="00D13C26"/>
    <w:rsid w:val="00D1420C"/>
    <w:rsid w:val="00D14448"/>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649D"/>
    <w:rsid w:val="00D767EA"/>
    <w:rsid w:val="00D76C68"/>
    <w:rsid w:val="00D77D3A"/>
    <w:rsid w:val="00D82617"/>
    <w:rsid w:val="00D8466C"/>
    <w:rsid w:val="00D900E3"/>
    <w:rsid w:val="00D93BC2"/>
    <w:rsid w:val="00D971DD"/>
    <w:rsid w:val="00D97C2B"/>
    <w:rsid w:val="00D97E2F"/>
    <w:rsid w:val="00DA1938"/>
    <w:rsid w:val="00DA68B9"/>
    <w:rsid w:val="00DB14B7"/>
    <w:rsid w:val="00DB3A50"/>
    <w:rsid w:val="00DB5762"/>
    <w:rsid w:val="00DB5973"/>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34C6"/>
    <w:rsid w:val="00E05D0F"/>
    <w:rsid w:val="00E10ACF"/>
    <w:rsid w:val="00E10DAD"/>
    <w:rsid w:val="00E14DE4"/>
    <w:rsid w:val="00E17C3B"/>
    <w:rsid w:val="00E223DF"/>
    <w:rsid w:val="00E22FC8"/>
    <w:rsid w:val="00E23216"/>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5174"/>
    <w:rsid w:val="00F14955"/>
    <w:rsid w:val="00F14DCF"/>
    <w:rsid w:val="00F1593B"/>
    <w:rsid w:val="00F1723A"/>
    <w:rsid w:val="00F20C49"/>
    <w:rsid w:val="00F22CD5"/>
    <w:rsid w:val="00F27DA4"/>
    <w:rsid w:val="00F31589"/>
    <w:rsid w:val="00F33D2F"/>
    <w:rsid w:val="00F34B85"/>
    <w:rsid w:val="00F34C1A"/>
    <w:rsid w:val="00F371F2"/>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5D87"/>
    <w:rsid w:val="00F8032F"/>
    <w:rsid w:val="00F809FE"/>
    <w:rsid w:val="00F80B3C"/>
    <w:rsid w:val="00F8163B"/>
    <w:rsid w:val="00F8239F"/>
    <w:rsid w:val="00F844DE"/>
    <w:rsid w:val="00F8482A"/>
    <w:rsid w:val="00F85FA4"/>
    <w:rsid w:val="00F908E7"/>
    <w:rsid w:val="00F91952"/>
    <w:rsid w:val="00F92002"/>
    <w:rsid w:val="00FA0336"/>
    <w:rsid w:val="00FA095E"/>
    <w:rsid w:val="00FA1EC7"/>
    <w:rsid w:val="00FA2145"/>
    <w:rsid w:val="00FA6104"/>
    <w:rsid w:val="00FA6849"/>
    <w:rsid w:val="00FB0C5B"/>
    <w:rsid w:val="00FB3EF7"/>
    <w:rsid w:val="00FC1136"/>
    <w:rsid w:val="00FC4B7F"/>
    <w:rsid w:val="00FC5789"/>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F3D"/>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21</Pages>
  <Words>3641</Words>
  <Characters>20758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KUSEAMO RICHARD</cp:lastModifiedBy>
  <cp:revision>804</cp:revision>
  <cp:lastPrinted>2023-10-23T21:51:00Z</cp:lastPrinted>
  <dcterms:created xsi:type="dcterms:W3CDTF">2023-10-05T08:08:00Z</dcterms:created>
  <dcterms:modified xsi:type="dcterms:W3CDTF">2024-03-12T13:25:00Z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