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DOCX_PARAGRAPH_ONE_SENTINEL</w:t>
      </w:r>
    </w:p>
    <w:p>
      <w:r>
        <w:t xml:space="preserve">Claim: cloud models improve writing quality for the roadshow narrative.</w:t>
      </w:r>
    </w:p>
    <w:p>
      <w:r>
        <w:t xml:space="preserve">Disagreement: cloud routing can be useful when bounded context and consent are explicit.</w:t>
      </w:r>
    </w:p>
    <w:p>
      <w:r>
        <w:t xml:space="preserve">Risk: provider invocation must be proven by durable network-edge facts.</w:t>
      </w:r>
    </w:p>
    <w:p>
      <w:r>
        <w:t xml:space="preserve">DOCX_PARAGRAPH_TWO_SENTINEL</w:t>
      </w:r>
    </w:p>
    <w:sectPr/>
  </w:body>
</w:document>
</file>