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pPr>
        <w:pStyle w:val="Heading1"/>
      </w:pPr>
      <w:r>
        <w:t>Overview</w:t>
      </w:r>
    </w:p>
    <w:p>
      <w:r>
        <w:t>This report covers the first quarter. See the dashboard for details.</w:t>
      </w:r>
    </w:p>
    <w:p>
      <w:pPr>
        <w:pStyle w:val="Heading2"/>
      </w:pPr>
      <w:r>
        <w:t>Goals</w:t>
      </w:r>
    </w:p>
    <w:p>
      <w:pPr>
        <w:pStyle w:val="ListBullet"/>
      </w:pPr>
      <w:r>
        <w:t>Grow revenue</w:t>
      </w:r>
    </w:p>
    <w:p>
      <w:pPr>
        <w:pStyle w:val="ListBullet2"/>
      </w:pPr>
      <w:r>
        <w:t>North America</w:t>
      </w:r>
    </w:p>
    <w:p>
      <w:pPr>
        <w:pStyle w:val="ListBullet2"/>
      </w:pPr>
      <w:r>
        <w:t>Europe</w:t>
      </w:r>
    </w:p>
    <w:p>
      <w:pPr>
        <w:pStyle w:val="ListBullet"/>
      </w:pPr>
      <w:r>
        <w:t>Reduce costs</w:t>
      </w:r>
    </w:p>
    <w:p>
      <w:pPr>
        <w:pStyle w:val="Heading2"/>
      </w:pPr>
      <w:r>
        <w:t>Steps</w:t>
      </w:r>
    </w:p>
    <w:p>
      <w:pPr>
        <w:pStyle w:val="ListNumber"/>
      </w:pPr>
      <w:r>
        <w:t>Collect data</w:t>
      </w:r>
    </w:p>
    <w:p>
      <w:pPr>
        <w:pStyle w:val="ListNumber"/>
      </w:pPr>
      <w:r>
        <w:t>Clean it</w:t>
      </w:r>
    </w:p>
    <w:p>
      <w:pPr>
        <w:pStyle w:val="ListNumber"/>
      </w:pPr>
      <w:r>
        <w:t>Publish</w:t>
      </w:r>
    </w:p>
    <w:p>
      <w:pPr>
        <w:pStyle w:val="Heading1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vMerge w:val="restart"/>
          </w:tcPr>
          <w:p>
            <w:r>
              <w:t>Region</w:t>
            </w:r>
          </w:p>
          <w:p>
            <w:r/>
          </w:p>
        </w:tc>
        <w:tc>
          <w:tcPr>
            <w:tcW w:type="dxa" w:w="4320"/>
            <w:gridSpan w:val="2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tblHeader/>
        </w:trP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 | b</w:t>
            </w:r>
          </w:p>
        </w:tc>
      </w:tr>
    </w:tbl>
    <w:p>
      <w:pPr>
        <w:pStyle w:val="Heading1"/>
      </w:pPr>
      <w:r>
        <w:t>Code</w:t>
      </w:r>
    </w:p>
    <w:p>
      <w:r>
        <w:rPr>
          <w:rFonts w:ascii="Consolas" w:hAnsi="Consolas"/>
        </w:rPr>
        <w:t>def total(xs):</w:t>
      </w:r>
    </w:p>
    <w:p>
      <w:r>
        <w:rPr>
          <w:rFonts w:ascii="Consolas" w:hAnsi="Consolas"/>
        </w:rPr>
        <w:t xml:space="preserve">    return sum(xs)</w:t>
      </w:r>
    </w:p>
    <w:p>
      <w:pPr>
        <w:pStyle w:val="Quote"/>
      </w:pPr>
      <w:r>
        <w:t>Numbers are what they are.</w:t>
      </w:r>
    </w:p>
    <w:p>
      <w:r>
        <w:t xml:space="preserve">Visit </w:t>
      </w:r>
      <w:hyperlink r:id="rId9">
        <w:r>
          <w:t>the site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