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Клинический Компас · учебный набор</w:t>
      </w:r>
    </w:p>
    <w:p>
      <w:pPr>
        <w:pStyle w:val="Title"/>
        <w:spacing w:after="140"/>
      </w:pPr>
      <w:r>
        <w:t>Пять учебных клинических случаев</w:t>
      </w:r>
    </w:p>
    <w:p>
      <w:r>
        <w:rPr>
          <w:color w:val="64758A"/>
          <w:sz w:val="24"/>
        </w:rPr>
        <w:t>Демо-профиль врача · тревожно-депрессивная симптоматика у взрослых</w:t>
      </w:r>
    </w:p>
    <w:p>
      <w:r>
        <w:rPr>
          <w:color w:val="64758A"/>
          <w:sz w:val="17"/>
        </w:rPr>
        <w:t>Версия 1.0  |  25 октября 2026 года  |  Только вымышленные данные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4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</w:rPr>
              <w:t xml:space="preserve">Назначение файла. </w:t>
            </w:r>
            <w:r>
              <w:t>Это разбор пяти синтетических случаев для проектирования интерфейса и проверки маршрута врача. Он не является медицинской документацией, диагнозом или планом лечения реальных людей. Клиническое решение принимает врач после очной оценки и сверки актуальной редакции клинических рекомендаций.</w:t>
            </w:r>
          </w:p>
        </w:tc>
      </w:tr>
    </w:tbl>
    <w:p>
      <w:r>
        <w:rPr>
          <w:b/>
        </w:rPr>
        <w:t>В профиле оставлены пять активных демонстрационных карточек.</w:t>
      </w:r>
      <w:r>
        <w:t xml:space="preserve"> Их учебная сложность различается по объёму необходимой проверки и срочности внимания, а не является шкалой тяжести заболевания.</w:t>
      </w:r>
    </w:p>
    <w:p>
      <w:pPr>
        <w:pStyle w:val="Heading2"/>
      </w:pPr>
      <w:r>
        <w:t>Состав когорты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E3654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Карточка</w:t>
            </w:r>
          </w:p>
        </w:tc>
        <w:tc>
          <w:tcPr>
            <w:tcW w:type="dxa" w:w="3331"/>
            <w:shd w:fill="1E3654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Возраст</w:t>
            </w:r>
          </w:p>
        </w:tc>
        <w:tc>
          <w:tcPr>
            <w:tcW w:type="dxa" w:w="3331"/>
            <w:shd w:fill="1E3654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Фокус клинического разбора</w:t>
            </w:r>
          </w:p>
        </w:tc>
      </w:tr>
      <w:tr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01 · Алексей Н.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32 года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Динамика улучшается; важно оценить полноту восстановления</w:t>
            </w:r>
          </w:p>
        </w:tc>
      </w:tr>
      <w:tr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02 · Вера С.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27 лет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Положительный ответ на пункт безопасности PHQ-9</w:t>
            </w:r>
          </w:p>
        </w:tc>
      </w:tr>
      <w:tr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03 · Дмитрий К.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41 год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Повторные паникоподобные эпизоды и тревожная симптоматика</w:t>
            </w:r>
          </w:p>
        </w:tc>
      </w:tr>
      <w:tr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04 · Михаил Р.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30 лет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Возможные периоды подъёма настроения при низком балле PHQ-9</w:t>
            </w:r>
          </w:p>
        </w:tc>
      </w:tr>
      <w:tr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05 · Ольга П.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54 года</w:t>
            </w:r>
          </w:p>
        </w:tc>
        <w:tc>
          <w:tcPr>
            <w:tcW w:type="dxa" w:w="3331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sz w:val="17"/>
              </w:rPr>
              <w:t>Соматический контекст и неполная сверка лекарств</w:t>
            </w:r>
          </w:p>
        </w:tc>
      </w:tr>
    </w:tbl>
    <w:p>
      <w:pPr>
        <w:pStyle w:val="Heading2"/>
      </w:pPr>
      <w:r>
        <w:t>Принципы чтения кейсов</w:t>
      </w:r>
    </w:p>
    <w:p>
      <w:pPr>
        <w:pStyle w:val="ListBullet"/>
        <w:spacing w:after="40"/>
        <w:ind w:left="331" w:hanging="216"/>
      </w:pPr>
      <w:r>
        <w:t>PHQ-9 и GAD-7 здесь — только смоделированные самоотчёты. Сумма баллов не устанавливает диагноз и сама по себе не определяет клиническую срочность.</w:t>
      </w:r>
    </w:p>
    <w:p>
      <w:pPr>
        <w:pStyle w:val="ListBullet"/>
        <w:spacing w:after="40"/>
        <w:ind w:left="331" w:hanging="216"/>
      </w:pPr>
      <w:r>
        <w:t>Незаполненное поле трактуется как неизвестность, а не как отрицательный симптом. В каждом случае приведены ключевые пробелы, которые нужно закрыть беседой, осмотром или исследованиями по показаниям.</w:t>
      </w:r>
    </w:p>
    <w:p>
      <w:pPr>
        <w:pStyle w:val="ListBullet"/>
        <w:spacing w:after="40"/>
        <w:ind w:left="331" w:hanging="216"/>
      </w:pPr>
      <w:r>
        <w:t>Формулировки «возможный», «подлежит уточнению» и «дифференциальный ряд» сохранены намеренно. Установленный диагноз и лечение в демо-карточках не задаются.</w:t>
      </w:r>
    </w:p>
    <w:p>
      <w:pPr>
        <w:pStyle w:val="ListBullet"/>
        <w:spacing w:after="40"/>
        <w:ind w:left="331" w:hanging="216"/>
      </w:pPr>
      <w:r>
        <w:t>Для сигналов безопасности и экстренной маршрутизации действует локальный протокол медицинской организации; интерфейс не объявляет риск автоматически и не уведомляет пациента.</w:t>
      </w:r>
    </w:p>
    <w:p>
      <w:r>
        <w:br w:type="page"/>
      </w:r>
    </w:p>
    <w:p>
      <w:pPr>
        <w:pStyle w:val="Heading1"/>
        <w:spacing w:after="40"/>
      </w:pPr>
      <w:r>
        <w:t>01 · Алексей Н.</w:t>
      </w:r>
    </w:p>
    <w:p>
      <w:r>
        <w:rPr>
          <w:i/>
          <w:color w:val="64758A"/>
        </w:rPr>
        <w:t>Низкая учебная сложность · контроль динамики и полноты восстановления</w:t>
      </w:r>
    </w:p>
    <w:p>
      <w:pPr>
        <w:pStyle w:val="Heading2"/>
      </w:pPr>
      <w:r>
        <w:t>Данные карточки</w:t>
      </w:r>
    </w:p>
    <w:p>
      <w:r>
        <w:t>32 года. В демо-карте: PHQ-9 — 14 → 9 → 6; GAD-7 — 12 → 5. Отметки дневника в последние дни описывают улучшение сна и снижение тревоги. Диагноз, текущая терапия, длительность симптомов и результаты клинической оценки не заполнены.</w:t>
      </w:r>
    </w:p>
    <w:p>
      <w:pPr>
        <w:pStyle w:val="Heading2"/>
      </w:pPr>
      <w:r>
        <w:t>Клиническая формулировка на текущем этапе</w:t>
      </w:r>
    </w:p>
    <w:p>
      <w:r>
        <w:t>Симптомные баллы снижаются в нескольких точках; это поддерживает описание положительной динамики самоотчёта, но не доказывает ремиссию, причинную связь с лечением или устойчивость улучшения. Важно оценить функционирование, остаточные симптомы и риск ухудшения.</w:t>
      </w:r>
    </w:p>
    <w:p>
      <w:pPr>
        <w:pStyle w:val="Heading2"/>
      </w:pPr>
      <w:r>
        <w:t>Что уточнить на приёме</w:t>
      </w:r>
    </w:p>
    <w:p>
      <w:pPr>
        <w:pStyle w:val="ListBullet"/>
        <w:spacing w:after="40"/>
        <w:ind w:left="331" w:hanging="216"/>
      </w:pPr>
      <w:r>
        <w:t>Как изменились настроение, интерес/удовольствие, энергия, сон, аппетит, концентрация и повседневная активность? Что пациент снова может делать, а что пока затруднено?</w:t>
      </w:r>
    </w:p>
    <w:p>
      <w:pPr>
        <w:pStyle w:val="ListBullet"/>
        <w:spacing w:after="40"/>
        <w:ind w:left="331" w:hanging="216"/>
      </w:pPr>
      <w:r>
        <w:t>Какова длительность текущего эпизода, были ли прежние эпизоды и периоды повышенного/раздражительного настроения, уменьшения потребности во сне или необычной активности?</w:t>
      </w:r>
    </w:p>
    <w:p>
      <w:pPr>
        <w:pStyle w:val="ListBullet"/>
        <w:spacing w:after="40"/>
        <w:ind w:left="331" w:hanging="216"/>
      </w:pPr>
      <w:r>
        <w:t>Какова актуальная лекарственная схема и психотерапевтическая/иная помощь; соблюдение, эффект, переносимость? Уточнить соматические болезни, лекарства и употребление психоактивных веществ.</w:t>
      </w:r>
    </w:p>
    <w:p>
      <w:pPr>
        <w:pStyle w:val="ListBullet"/>
        <w:spacing w:after="40"/>
        <w:ind w:left="331" w:hanging="216"/>
      </w:pPr>
      <w:r>
        <w:t>Провести прямую оценку мыслей о самоповреждении/суициде и актуальных защитных факторов независимо от снижения суммы баллов.</w:t>
      </w:r>
    </w:p>
    <w:p>
      <w:pPr>
        <w:pStyle w:val="Heading2"/>
      </w:pPr>
      <w:r>
        <w:t>Дифференциальный ряд и контекст</w:t>
      </w:r>
    </w:p>
    <w:p>
      <w:r>
        <w:t>Остаточные или колеблющиеся депрессивные/тревожные симптомы; реакция на стресс; соматические и лекарственные факторы; в анамнезе необходимо проверить признаки мании/гипомании. По одной траектории PHQ-9/GAD-7 конкретное расстройство не устанавливается.</w:t>
      </w:r>
    </w:p>
    <w:p>
      <w:pPr>
        <w:pStyle w:val="Heading2"/>
      </w:pPr>
      <w:r>
        <w:t>Что должен показать прототип</w:t>
      </w:r>
    </w:p>
    <w:p>
      <w:r>
        <w:t>Показать врачу даты и баллы всех прохождений, отметить, что клиническая значимость не оценивалась, и вынести на приём оценку функции, остаточных симптомов, безопасности и плана дальнейшего наблюдения.</w:t>
      </w:r>
    </w:p>
    <w:p>
      <w:pPr>
        <w:pStyle w:val="Heading2"/>
      </w:pPr>
      <w:r>
        <w:t>Не делать вывод</w:t>
      </w:r>
    </w:p>
    <w:p>
      <w:r>
        <w:t>Не писать «выздоровел», не отменять наблюдение и не менять лечение по одному низкому результату.</w:t>
      </w:r>
    </w:p>
    <w:p>
      <w:r>
        <w:br w:type="page"/>
      </w:r>
    </w:p>
    <w:p>
      <w:pPr>
        <w:pStyle w:val="Heading1"/>
        <w:spacing w:after="40"/>
      </w:pPr>
      <w:r>
        <w:t>02 · Вера С.</w:t>
      </w:r>
    </w:p>
    <w:p>
      <w:r>
        <w:rPr>
          <w:i/>
          <w:color w:val="64758A"/>
        </w:rPr>
        <w:t>Высокий приоритет внимания · незамедлительное прямое уточнение безопасности врачом</w:t>
      </w:r>
    </w:p>
    <w:p>
      <w:pPr>
        <w:pStyle w:val="Heading2"/>
      </w:pPr>
      <w:r>
        <w:t>Данные карточки</w:t>
      </w:r>
    </w:p>
    <w:p>
      <w:r>
        <w:t>27 лет. Снижение настроения и трудности повседневного функционирования в сценарии. PHQ-9 — 19 и 21; пункт 9 отмечен положительно в обоих смоделированных прохождениях. В карте нет данных о текущих мыслях, намерении, плане, доступе к средствам, прошлых попытках или защитных факторах.</w:t>
      </w:r>
    </w:p>
    <w:p>
      <w:pPr>
        <w:pStyle w:val="Heading2"/>
      </w:pPr>
      <w:r>
        <w:t>Клиническая формулировка на текущем этапе</w:t>
      </w:r>
    </w:p>
    <w:p>
      <w:r>
        <w:t>Положительный ответ на пункт 9 — повод для прямого клинического уточнения, а не числовая оценка вероятности суицида. Самоотчёт не заменяет разговор с пациенткой; отсутствие сведений в карте не означает отсутствия намерения или риска.</w:t>
      </w:r>
    </w:p>
    <w:p>
      <w:pPr>
        <w:pStyle w:val="Heading2"/>
      </w:pPr>
      <w:r>
        <w:t>Что уточнить на приёме</w:t>
      </w:r>
    </w:p>
    <w:p>
      <w:pPr>
        <w:pStyle w:val="ListBullet"/>
        <w:spacing w:after="40"/>
        <w:ind w:left="331" w:hanging="216"/>
      </w:pPr>
      <w:r>
        <w:t>Уточнить текущие мысли о смерти/самоповреждении, наличие намерения, плана, сроков и доступа к средствам; отдельно — недавние действия и попытки в прошлом.</w:t>
      </w:r>
    </w:p>
    <w:p>
      <w:pPr>
        <w:pStyle w:val="ListBullet"/>
        <w:spacing w:after="40"/>
        <w:ind w:left="331" w:hanging="216"/>
      </w:pPr>
      <w:r>
        <w:t>Оценить возбуждение, выраженную тревогу/панику, импульсивность, психотические симптомы, интоксикацию/употребление веществ и способность участвовать в плане безопасности.</w:t>
      </w:r>
    </w:p>
    <w:p>
      <w:pPr>
        <w:pStyle w:val="ListBullet"/>
        <w:spacing w:after="40"/>
        <w:ind w:left="331" w:hanging="216"/>
      </w:pPr>
      <w:r>
        <w:t>Выяснить доступные пациентке источники поддержки, причины оставаться в безопасности и возможность связаться с близким/службами согласно согласию и локальному порядку.</w:t>
      </w:r>
    </w:p>
    <w:p>
      <w:pPr>
        <w:pStyle w:val="ListBullet"/>
        <w:spacing w:after="40"/>
        <w:ind w:left="331" w:hanging="216"/>
      </w:pPr>
      <w:r>
        <w:t>Проверить условия, позволяющие безопасно продолжать амбулаторное наблюдение; при непосредственной угрозе действовать по экстренному локальному протоколу и обеспечить срочную очную оценку.</w:t>
      </w:r>
    </w:p>
    <w:p>
      <w:pPr>
        <w:pStyle w:val="Heading2"/>
      </w:pPr>
      <w:r>
        <w:t>Дифференциальный ряд и контекст</w:t>
      </w:r>
    </w:p>
    <w:p>
      <w:r>
        <w:t>Требуют оценки депрессивный эпизод, сопутствующая тревога, смешанные/биполярные симптомы, влияние веществ и соматических состояний. Балл PHQ-9 не определяет ни диагноз, ни уровень риска.</w:t>
      </w:r>
    </w:p>
    <w:p>
      <w:pPr>
        <w:pStyle w:val="Heading2"/>
      </w:pPr>
      <w:r>
        <w:t>Что должен показать прототип</w:t>
      </w:r>
    </w:p>
    <w:p>
      <w:r>
        <w:t>В интерфейсе выделить запись как «ответ требует прямого просмотра», показать исходный ответ и дату, попросить документировать результат беседы и следующий шаг врача. Не показывать «оценку риска» и не создавать впечатление, что система связалась с пациенткой.</w:t>
      </w:r>
    </w:p>
    <w:p>
      <w:pPr>
        <w:pStyle w:val="Heading2"/>
      </w:pPr>
      <w:r>
        <w:t>Не делать вывод</w:t>
      </w:r>
    </w:p>
    <w:p>
      <w:r>
        <w:t>Не ждать следующего планового прохождения шкалы, не трактовать отметку как подтверждённое намерение и не выводить безопасность из отсутствия плана в старой записи.</w:t>
      </w:r>
    </w:p>
    <w:p>
      <w:r>
        <w:br w:type="page"/>
      </w:r>
    </w:p>
    <w:p>
      <w:pPr>
        <w:pStyle w:val="Heading1"/>
        <w:spacing w:after="40"/>
      </w:pPr>
      <w:r>
        <w:t>03 · Дмитрий К.</w:t>
      </w:r>
    </w:p>
    <w:p>
      <w:r>
        <w:rPr>
          <w:i/>
          <w:color w:val="64758A"/>
        </w:rPr>
        <w:t>Средняя учебная сложность · разграничение тревожных эпизодов и соматических причин</w:t>
      </w:r>
    </w:p>
    <w:p>
      <w:pPr>
        <w:pStyle w:val="Heading2"/>
      </w:pPr>
      <w:r>
        <w:t>Данные карточки</w:t>
      </w:r>
    </w:p>
    <w:p>
      <w:r>
        <w:t>41 год. Сценарий включает приступы резкого страха с телесными ощущениями. GAD-7 — 17 и 16; PHQ-9 — 11. Не описаны длительность и обстоятельства приступов, ожидание повторения, избегание, соматический анамнез и результаты осмотра.</w:t>
      </w:r>
    </w:p>
    <w:p>
      <w:pPr>
        <w:pStyle w:val="Heading2"/>
      </w:pPr>
      <w:r>
        <w:t>Клиническая формулировка на текущем этапе</w:t>
      </w:r>
    </w:p>
    <w:p>
      <w:r>
        <w:t>Данные шкал показывают сохраняющуюся тревожную симптоматику. Паникоподобный приступ сам по себе не подтверждает паническое расстройство: важно уточнить повторность и неожиданность приступов, последующую тревогу ожидания/избегание и влияние на функционирование. Телесные симптомы оцениваются в клиническом контексте.</w:t>
      </w:r>
    </w:p>
    <w:p>
      <w:pPr>
        <w:pStyle w:val="Heading2"/>
      </w:pPr>
      <w:r>
        <w:t>Что уточнить на приёме</w:t>
      </w:r>
    </w:p>
    <w:p>
      <w:pPr>
        <w:pStyle w:val="ListBullet"/>
        <w:spacing w:after="40"/>
        <w:ind w:left="331" w:hanging="216"/>
      </w:pPr>
      <w:r>
        <w:t>Попросить описать начало, пик, длительность, симптомы, контекст и частоту каждого типа приступов; есть ли непредсказуемые повторные приступы, страх новых приступов и изменение поведения/избегание?</w:t>
      </w:r>
    </w:p>
    <w:p>
      <w:pPr>
        <w:pStyle w:val="ListBullet"/>
        <w:spacing w:after="40"/>
        <w:ind w:left="331" w:hanging="216"/>
      </w:pPr>
      <w:r>
        <w:t>Уточнить тревогу между приступами и её длительность, контроль над беспокойством, сон, концентрацию и влияние на работу/отношения.</w:t>
      </w:r>
    </w:p>
    <w:p>
      <w:pPr>
        <w:pStyle w:val="ListBullet"/>
        <w:spacing w:after="40"/>
        <w:ind w:left="331" w:hanging="216"/>
      </w:pPr>
      <w:r>
        <w:t>Спросить о сердечно-сосудистых, эндокринных и иных соматических состояниях, текущих препаратах, кофеине/никотине/алкоголе и других веществах; выполнить обследование по медицинским показаниям.</w:t>
      </w:r>
    </w:p>
    <w:p>
      <w:pPr>
        <w:pStyle w:val="ListBullet"/>
        <w:spacing w:after="40"/>
        <w:ind w:left="331" w:hanging="216"/>
      </w:pPr>
      <w:r>
        <w:t>Оценить депрессивные симптомы, прямую безопасность и возможные периоды мании/гипомании.</w:t>
      </w:r>
    </w:p>
    <w:p>
      <w:pPr>
        <w:pStyle w:val="Heading2"/>
      </w:pPr>
      <w:r>
        <w:t>Дифференциальный ряд и контекст</w:t>
      </w:r>
    </w:p>
    <w:p>
      <w:r>
        <w:t>Паническое расстройство; генерализованное тревожное расстройство; иные тревожные/стрессовые состояния; депрессивные симптомы; соматические, лекарственные или связанные с веществами причины. Дифференциация — задача врача, не классификатора по тесту.</w:t>
      </w:r>
    </w:p>
    <w:p>
      <w:pPr>
        <w:pStyle w:val="Heading2"/>
      </w:pPr>
      <w:r>
        <w:t>Что должен показать прототип</w:t>
      </w:r>
    </w:p>
    <w:p>
      <w:r>
        <w:t>Показать оба результата GAD-7 как почти неизменную динамику, PHQ-9 отдельно, сохранить даты и дать врачу структурированные поля для описания приступов и влияния на функцию.</w:t>
      </w:r>
    </w:p>
    <w:p>
      <w:pPr>
        <w:pStyle w:val="Heading2"/>
      </w:pPr>
      <w:r>
        <w:t>Не делать вывод</w:t>
      </w:r>
    </w:p>
    <w:p>
      <w:r>
        <w:t>Не называть любой приступ паническим расстройством и не считать телесные симптомы «только тревогой» до оценки медицинского контекста.</w:t>
      </w:r>
    </w:p>
    <w:p>
      <w:r>
        <w:br w:type="page"/>
      </w:r>
    </w:p>
    <w:p>
      <w:pPr>
        <w:pStyle w:val="Heading1"/>
        <w:spacing w:after="40"/>
      </w:pPr>
      <w:r>
        <w:t>04 · Михаил Р.</w:t>
      </w:r>
    </w:p>
    <w:p>
      <w:r>
        <w:rPr>
          <w:i/>
          <w:color w:val="64758A"/>
        </w:rPr>
        <w:t>Высокая диагностическая сложность · уточнение эпизодов подъёма настроения</w:t>
      </w:r>
    </w:p>
    <w:p>
      <w:pPr>
        <w:pStyle w:val="Heading2"/>
      </w:pPr>
      <w:r>
        <w:t>Данные карточки</w:t>
      </w:r>
    </w:p>
    <w:p>
      <w:r>
        <w:t>30 лет. PHQ-9 — 7. В свободном описании сценария: несколько дней сокращённой потребности во сне без усталости, ускорение мыслей/активности и импульсивные траты. Не указаны точные даты, выраженность, наблюдаемые изменения, последствия, прежние эпизоды, семейный анамнез, лекарства и вещества.</w:t>
      </w:r>
    </w:p>
    <w:p>
      <w:pPr>
        <w:pStyle w:val="Heading2"/>
      </w:pPr>
      <w:r>
        <w:t>Клиническая формулировка на текущем этапе</w:t>
      </w:r>
    </w:p>
    <w:p>
      <w:r>
        <w:t>Невысокий текущий PHQ-9 не исключает клинически важные эпизоды изменения настроения. Указанные признаки требуют подробного анамнеза на маниакальные, гипоманиакальные и смешанные состояния и оценки их длительности, изменения относительно обычного состояния и последствий. Это сигнал для диагностического уточнения, не диагноз биполярного расстройства.</w:t>
      </w:r>
    </w:p>
    <w:p>
      <w:pPr>
        <w:pStyle w:val="Heading2"/>
      </w:pPr>
      <w:r>
        <w:t>Что уточнить на приёме</w:t>
      </w:r>
    </w:p>
    <w:p>
      <w:pPr>
        <w:pStyle w:val="ListBullet"/>
        <w:spacing w:after="40"/>
        <w:ind w:left="331" w:hanging="216"/>
      </w:pPr>
      <w:r>
        <w:t>Построить временную линию эпизодов: настроение, энергия, потребность во сне, темп речи/мыслей, целенаправленная активность, отвлекаемость, траты/риск, длительность и последствия.</w:t>
      </w:r>
    </w:p>
    <w:p>
      <w:pPr>
        <w:pStyle w:val="ListBullet"/>
        <w:spacing w:after="40"/>
        <w:ind w:left="331" w:hanging="216"/>
      </w:pPr>
      <w:r>
        <w:t>Уточнить, замечали ли перемены окружающие, были ли конфликты, финансовый или профессиональный ущерб, госпитализации, психотические симптомы или резкое снижение критики.</w:t>
      </w:r>
    </w:p>
    <w:p>
      <w:pPr>
        <w:pStyle w:val="ListBullet"/>
        <w:spacing w:after="40"/>
        <w:ind w:left="331" w:hanging="216"/>
      </w:pPr>
      <w:r>
        <w:t>Проверить депрессивные эпизоды и смешанные симптомы, семейный анамнез; влияние антидепрессантов, глюкокортикостероидов, стимуляторов, других препаратов и психоактивных веществ.</w:t>
      </w:r>
    </w:p>
    <w:p>
      <w:pPr>
        <w:pStyle w:val="ListBullet"/>
        <w:spacing w:after="40"/>
        <w:ind w:left="331" w:hanging="216"/>
      </w:pPr>
      <w:r>
        <w:t>Оценить текущую безопасность, особенно при нарастании импульсивности, бессоннице, психотических симптомах или утрате контроля; выбрать срочность по состоянию и локальному порядку.</w:t>
      </w:r>
    </w:p>
    <w:p>
      <w:pPr>
        <w:pStyle w:val="Heading2"/>
      </w:pPr>
      <w:r>
        <w:t>Дифференциальный ряд и контекст</w:t>
      </w:r>
    </w:p>
    <w:p>
      <w:r>
        <w:t>Биполярный спектр требует целенаправленного исключения/подтверждения врачом; также рассмотреть влияние веществ/лекарств, нарушения сна, соматические причины и иные состояния. Скрининговый опросник или единичный рассказ не заменяет клиническую диагностику.</w:t>
      </w:r>
    </w:p>
    <w:p>
      <w:pPr>
        <w:pStyle w:val="Heading2"/>
      </w:pPr>
      <w:r>
        <w:t>Что должен показать прототип</w:t>
      </w:r>
    </w:p>
    <w:p>
      <w:r>
        <w:t>Поднять случай как «нужен анамнез эпизодов настроения», показать, какие сведения отсутствуют, и позволить врачу записать временную линию эпизодов и источники подтверждения.</w:t>
      </w:r>
    </w:p>
    <w:p>
      <w:pPr>
        <w:pStyle w:val="Heading2"/>
      </w:pPr>
      <w:r>
        <w:t>Не делать вывод</w:t>
      </w:r>
    </w:p>
    <w:p>
      <w:r>
        <w:t>Не закрывать вопрос о биполярности из-за низкого PHQ-9, не присваивать код F31 автоматически и не формировать план психофармакотерапии без врача.</w:t>
      </w:r>
    </w:p>
    <w:p>
      <w:r>
        <w:br w:type="page"/>
      </w:r>
    </w:p>
    <w:p>
      <w:pPr>
        <w:pStyle w:val="Heading1"/>
        <w:spacing w:after="40"/>
      </w:pPr>
      <w:r>
        <w:t>05 · Ольга П.</w:t>
      </w:r>
    </w:p>
    <w:p>
      <w:r>
        <w:rPr>
          <w:i/>
          <w:color w:val="64758A"/>
        </w:rPr>
        <w:t>Высокая междисциплинарная сложность · сопоставление психических и соматических данных</w:t>
      </w:r>
    </w:p>
    <w:p>
      <w:pPr>
        <w:pStyle w:val="Heading2"/>
      </w:pPr>
      <w:r>
        <w:t>Данные карточки</w:t>
      </w:r>
    </w:p>
    <w:p>
      <w:r>
        <w:t>54 года. Утомляемость и сердцебиение на фоне хронического соматического заболевания и недавнего изменения общего состояния. PHQ-9 — 10; GAD-7 — 9. В карточке есть только обобщённая запись о соматическом препарате без названия/дозы/режима; аллергии и соматические обследования не уточнены.</w:t>
      </w:r>
    </w:p>
    <w:p>
      <w:pPr>
        <w:pStyle w:val="Heading2"/>
      </w:pPr>
      <w:r>
        <w:t>Клиническая формулировка на текущем этапе</w:t>
      </w:r>
    </w:p>
    <w:p>
      <w:r>
        <w:t>Тревожно-депрессивные симптомы могут сосуществовать с соматическим заболеванием, его осложнениями или нежелательными эффектами лечения. Пока неизвестны временная связь, фактические препараты и объективные данные, психиатрическая интерпретация неполна. Сердцебиение требует медицинской оценки в зависимости от клинической картины.</w:t>
      </w:r>
    </w:p>
    <w:p>
      <w:pPr>
        <w:pStyle w:val="Heading2"/>
      </w:pPr>
      <w:r>
        <w:t>Что уточнить на приёме</w:t>
      </w:r>
    </w:p>
    <w:p>
      <w:pPr>
        <w:pStyle w:val="ListBullet"/>
        <w:spacing w:after="40"/>
        <w:ind w:left="331" w:hanging="216"/>
      </w:pPr>
      <w:r>
        <w:t>Сверить полный фактический список рецептурных/безрецептурных препаратов, добавок, доз, режима, недавних изменений, пропусков и известной переносимости; аллергии и реакции записать раздельно.</w:t>
      </w:r>
    </w:p>
    <w:p>
      <w:pPr>
        <w:pStyle w:val="ListBullet"/>
        <w:spacing w:after="40"/>
        <w:ind w:left="331" w:hanging="216"/>
      </w:pPr>
      <w:r>
        <w:t>Уточнить соматический диагноз, динамику, симптомы сердцебиения, сопутствующие признаки и уже проведённые исследования; очный осмотр и дополнительные тесты — по показаниям врача.</w:t>
      </w:r>
    </w:p>
    <w:p>
      <w:pPr>
        <w:pStyle w:val="ListBullet"/>
        <w:spacing w:after="40"/>
        <w:ind w:left="331" w:hanging="216"/>
      </w:pPr>
      <w:r>
        <w:t>Выяснить начало тревоги/снижения настроения относительно соматического ухудшения и изменений терапии; сон, функция, предыдущий психиатрический анамнез, вещества и риск.</w:t>
      </w:r>
    </w:p>
    <w:p>
      <w:pPr>
        <w:pStyle w:val="ListBullet"/>
        <w:spacing w:after="40"/>
        <w:ind w:left="331" w:hanging="216"/>
      </w:pPr>
      <w:r>
        <w:t>Согласовать с лечащими специалистами нужную соматическую оценку; при острых или жизнеугрожающих симптомах — действовать по медицинскому протоколу срочной помощи.</w:t>
      </w:r>
    </w:p>
    <w:p>
      <w:pPr>
        <w:pStyle w:val="Heading2"/>
      </w:pPr>
      <w:r>
        <w:t>Дифференциальный ряд и контекст</w:t>
      </w:r>
    </w:p>
    <w:p>
      <w:r>
        <w:t>Депрессивные/тревожные симптомы; проявления основного соматического заболевания; нежелательные эффекты или взаимодействия реальной терапии; другие медицинские причины сердцебиения и утомляемости. По демо-карте установить причину невозможно.</w:t>
      </w:r>
    </w:p>
    <w:p>
      <w:pPr>
        <w:pStyle w:val="Heading2"/>
      </w:pPr>
      <w:r>
        <w:t>Что должен показать прототип</w:t>
      </w:r>
    </w:p>
    <w:p>
      <w:r>
        <w:t>Показывать лекарственную схему как неполную, не считать её сверенной, отдельно перечислять неизвестные аллергии/реакции и результаты обследования. Не генерировать подбор препарата или проверку взаимодействий.</w:t>
      </w:r>
    </w:p>
    <w:p>
      <w:pPr>
        <w:pStyle w:val="Heading2"/>
      </w:pPr>
      <w:r>
        <w:t>Не делать вывод</w:t>
      </w:r>
    </w:p>
    <w:p>
      <w:r>
        <w:t>Не приписывать сердцебиение тревоге, не рекомендовать самостоятельную отмену соматического лечения и не делать выводы о лекарственной безопасности по неполному списку.</w:t>
      </w:r>
    </w:p>
    <w:p>
      <w:r>
        <w:br w:type="page"/>
      </w:r>
    </w:p>
    <w:p>
      <w:pPr>
        <w:pStyle w:val="Heading1"/>
      </w:pPr>
      <w:r>
        <w:t>Источники и клинические ограничения</w:t>
      </w:r>
    </w:p>
    <w:p>
      <w:r>
        <w:t>Клиническая логика документа опирается на российские клинические рекомендации Минздрава России для взрослых пациентов. Использованы разделы определения, диагностики, сбора анамнеза и оценки состояния; конкретное лечение, препарат и доза в кейсах не назначаются.</w:t>
      </w:r>
    </w:p>
    <w:p>
      <w:pPr>
        <w:pStyle w:val="ListNumber"/>
        <w:spacing w:after="100"/>
      </w:pPr>
      <w:r>
        <w:t>[1] Депрессивный эпизод, рекуррентное депрессивное расстройство. Минздрав России, ID 301, версия 3, пересмотр 2024. Взрослые; F32, F33.</w:t>
        <w:br/>
      </w:r>
      <w:r>
        <w:rPr>
          <w:color w:val="315F91"/>
          <w:sz w:val="16"/>
          <w:u w:val="single"/>
        </w:rPr>
        <w:t>https://cr.minzdrav.gov.ru/recomend/301</w:t>
      </w:r>
    </w:p>
    <w:p>
      <w:pPr>
        <w:pStyle w:val="ListNumber"/>
        <w:spacing w:after="100"/>
      </w:pPr>
      <w:r>
        <w:t>[2] Генерализованное тревожное расстройство. Минздрав России, ID 457, версия 3, пересмотр 2024. Взрослые; F41.1.</w:t>
        <w:br/>
      </w:r>
      <w:r>
        <w:rPr>
          <w:color w:val="315F91"/>
          <w:sz w:val="16"/>
          <w:u w:val="single"/>
        </w:rPr>
        <w:t>https://cr.minzdrav.gov.ru/recomend/457</w:t>
      </w:r>
    </w:p>
    <w:p>
      <w:pPr>
        <w:pStyle w:val="ListNumber"/>
        <w:spacing w:after="100"/>
      </w:pPr>
      <w:r>
        <w:t>[3] Паническое расстройство. Минздрав России, ID 456, версия 3, пересмотр 2024. Взрослые; F41.0.</w:t>
        <w:br/>
      </w:r>
      <w:r>
        <w:rPr>
          <w:color w:val="315F91"/>
          <w:sz w:val="16"/>
          <w:u w:val="single"/>
        </w:rPr>
        <w:t>https://cr.minzdrav.gov.ru/recomend/456</w:t>
      </w:r>
    </w:p>
    <w:p>
      <w:pPr>
        <w:pStyle w:val="ListNumber"/>
        <w:spacing w:after="100"/>
      </w:pPr>
      <w:r>
        <w:t>[4] Биполярное аффективное расстройство. Минздрав России, ID 675, версия 2, пересмотр 2025. Взрослые; F31.</w:t>
        <w:br/>
      </w:r>
      <w:r>
        <w:rPr>
          <w:color w:val="315F91"/>
          <w:sz w:val="16"/>
          <w:u w:val="single"/>
        </w:rPr>
        <w:t>https://cr.minzdrav.gov.ru/recomend/675</w:t>
      </w:r>
    </w:p>
    <w:p>
      <w:pPr>
        <w:pStyle w:val="Heading2"/>
      </w:pPr>
      <w:r>
        <w:t>Как применять материалы</w:t>
      </w:r>
    </w:p>
    <w:p>
      <w:pPr>
        <w:pStyle w:val="ListBullet"/>
        <w:spacing w:after="40"/>
        <w:ind w:left="331" w:hanging="216"/>
      </w:pPr>
      <w:r>
        <w:t>Перед реальным клиническим использованием врач должен открыть актуальную редакцию рекомендаций в официальном Рубрикаторе клинических рекомендаций Минздрава России и сверить её с локальными порядками медицинской организации.</w:t>
      </w:r>
    </w:p>
    <w:p>
      <w:pPr>
        <w:pStyle w:val="ListBullet"/>
        <w:spacing w:after="40"/>
        <w:ind w:left="331" w:hanging="216"/>
      </w:pPr>
      <w:r>
        <w:t>PHQ-9/GAD-7 используются в файле как демонстрационные результаты. Они не являются самостоятельным диагностическим тестом, оценкой суицидального риска или основанием для назначения/изменения лечения.</w:t>
      </w:r>
    </w:p>
    <w:p>
      <w:pPr>
        <w:pStyle w:val="ListBullet"/>
        <w:spacing w:after="40"/>
        <w:ind w:left="331" w:hanging="216"/>
      </w:pPr>
      <w:r>
        <w:t>Все имена, возраст, документы, тестовые баллы, даты и медицинские сведения вымышлены и предназначены только для демонстрационного профиля.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B98A6"/>
        <w:sz w:val="14"/>
      </w:rPr>
      <w:t>Клинический Компас · синтетические учебные случаи · не медицинская документация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38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E36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15F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E365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E36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Пять учебных клинических случаев</dc:title>
  <dc:subject>Тревожно-депрессивная симптоматика у взрослых для демо-профиля врача</dc:subject>
  <dc:creator>Клинический Компас · учебный прототип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