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36FD" w14:textId="28DE92C7" w:rsidR="00AD5414" w:rsidRPr="00AD5414" w:rsidRDefault="00AD5414" w:rsidP="00AD5414">
      <w:pPr>
        <w:keepNext/>
        <w:keepLines/>
        <w:pageBreakBefore/>
        <w:numPr>
          <w:ilvl w:val="0"/>
          <w:numId w:val="14"/>
        </w:numPr>
        <w:spacing w:before="1440" w:after="480"/>
        <w:jc w:val="center"/>
        <w:outlineLvl w:val="0"/>
        <w:rPr>
          <w:rFonts w:eastAsia="Calibri"/>
          <w:b/>
          <w:bCs/>
          <w:kern w:val="0"/>
          <w:sz w:val="24"/>
          <w:szCs w:val="24"/>
          <w14:ligatures w14:val="none"/>
        </w:rPr>
      </w:pPr>
      <w:bookmarkStart w:id="0" w:name="_Toc213424271"/>
      <w:r>
        <w:rPr>
          <w:rFonts w:eastAsia="Calibri"/>
          <w:b/>
          <w:bCs/>
          <w:kern w:val="0"/>
          <w:sz w:val="24"/>
          <w:szCs w:val="24"/>
          <w14:ligatures w14:val="none"/>
        </w:rPr>
        <w:t xml:space="preserve">. </w:t>
      </w:r>
      <w:r w:rsidRPr="00AD5414">
        <w:rPr>
          <w:rFonts w:eastAsia="Calibri"/>
          <w:b/>
          <w:bCs/>
          <w:kern w:val="0"/>
          <w:sz w:val="24"/>
          <w:szCs w:val="24"/>
          <w14:ligatures w14:val="none"/>
        </w:rPr>
        <w:t>The long-term impacts of emerald ash borer on ash populations in forests near the epicenter of invasion</w:t>
      </w:r>
      <w:bookmarkEnd w:id="0"/>
    </w:p>
    <w:p w14:paraId="43AB6B57"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Abstract</w:t>
      </w:r>
    </w:p>
    <w:p w14:paraId="2241C3DF" w14:textId="41F9B74D" w:rsidR="00AD5414" w:rsidRPr="00AD5414" w:rsidRDefault="00AD5414" w:rsidP="00AD5414">
      <w:pPr>
        <w:spacing w:line="480" w:lineRule="auto"/>
        <w:rPr>
          <w:rFonts w:eastAsia="Calibri"/>
          <w:kern w:val="0"/>
          <w:sz w:val="24"/>
          <w:szCs w:val="24"/>
          <w14:ligatures w14:val="none"/>
        </w:rPr>
      </w:pPr>
      <w:r w:rsidRPr="00AD5414">
        <w:rPr>
          <w:rFonts w:eastAsia="Calibri"/>
          <w:kern w:val="0"/>
          <w:sz w:val="24"/>
          <w:szCs w:val="24"/>
          <w14:ligatures w14:val="none"/>
        </w:rPr>
        <w:tab/>
      </w:r>
      <w:r w:rsidR="001D2A4A">
        <w:rPr>
          <w:rFonts w:eastAsia="Calibri"/>
          <w:kern w:val="0"/>
          <w:sz w:val="24"/>
          <w:szCs w:val="24"/>
          <w14:ligatures w14:val="none"/>
        </w:rPr>
        <w:t>E</w:t>
      </w:r>
      <w:r w:rsidRPr="00AD5414">
        <w:rPr>
          <w:rFonts w:eastAsia="Calibri"/>
          <w:kern w:val="0"/>
          <w:sz w:val="24"/>
          <w:szCs w:val="24"/>
          <w14:ligatures w14:val="none"/>
        </w:rPr>
        <w:t xml:space="preserve">merald ash borer (EAB) has been present in forests of southeast Michigan for more than 20 years, creating </w:t>
      </w:r>
      <w:r w:rsidR="001C417D" w:rsidRPr="00AD5414">
        <w:rPr>
          <w:rFonts w:eastAsia="Calibri"/>
          <w:kern w:val="0"/>
          <w:sz w:val="24"/>
          <w:szCs w:val="24"/>
          <w14:ligatures w14:val="none"/>
        </w:rPr>
        <w:t xml:space="preserve">economic </w:t>
      </w:r>
      <w:r w:rsidR="001C417D">
        <w:rPr>
          <w:rFonts w:eastAsia="Calibri"/>
          <w:kern w:val="0"/>
          <w:sz w:val="24"/>
          <w:szCs w:val="24"/>
          <w14:ligatures w14:val="none"/>
        </w:rPr>
        <w:t xml:space="preserve">and </w:t>
      </w:r>
      <w:r w:rsidRPr="00AD5414">
        <w:rPr>
          <w:rFonts w:eastAsia="Calibri"/>
          <w:kern w:val="0"/>
          <w:sz w:val="24"/>
          <w:szCs w:val="24"/>
          <w14:ligatures w14:val="none"/>
        </w:rPr>
        <w:t>ecological consequences. Ash (</w:t>
      </w:r>
      <w:r w:rsidRPr="00AD5414">
        <w:rPr>
          <w:rFonts w:eastAsia="Calibri"/>
          <w:i/>
          <w:iCs/>
          <w:kern w:val="0"/>
          <w:sz w:val="24"/>
          <w:szCs w:val="24"/>
          <w14:ligatures w14:val="none"/>
        </w:rPr>
        <w:t>Fraxinus</w:t>
      </w:r>
      <w:r w:rsidRPr="00AD5414">
        <w:rPr>
          <w:rFonts w:eastAsia="Calibri"/>
          <w:kern w:val="0"/>
          <w:sz w:val="24"/>
          <w:szCs w:val="24"/>
          <w14:ligatures w14:val="none"/>
        </w:rPr>
        <w:t>) regeneration in the understory survived the initial EAB outbreak and may be growing to larger sizes which are now susceptible to EAB attack. Introduced natural enemies have been widely released</w:t>
      </w:r>
      <w:r w:rsidR="009018D8">
        <w:rPr>
          <w:rFonts w:eastAsia="Calibri"/>
          <w:kern w:val="0"/>
          <w:sz w:val="24"/>
          <w:szCs w:val="24"/>
          <w14:ligatures w14:val="none"/>
        </w:rPr>
        <w:t xml:space="preserve"> for more than 15 years</w:t>
      </w:r>
      <w:r w:rsidR="008B2EC9">
        <w:rPr>
          <w:rFonts w:eastAsia="Calibri"/>
          <w:kern w:val="0"/>
          <w:sz w:val="24"/>
          <w:szCs w:val="24"/>
          <w14:ligatures w14:val="none"/>
        </w:rPr>
        <w:t xml:space="preserve"> </w:t>
      </w:r>
      <w:r w:rsidR="008B2EC9">
        <w:rPr>
          <w:rFonts w:eastAsia="Calibri"/>
          <w:kern w:val="0"/>
          <w:sz w:val="24"/>
          <w:szCs w:val="24"/>
          <w14:ligatures w14:val="none"/>
        </w:rPr>
        <w:fldChar w:fldCharType="begin"/>
      </w:r>
      <w:r w:rsidR="008B2EC9">
        <w:rPr>
          <w:rFonts w:eastAsia="Calibri"/>
          <w:kern w:val="0"/>
          <w:sz w:val="24"/>
          <w:szCs w:val="24"/>
          <w14:ligatures w14:val="none"/>
        </w:rPr>
        <w:instrText xml:space="preserve"> ADDIN ZOTERO_ITEM CSL_CITATION {"citationID":"Wcg58tQk","properties":{"formattedCitation":"(Duan et al. 2023)","plainCitation":"(Duan et al. 2023)","noteIndex":0},"citationItems":[{"id":599,"uris":["http://zotero.org/groups/5270502/items/T5VVC9XD"],"itemData":{"id":599,"type":"article-journal","container-title":"BioControl","DOI":"10.1007/s10526-023-10182-w","ISSN":"1386-6141,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8B2EC9">
        <w:rPr>
          <w:rFonts w:eastAsia="Calibri"/>
          <w:kern w:val="0"/>
          <w:sz w:val="24"/>
          <w:szCs w:val="24"/>
          <w14:ligatures w14:val="none"/>
        </w:rPr>
        <w:fldChar w:fldCharType="separate"/>
      </w:r>
      <w:r w:rsidR="008B2EC9" w:rsidRPr="008B2EC9">
        <w:rPr>
          <w:sz w:val="24"/>
        </w:rPr>
        <w:t>(Duan et al. 2023)</w:t>
      </w:r>
      <w:r w:rsidR="008B2EC9">
        <w:rPr>
          <w:rFonts w:eastAsia="Calibri"/>
          <w:kern w:val="0"/>
          <w:sz w:val="24"/>
          <w:szCs w:val="24"/>
          <w14:ligatures w14:val="none"/>
        </w:rPr>
        <w:fldChar w:fldCharType="end"/>
      </w:r>
      <w:r w:rsidR="008B2EC9">
        <w:rPr>
          <w:rFonts w:eastAsia="Calibri"/>
          <w:kern w:val="0"/>
          <w:sz w:val="24"/>
          <w:szCs w:val="24"/>
          <w14:ligatures w14:val="none"/>
        </w:rPr>
        <w:t>,</w:t>
      </w:r>
      <w:r w:rsidRPr="00AD5414">
        <w:rPr>
          <w:rFonts w:eastAsia="Calibri"/>
          <w:kern w:val="0"/>
          <w:sz w:val="24"/>
          <w:szCs w:val="24"/>
          <w14:ligatures w14:val="none"/>
        </w:rPr>
        <w:t xml:space="preserve"> which could help protect ash saplings as they continue to grow. The persistence or extirpation of ash trees will depend on interactions between regeneration and populations of EAB, natural enemies of EAB, competition with other plants, and site conditions. We surveyed for the occurrence and health of ash regeneration in 37 forested transects in the outskirts of Detroit, MI. These transects varied in soil hydrology, a site factor with connections to ash species, canopy openness, and plant competition. We found that </w:t>
      </w:r>
      <w:r w:rsidR="007E01F2">
        <w:rPr>
          <w:rFonts w:eastAsia="Calibri"/>
          <w:kern w:val="0"/>
          <w:sz w:val="24"/>
          <w:szCs w:val="24"/>
          <w14:ligatures w14:val="none"/>
        </w:rPr>
        <w:t>as of 2024-2025, ash remains present in 36 of the transects, but the size distribution and abundance of regeneration var</w:t>
      </w:r>
      <w:r w:rsidR="001D4074">
        <w:rPr>
          <w:rFonts w:eastAsia="Calibri"/>
          <w:kern w:val="0"/>
          <w:sz w:val="24"/>
          <w:szCs w:val="24"/>
          <w14:ligatures w14:val="none"/>
        </w:rPr>
        <w:t>y</w:t>
      </w:r>
      <w:r w:rsidR="007E01F2">
        <w:rPr>
          <w:rFonts w:eastAsia="Calibri"/>
          <w:kern w:val="0"/>
          <w:sz w:val="24"/>
          <w:szCs w:val="24"/>
          <w14:ligatures w14:val="none"/>
        </w:rPr>
        <w:t xml:space="preserve">. Specifically, ash regeneration in mesic and xeric forest remains in the seedling and sapling sizes (mostly under 137 cm tall). </w:t>
      </w:r>
      <w:r w:rsidR="001D4074">
        <w:rPr>
          <w:rFonts w:eastAsia="Calibri"/>
          <w:kern w:val="0"/>
          <w:sz w:val="24"/>
          <w:szCs w:val="24"/>
          <w14:ligatures w14:val="none"/>
        </w:rPr>
        <w:t>Conversely,</w:t>
      </w:r>
      <w:r w:rsidR="007E01F2">
        <w:rPr>
          <w:rFonts w:eastAsia="Calibri"/>
          <w:kern w:val="0"/>
          <w:sz w:val="24"/>
          <w:szCs w:val="24"/>
          <w14:ligatures w14:val="none"/>
        </w:rPr>
        <w:t xml:space="preserve"> regeneration in hydric swamp forest has reached the size of </w:t>
      </w:r>
      <w:r w:rsidR="001D4074">
        <w:rPr>
          <w:rFonts w:eastAsia="Calibri"/>
          <w:kern w:val="0"/>
          <w:sz w:val="24"/>
          <w:szCs w:val="24"/>
          <w14:ligatures w14:val="none"/>
        </w:rPr>
        <w:t xml:space="preserve">ash trees (2.5-10 cm </w:t>
      </w:r>
      <w:r w:rsidR="00A1422F">
        <w:rPr>
          <w:rFonts w:eastAsia="Calibri"/>
          <w:kern w:val="0"/>
          <w:sz w:val="24"/>
          <w:szCs w:val="24"/>
          <w14:ligatures w14:val="none"/>
        </w:rPr>
        <w:t>diameter at breast height, DBH</w:t>
      </w:r>
      <w:r w:rsidR="001D4074">
        <w:rPr>
          <w:rFonts w:eastAsia="Calibri"/>
          <w:kern w:val="0"/>
          <w:sz w:val="24"/>
          <w:szCs w:val="24"/>
          <w14:ligatures w14:val="none"/>
        </w:rPr>
        <w:t xml:space="preserve">) which are susceptible to EAB </w:t>
      </w:r>
      <w:proofErr w:type="gramStart"/>
      <w:r w:rsidR="001D4074">
        <w:rPr>
          <w:rFonts w:eastAsia="Calibri"/>
          <w:kern w:val="0"/>
          <w:sz w:val="24"/>
          <w:szCs w:val="24"/>
          <w14:ligatures w14:val="none"/>
        </w:rPr>
        <w:t>attack</w:t>
      </w:r>
      <w:proofErr w:type="gramEnd"/>
      <w:r w:rsidR="001D4074">
        <w:rPr>
          <w:rFonts w:eastAsia="Calibri"/>
          <w:kern w:val="0"/>
          <w:sz w:val="24"/>
          <w:szCs w:val="24"/>
          <w14:ligatures w14:val="none"/>
        </w:rPr>
        <w:t xml:space="preserve">. Symptoms of EAB are common on these growing trees, but many remain healthy, with </w:t>
      </w:r>
      <w:r w:rsidR="001D4074" w:rsidRPr="00AD5414">
        <w:rPr>
          <w:rFonts w:eastAsia="Calibri"/>
          <w:kern w:val="0"/>
          <w:sz w:val="24"/>
          <w:szCs w:val="24"/>
          <w14:ligatures w14:val="none"/>
        </w:rPr>
        <w:t>57% of ash larger than 5 cm DBH ha</w:t>
      </w:r>
      <w:r w:rsidR="001D4074">
        <w:rPr>
          <w:rFonts w:eastAsia="Calibri"/>
          <w:kern w:val="0"/>
          <w:sz w:val="24"/>
          <w:szCs w:val="24"/>
          <w14:ligatures w14:val="none"/>
        </w:rPr>
        <w:t>ving</w:t>
      </w:r>
      <w:r w:rsidR="001D4074" w:rsidRPr="00AD5414">
        <w:rPr>
          <w:rFonts w:eastAsia="Calibri"/>
          <w:kern w:val="0"/>
          <w:sz w:val="24"/>
          <w:szCs w:val="24"/>
          <w14:ligatures w14:val="none"/>
        </w:rPr>
        <w:t xml:space="preserve"> healthy canopies</w:t>
      </w:r>
      <w:r w:rsidR="001D4074">
        <w:rPr>
          <w:rFonts w:eastAsia="Calibri"/>
          <w:kern w:val="0"/>
          <w:sz w:val="24"/>
          <w:szCs w:val="24"/>
          <w14:ligatures w14:val="none"/>
        </w:rPr>
        <w:t xml:space="preserve">. Furthermore, we recovered three species of introduced natural enemies, </w:t>
      </w:r>
      <w:r w:rsidR="00C07DAF">
        <w:rPr>
          <w:rFonts w:eastAsia="Calibri"/>
          <w:kern w:val="0"/>
          <w:sz w:val="24"/>
          <w:szCs w:val="24"/>
          <w14:ligatures w14:val="none"/>
        </w:rPr>
        <w:t>suggesting</w:t>
      </w:r>
      <w:r w:rsidR="001E382A">
        <w:rPr>
          <w:rFonts w:eastAsia="Calibri"/>
          <w:kern w:val="0"/>
          <w:sz w:val="24"/>
          <w:szCs w:val="24"/>
          <w14:ligatures w14:val="none"/>
        </w:rPr>
        <w:t xml:space="preserve"> that parasitoids </w:t>
      </w:r>
      <w:r w:rsidR="00CF1D26">
        <w:rPr>
          <w:rFonts w:eastAsia="Calibri"/>
          <w:kern w:val="0"/>
          <w:sz w:val="24"/>
          <w:szCs w:val="24"/>
          <w14:ligatures w14:val="none"/>
        </w:rPr>
        <w:t>may be playing a role in regulating populations of EAB</w:t>
      </w:r>
      <w:r w:rsidR="001E382A">
        <w:rPr>
          <w:rFonts w:eastAsia="Calibri"/>
          <w:kern w:val="0"/>
          <w:sz w:val="24"/>
          <w:szCs w:val="24"/>
          <w14:ligatures w14:val="none"/>
        </w:rPr>
        <w:t xml:space="preserve">. </w:t>
      </w:r>
      <w:r w:rsidR="00A1422F">
        <w:rPr>
          <w:rFonts w:eastAsia="Calibri"/>
          <w:kern w:val="0"/>
          <w:sz w:val="24"/>
          <w:szCs w:val="24"/>
          <w14:ligatures w14:val="none"/>
        </w:rPr>
        <w:t>We also completed a survey of all tree species in</w:t>
      </w:r>
      <w:r w:rsidR="001C417D">
        <w:rPr>
          <w:rFonts w:eastAsia="Calibri"/>
          <w:kern w:val="0"/>
          <w:sz w:val="24"/>
          <w:szCs w:val="24"/>
          <w14:ligatures w14:val="none"/>
        </w:rPr>
        <w:t xml:space="preserve"> hydric forests, </w:t>
      </w:r>
      <w:r w:rsidR="00A1422F">
        <w:rPr>
          <w:rFonts w:eastAsia="Calibri"/>
          <w:kern w:val="0"/>
          <w:sz w:val="24"/>
          <w:szCs w:val="24"/>
          <w14:ligatures w14:val="none"/>
        </w:rPr>
        <w:lastRenderedPageBreak/>
        <w:t xml:space="preserve">which indicated that black ash </w:t>
      </w:r>
      <w:r w:rsidR="00CC29DB">
        <w:rPr>
          <w:rFonts w:eastAsia="Calibri"/>
          <w:kern w:val="0"/>
          <w:sz w:val="24"/>
          <w:szCs w:val="24"/>
          <w14:ligatures w14:val="none"/>
        </w:rPr>
        <w:t>(</w:t>
      </w:r>
      <w:r w:rsidR="00CC29DB" w:rsidRPr="00CC29DB">
        <w:rPr>
          <w:rFonts w:eastAsia="Calibri"/>
          <w:i/>
          <w:iCs/>
          <w:kern w:val="0"/>
          <w:sz w:val="24"/>
          <w:szCs w:val="24"/>
          <w14:ligatures w14:val="none"/>
        </w:rPr>
        <w:t>F</w:t>
      </w:r>
      <w:r w:rsidR="00CC29DB">
        <w:rPr>
          <w:rFonts w:eastAsia="Calibri"/>
          <w:i/>
          <w:iCs/>
          <w:kern w:val="0"/>
          <w:sz w:val="24"/>
          <w:szCs w:val="24"/>
          <w14:ligatures w14:val="none"/>
        </w:rPr>
        <w:t xml:space="preserve">raxinus </w:t>
      </w:r>
      <w:r w:rsidR="00CC29DB" w:rsidRPr="00CC29DB">
        <w:rPr>
          <w:rFonts w:eastAsia="Calibri"/>
          <w:i/>
          <w:iCs/>
          <w:kern w:val="0"/>
          <w:sz w:val="24"/>
          <w:szCs w:val="24"/>
          <w14:ligatures w14:val="none"/>
        </w:rPr>
        <w:t>nigra</w:t>
      </w:r>
      <w:r w:rsidR="003D1BC3">
        <w:rPr>
          <w:rFonts w:eastAsia="Calibri"/>
          <w:i/>
          <w:iCs/>
          <w:kern w:val="0"/>
          <w:sz w:val="24"/>
          <w:szCs w:val="24"/>
          <w14:ligatures w14:val="none"/>
        </w:rPr>
        <w:t xml:space="preserve"> </w:t>
      </w:r>
      <w:r w:rsidR="003D1BC3" w:rsidRPr="003D1BC3">
        <w:rPr>
          <w:rFonts w:eastAsia="Calibri"/>
          <w:kern w:val="0"/>
          <w:sz w:val="24"/>
          <w:szCs w:val="24"/>
          <w14:ligatures w14:val="none"/>
        </w:rPr>
        <w:t>Marshall</w:t>
      </w:r>
      <w:r w:rsidR="00CC29DB">
        <w:rPr>
          <w:rFonts w:eastAsia="Calibri"/>
          <w:kern w:val="0"/>
          <w:sz w:val="24"/>
          <w:szCs w:val="24"/>
          <w14:ligatures w14:val="none"/>
        </w:rPr>
        <w:t xml:space="preserve">) </w:t>
      </w:r>
      <w:r w:rsidR="00A1422F">
        <w:rPr>
          <w:rFonts w:eastAsia="Calibri"/>
          <w:kern w:val="0"/>
          <w:sz w:val="24"/>
          <w:szCs w:val="24"/>
          <w14:ligatures w14:val="none"/>
        </w:rPr>
        <w:t xml:space="preserve">regeneration is tending to occur in stands </w:t>
      </w:r>
      <w:r w:rsidR="000A6F6E">
        <w:rPr>
          <w:rFonts w:eastAsia="Calibri"/>
          <w:kern w:val="0"/>
          <w:sz w:val="24"/>
          <w:szCs w:val="24"/>
          <w14:ligatures w14:val="none"/>
        </w:rPr>
        <w:t>containing</w:t>
      </w:r>
      <w:r w:rsidR="00A1422F">
        <w:rPr>
          <w:rFonts w:eastAsia="Calibri"/>
          <w:kern w:val="0"/>
          <w:sz w:val="24"/>
          <w:szCs w:val="24"/>
          <w14:ligatures w14:val="none"/>
        </w:rPr>
        <w:t xml:space="preserve"> tamarack (</w:t>
      </w:r>
      <w:r w:rsidR="00A1422F" w:rsidRPr="00092F9E">
        <w:rPr>
          <w:rFonts w:eastAsia="Calibri"/>
          <w:i/>
          <w:iCs/>
          <w:kern w:val="0"/>
          <w:sz w:val="24"/>
          <w:szCs w:val="24"/>
          <w14:ligatures w14:val="none"/>
        </w:rPr>
        <w:t>Larix laricina</w:t>
      </w:r>
      <w:r w:rsidR="00092F9E">
        <w:rPr>
          <w:rFonts w:eastAsia="Calibri"/>
          <w:kern w:val="0"/>
          <w:sz w:val="24"/>
          <w:szCs w:val="24"/>
          <w14:ligatures w14:val="none"/>
        </w:rPr>
        <w:t xml:space="preserve"> </w:t>
      </w:r>
      <w:r w:rsidR="00092F9E" w:rsidRPr="00092F9E">
        <w:rPr>
          <w:rFonts w:eastAsia="Calibri"/>
          <w:kern w:val="0"/>
          <w:sz w:val="24"/>
          <w:szCs w:val="24"/>
          <w14:ligatures w14:val="none"/>
        </w:rPr>
        <w:t>(Du Roi) K. Koch</w:t>
      </w:r>
      <w:r w:rsidR="00A1422F">
        <w:rPr>
          <w:rFonts w:eastAsia="Calibri"/>
          <w:kern w:val="0"/>
          <w:sz w:val="24"/>
          <w:szCs w:val="24"/>
          <w14:ligatures w14:val="none"/>
        </w:rPr>
        <w:t>)</w:t>
      </w:r>
      <w:r w:rsidR="006B17B1">
        <w:rPr>
          <w:rFonts w:eastAsia="Calibri"/>
          <w:kern w:val="0"/>
          <w:sz w:val="24"/>
          <w:szCs w:val="24"/>
          <w14:ligatures w14:val="none"/>
        </w:rPr>
        <w:t xml:space="preserve">, while </w:t>
      </w:r>
      <w:r w:rsidR="00FE0FE0">
        <w:rPr>
          <w:rFonts w:eastAsia="Calibri"/>
          <w:kern w:val="0"/>
          <w:sz w:val="24"/>
          <w:szCs w:val="24"/>
          <w14:ligatures w14:val="none"/>
        </w:rPr>
        <w:t xml:space="preserve">not occurring as often in stands with </w:t>
      </w:r>
      <w:r w:rsidR="00A1422F">
        <w:rPr>
          <w:rFonts w:eastAsia="Calibri"/>
          <w:kern w:val="0"/>
          <w:sz w:val="24"/>
          <w:szCs w:val="24"/>
          <w14:ligatures w14:val="none"/>
        </w:rPr>
        <w:t>silver maple (</w:t>
      </w:r>
      <w:r w:rsidR="00A1422F" w:rsidRPr="00A1422F">
        <w:rPr>
          <w:rFonts w:eastAsia="Calibri"/>
          <w:i/>
          <w:iCs/>
          <w:kern w:val="0"/>
          <w:sz w:val="24"/>
          <w:szCs w:val="24"/>
          <w14:ligatures w14:val="none"/>
        </w:rPr>
        <w:t>Acer saccharinum</w:t>
      </w:r>
      <w:r w:rsidR="00A1422F">
        <w:rPr>
          <w:rFonts w:eastAsia="Calibri"/>
          <w:kern w:val="0"/>
          <w:sz w:val="24"/>
          <w:szCs w:val="24"/>
          <w14:ligatures w14:val="none"/>
        </w:rPr>
        <w:t xml:space="preserve"> L.)</w:t>
      </w:r>
      <w:r w:rsidR="001C417D">
        <w:rPr>
          <w:rFonts w:eastAsia="Calibri"/>
          <w:kern w:val="0"/>
          <w:sz w:val="24"/>
          <w:szCs w:val="24"/>
          <w14:ligatures w14:val="none"/>
        </w:rPr>
        <w:t xml:space="preserve">. Our results suggest that in our study sites, </w:t>
      </w:r>
      <w:r w:rsidR="00092F9E">
        <w:rPr>
          <w:rFonts w:eastAsia="Calibri"/>
          <w:kern w:val="0"/>
          <w:sz w:val="24"/>
          <w:szCs w:val="24"/>
          <w14:ligatures w14:val="none"/>
        </w:rPr>
        <w:t xml:space="preserve">ash in hydric swamps is closer to reaching sizes which can produce seeds </w:t>
      </w:r>
      <w:r w:rsidR="00583B8A">
        <w:rPr>
          <w:rFonts w:eastAsia="Calibri"/>
          <w:kern w:val="0"/>
          <w:sz w:val="24"/>
          <w:szCs w:val="24"/>
          <w14:ligatures w14:val="none"/>
        </w:rPr>
        <w:t>than mesic or xeric locations</w:t>
      </w:r>
      <w:r w:rsidR="00092F9E">
        <w:rPr>
          <w:rFonts w:eastAsia="Calibri"/>
          <w:kern w:val="0"/>
          <w:sz w:val="24"/>
          <w:szCs w:val="24"/>
          <w14:ligatures w14:val="none"/>
        </w:rPr>
        <w:t>. However, this depends on interactions between tree resistance to EAB, population fluctuations of EAB, and parasitoid natural enemies.</w:t>
      </w:r>
    </w:p>
    <w:p w14:paraId="5003FEA1" w14:textId="77777777" w:rsidR="00AD5414" w:rsidRPr="00AD5414" w:rsidRDefault="00AD5414" w:rsidP="00AD5414">
      <w:pPr>
        <w:spacing w:line="480" w:lineRule="auto"/>
        <w:rPr>
          <w:rFonts w:eastAsia="Calibri"/>
          <w:kern w:val="0"/>
          <w:sz w:val="24"/>
          <w:szCs w:val="24"/>
          <w14:ligatures w14:val="none"/>
        </w:rPr>
      </w:pPr>
    </w:p>
    <w:p w14:paraId="444C3E4E"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Introduction</w:t>
      </w:r>
    </w:p>
    <w:p w14:paraId="3BFF0BAE" w14:textId="23D4A41F" w:rsidR="00AD5414" w:rsidRPr="00AD5414" w:rsidRDefault="00AD5414" w:rsidP="006E4D9D">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Forests are increasingly impacted by anthropogenic stressors, including the establishment and spread of nonnative species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{"citationID":"ifhjELx4","properties":{"formattedCitation":"(Lovett et al. 2006)","plainCitation":"(Lovett et al. 2006)","noteIndex":0},"citationItems":[{"id":723,"uris":["http://zotero.org/groups/5154252/items/RZE67N9F"],"itemData":{"id":723,"type":"article-journal","abstract":"The forests of eastern North America have been subjected to repeated introductions of exotic insect pests and pathogens over the last century, and several new pests are currently invading, or threatening to invade, the region. These pests and pathogens can have major short- and long-term impacts on forest ecosystem processes such as productivity, nutrient cycling, and support of consumer food webs. We identify six key features of the biology of exotic animal pests and the ecology of their hosts that are critical to predicting the general nature and severity of those impacts. Using three examples of introduced pests and pathogens in eastern forest ecosystems, we provide a conceptual framework for assessing potential ecosystem-scale effects.","container-title":"BioScience","DOI":"10.1641/0006-3568(2006)056[0395:FERTEP]2.0.CO;2","ISSN":"0006-3568","issue":"5","journalAbbreviation":"BioScience","language":"en","page":"395","source":"DOI.org (Crossref)","title":"Forest Ecosystem Responses to Exotic Pests and Pathogens in Eastern North America","volume":"56","author":[{"family":"Lovett","given":"Gary M."},{"family":"Canham","given":"Charles D."},{"family":"Arthur","given":"Mary A."},{"family":"Weathers","given":"Kathleen C."},{"family":"Fitzhugh","given":"Ross D."}],"issued":{"date-parts":[["2006"]]}}}],"schema":"https://github.com/citation-style-language/schema/raw/master/csl-citation.json"}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(Lovett et al. 2006)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Nonnative tree-feeding insects have been especially significant, causing economic and ecological impacts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{"citationID":"HDdCKURX","properties":{"formattedCitation":"(Gandhi and Herms 2010, Van Driesche and Reardon 2016)","plainCitation":"(Gandhi and Herms 2010, Van Driesche and Reardon 2016)","noteIndex":0},"citationItems":[{"id":1247,"uris":["http://zotero.org/groups/5270502/items/P64DHDI9"],"itemData":{"id":1247,"type":"article-journal","container-title":"Biological Invasions","DOI":"10.1007/s10530-009-9627-9","ISSN":"1387-3547, 1573-1464","issue":"2","journalAbbreviation":"Biol Invasions","language":"en","license":"http://www.springer.com/tdm","page":"389-405","source":"DOI.org (Crossref)","title":"Direct and indirect effects of alien insect herbivores on ecological processes and interactions in forests of eastern North America","volume":"12","author":[{"family":"Gandhi","given":"Kamal J. K."},{"family":"Herms","given":"Daniel A."}],"issued":{"date-parts":[["2010",2]]}}},{"id":951,"uris":["http://zotero.org/users/6631577/items/3HRQF4NS"],"itemData":{"id":951,"type":"report","event-place":"Morgantown, WV","language":"en","number":"FHTET–2013–2","publisher":"USDA Forest Service","publisher-place":"Morgantown, WV","source":"Zotero","title":"The Use of Classical Biological Control to Preserve Forests in North America","author":[{"family":"Van Driesche","given":"Roy"},{"family":"Reardon","given":"Richard"}],"issued":{"date-parts":[["2016"]]}}}],"schema":"https://github.com/citation-style-language/schema/raw/master/csl-citation.json"}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(Gandhi and Herms 2010, Van Driesche and Reardon 2016)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These pests can undergo exponential population growth because top-down and bottom-up processes are reduced in the invaded range. Insects introduced to a new region can escape their specialist natural enemies which might otherwise control their populations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{"citationID":"ZEqgQcM6","properties":{"formattedCitation":"(Roy et al. 2011, Duan et al. 2023)","plainCitation":"(Roy et al. 2011, Duan et al. 2023)","noteIndex":0},"citationItems":[{"id":1241,"uris":["http://zotero.org/groups/5270502/items/GSDZFATW"],"itemData":{"id":1241,"type":"article-journal","container-title":"BioControl","DOI":"10.1007/s10526-011-9349-7","ISSN":"1386-6141, 1573-8248","issue":"4","journalAbbreviation":"BioControl","language":"en","license":"http://www.springer.com/tdm","page":"451-468","source":"DOI.org (Crossref)","title":"Can the enemy release hypothesis explain the success of invasive alien predators and parasitoids?","volume":"56","author":[{"family":"Roy","given":"H. E."},{"family":"Lawson Handley","given":"L.-J."},{"family":"Schönrogge","given":"K."},{"family":"Poland","given":"R. L."},{"family":"Purse","given":"B. V."}],"issued":{"date-parts":[["2011",8]]}}},{"id":599,"uris":["http://zotero.org/groups/5270502/items/T5VVC9XD"],"itemData":{"id":599,"type":"article-journal","container-title":"BioControl","DOI":"10.1007/s10526-023-10182-w","ISSN":"1386-6141,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(Roy et al. 2011, Duan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Furthermore, native tree species do not share a coevolutionary history with nonnative insects and may lack the necessary physical or chemical defenses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{"citationID":"cCEU7Nkr","properties":{"formattedCitation":"(Villari et al. 2016, Mech et al. 2019)","plainCitation":"(Villari et al. 2016, Mech et al. 2019)","noteIndex":0},"citationItems":[{"id":728,"uris":["http://zotero.org/groups/5270502/items/H28XYNMH"],"itemData":{"id":728,"type":"article-journal","abstract":"Summary\n            \n              We review the literature on host resistance of ash to emerald ash borer (EAB,\n              Agrilus planipennis\n              ), an invasive species that causes widespread mortality of ash. Manchurian ash (\n              Fraxinus mandshurica\n              ), which coevolved with EAB, is more resistant than evolutionarily naïve North American and European congeners. Manchurian ash was less preferred for adult feeding and oviposition than susceptible hosts, more resistant to larval feeding, had higher constitutive concentrations of bark lignans, coumarins, proline, tyramine and defensive proteins, and was characterized by faster oxidation of phenolics. Consistent with EAB being a secondary colonizer of coevolved hosts, drought stress decreased the resistance of Manchurian ash, but had no effect on constitutive bark phenolics, suggesting that they do not contribute to increased susceptibility in response to drought stress. The induced resistance of North American species to EAB in response to the exogenous application of methyl jasmonate was associated with increased bark concentrations of verbascoside, lignin and/or trypsin inhibitors, which decreased larval survival and/or growth in bioassays. This finding suggests that these inherently susceptible species possess latent defenses that are not induced naturally by larval colonization, perhaps because they fail to recognize larval cues or respond quickly enough. Finally, we propose future research directions that would address some critical knowledge gaps.\n            \n            \n              \n                \n                  \n                  \n                  \n                  \n                    \n                      \n                      Contents\n                      \n                    \n                  \n                  \n                    \n                      \n                      Summary\n                      63\n                    \n                    \n                      I.\n                      \n                        Introduction\n                      \n                      64\n                    \n                    \n                      II.\n                      \n                        Emerald ash borer life cycle and host range\n                      \n                      64\n                    \n                    \n                      III.\n                      \n                        Mechanisms of ash resistance to emerald ash borer\n                      \n                      65\n                    \n                    \n                      IV.\n                      \n                        Nutritional quality and primary metabolites\n                      \n                      71\n                    \n                    \n                      V.\n                      \n                        Conclusions and future directions\n                      \n                      72\n                    \n                    \n                      \n                      \n                        Acknowledgements\n                      \n                      75\n                    \n                    \n                      \n                      \n                        References\n                      \n                      75","container-title":"New Phytologist","DOI":"10.1111/nph.13604","ISSN":"0028-646X, 1469-8137","issue":"1","journalAbbreviation":"New Phytologist","language":"en","page":"63-79","source":"DOI.org (Crossref)","title":"Progress and gaps in understanding mechanisms of ash tree resistance to emerald ash borer, a model for wood‐boring insects that kill angiosperms","volume":"209","author":[{"family":"Villari","given":"Caterina"},{"family":"Herms","given":"Daniel A."},{"family":"Whitehill","given":"Justin G. A."},{"family":"Cipollini","given":"Don"},{"family":"Bonello","given":"Pierluigi"}],"issued":{"date-parts":[["2016",1]]}},"label":"page"},{"id":1235,"uris":["http://zotero.org/groups/5270502/items/KI3LSJBX"],"itemData":{"id":1235,"type":"article-journal","abstract":"Abstract\n            \n              \n                \n                  A long‐standing goal of invasion biology is to identify factors driving highly variable impacts of non‐native species. Although hypotheses exist that emphasize the role of evolutionary history (e.g., enemy release hypothesis &amp; defense‐free space hypothesis), predicting the impact of non‐native herbivorous insects has eluded scientists for over a century.\n                \n                \n                  Using a census of all 58 non‐native conifer‐specialist insects in North America, we quantified the contribution of over 25 factors that could affect the impact they have on their novel hosts, including insect traits (fecundity, voltinism, native range, etc.), host traits (shade tolerance, growth rate, wood density, etc.), and evolutionary relationships (between native and novel hosts and insects).\n                \n                \n                  We discovered that divergence times between native and novel hosts, the shade and drought tolerance of the novel host, and the presence of a coevolved congener on a shared host, were more predictive of impact than the traits of the invading insect. These factors built upon each other to strengthen our ability to predict the risk of a non‐native insect becoming invasive. This research is the first to empirically support historically assumed hypotheses about the importance of evolutionary history as a major driver of impact of non‐native herbivorous insects.\n                \n                \n                  \n                    Our novel, integrated model predicts whether a non‐native insect not yet present in North America will have a one in 6.5 to a one in 2,858 chance of causing widespread mortality of a conifer species if established (\n                    R\n                    2\n                     = 0.91)\n                  \n                \n                \n                  \n                    Synthesis and applications\n                    . With this advancement, the risk to other conifer host species and regions can be assessed, and regulatory and pest management efforts can be more efficiently prioritized.","container-title":"Ecology and Evolution","DOI":"10.1002/ece3.5709","ISSN":"2045-7758, 2045-7758","issue":"21","journalAbbreviation":"Ecology and Evolution","language":"en","page":"12216-12230","source":"DOI.org (Crossref)","title":"Evolutionary history predicts high‐impact invasions by herbivorous insects","volume":"9","author":[{"family":"Mech","given":"Angela M."},{"family":"Thomas","given":"Kathryn A."},{"family":"Marsico","given":"Travis D."},{"family":"Herms","given":"Daniel A."},{"family":"Allen","given":"Craig R."},{"family":"Ayres","given":"Matthew P."},{"family":"Gandhi","given":"Kamal J. K."},{"family":"Gurevitch","given":"Jessica"},{"family":"Havill","given":"Nathan P."},{"family":"Hufbauer","given":"Ruth A."},{"family":"Liebhold","given":"Andrew M."},{"family":"Raffa","given":"Kenneth F."},{"family":"Schulz","given":"Ashley N."},{"family":"Uden","given":"Daniel R."},{"family":"Tobin","given":"Patrick C."}],"issued":{"date-parts":[["2019",11]]}}}],"schema":"https://github.com/citation-style-language/schema/raw/master/csl-citation.json"}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(Villari et al. 2016, Mech et al.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Release from these top-down and bottom-up controls can lead to rapid and widespread mortality of host trees, which has short- and long-term impacts on forest structure and function. In the short term, tree mortality forms canopy gaps that increase light availability and temperature and alter soil moisture on the forest floor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{"citationID":"UAGe2aQ7","properties":{"formattedCitation":"(Perry and Herms 2019)","plainCitation":"(Perry and Herms 2019)","noteIndex":0},"citationItems":[{"id":318,"uris":["http://zotero.org/groups/5154252/items/LCZNXJLT"],"itemData":{"id":318,"type":"article-journal","abstract":"In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(Perry and Herms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r w:rsidR="003175AF">
        <w:rPr>
          <w:rFonts w:eastAsia="Calibri"/>
          <w:kern w:val="0"/>
          <w:sz w:val="24"/>
          <w:szCs w:val="24"/>
          <w14:ligatures w14:val="none"/>
        </w:rPr>
        <w:t>M</w:t>
      </w:r>
      <w:r w:rsidR="00C03C8F">
        <w:rPr>
          <w:rFonts w:eastAsia="Calibri"/>
          <w:kern w:val="0"/>
          <w:sz w:val="24"/>
          <w:szCs w:val="24"/>
          <w14:ligatures w14:val="none"/>
        </w:rPr>
        <w:t xml:space="preserve">ultiple size classes of trees can respond to </w:t>
      </w:r>
      <w:r w:rsidR="00B84BB8">
        <w:rPr>
          <w:rFonts w:eastAsia="Calibri"/>
          <w:kern w:val="0"/>
          <w:sz w:val="24"/>
          <w:szCs w:val="24"/>
          <w14:ligatures w14:val="none"/>
        </w:rPr>
        <w:t xml:space="preserve">the available resources, including canopy trees and/or </w:t>
      </w:r>
      <w:r w:rsidR="006E4D9D">
        <w:rPr>
          <w:rFonts w:eastAsia="Calibri"/>
          <w:kern w:val="0"/>
          <w:sz w:val="24"/>
          <w:szCs w:val="24"/>
          <w14:ligatures w14:val="none"/>
        </w:rPr>
        <w:t>advanced regeneration in the understory</w:t>
      </w:r>
      <w:r w:rsidR="00D02EEA">
        <w:rPr>
          <w:rFonts w:eastAsia="Calibri"/>
          <w:kern w:val="0"/>
          <w:sz w:val="24"/>
          <w:szCs w:val="24"/>
          <w14:ligatures w14:val="none"/>
        </w:rPr>
        <w:t xml:space="preserve"> </w:t>
      </w:r>
      <w:r w:rsidR="00D02EEA">
        <w:rPr>
          <w:rFonts w:eastAsia="Calibri"/>
          <w:kern w:val="0"/>
          <w:sz w:val="24"/>
          <w:szCs w:val="24"/>
          <w14:ligatures w14:val="none"/>
        </w:rPr>
        <w:fldChar w:fldCharType="begin"/>
      </w:r>
      <w:r w:rsidR="0040127A">
        <w:rPr>
          <w:rFonts w:eastAsia="Calibri"/>
          <w:kern w:val="0"/>
          <w:sz w:val="24"/>
          <w:szCs w:val="24"/>
          <w14:ligatures w14:val="none"/>
        </w:rPr>
        <w:instrText xml:space="preserve"> ADDIN ZOTERO_ITEM CSL_CITATION {"citationID":"ZyDAf9Y5","properties":{"formattedCitation":"(Oliver and Larson 1996, Hoven et al. 2020)","plainCitation":"(Oliver and Larson 1996, Hoven et al. 2020)","noteIndex":0},"citationItems":[{"id":1220,"uris":["http://zotero.org/groups/5270502/items/CSPPNJIP"],"itemData":{"id":1220,"type":"book","call-number":"QK938.F6 O38 1996","edition":"Update ed","event-place":"New York","ISBN":"978-0-471-13833-4","number-of-pages":"520","publisher":"Wiley","publisher-place":"New York","source":"Library of Congress ISBN","title":"Forest stand dynamics","author":[{"family":"Oliver","given":"Chadwick Dearing"},{"family":"Larson","given":"Bruce C."}],"issued":{"date-parts":[["1996"]]}}},{"id":709,"uris":["http://zotero.org/groups/5270502/items/7E4CKTXS"],"itemData":{"id":709,"type":"article-journal","container-title":"Annals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(&lt;i&gt;Agrilus planipennis&lt;/i&gt;)-caused ash death","title-short":"Release and suppression","volume":"77","author":[{"family":"Hoven","given":"Brian M."},{"family":"Knight","given":"Kathleen S."},{"family":"Peters","given":"Valerie E."},{"family":"Gorchov","given":"David L."}],"issued":{"date-parts":[["2020",3]]}}}],"schema":"https://github.com/citation-style-language/schema/raw/master/csl-citation.json"} </w:instrText>
      </w:r>
      <w:r w:rsidR="00D02EEA">
        <w:rPr>
          <w:rFonts w:eastAsia="Calibri"/>
          <w:kern w:val="0"/>
          <w:sz w:val="24"/>
          <w:szCs w:val="24"/>
          <w14:ligatures w14:val="none"/>
        </w:rPr>
        <w:fldChar w:fldCharType="separate"/>
      </w:r>
      <w:r w:rsidR="0040127A" w:rsidRPr="0040127A">
        <w:rPr>
          <w:sz w:val="24"/>
        </w:rPr>
        <w:t>(Oliver and Larson 1996, Hoven et al. 2020)</w:t>
      </w:r>
      <w:r w:rsidR="00D02EEA">
        <w:rPr>
          <w:rFonts w:eastAsia="Calibri"/>
          <w:kern w:val="0"/>
          <w:sz w:val="24"/>
          <w:szCs w:val="24"/>
          <w14:ligatures w14:val="none"/>
        </w:rPr>
        <w:fldChar w:fldCharType="end"/>
      </w:r>
      <w:r w:rsidRPr="00AD5414">
        <w:rPr>
          <w:rFonts w:eastAsia="Calibri"/>
          <w:kern w:val="0"/>
          <w:sz w:val="24"/>
          <w:szCs w:val="24"/>
          <w14:ligatures w14:val="none"/>
        </w:rPr>
        <w:t xml:space="preserve">. If the host tree species has surviving seedlings, saplings, or root sprouts, this </w:t>
      </w:r>
      <w:r w:rsidRPr="00AD5414">
        <w:rPr>
          <w:rFonts w:eastAsia="Calibri"/>
          <w:kern w:val="0"/>
          <w:sz w:val="24"/>
          <w:szCs w:val="24"/>
          <w14:ligatures w14:val="none"/>
        </w:rPr>
        <w:lastRenderedPageBreak/>
        <w:t>regeneration may compete to reclaim the space. However, regeneration of the host tree species can be hindered by the continual presence of the nonnative insect</w:t>
      </w:r>
      <w:r w:rsidR="00F11946">
        <w:rPr>
          <w:rFonts w:eastAsia="Calibri"/>
          <w:kern w:val="0"/>
          <w:sz w:val="24"/>
          <w:szCs w:val="24"/>
          <w14:ligatures w14:val="none"/>
        </w:rPr>
        <w:t xml:space="preserve"> </w:t>
      </w:r>
      <w:r w:rsidR="00F11946">
        <w:rPr>
          <w:rFonts w:eastAsia="Calibri"/>
          <w:kern w:val="0"/>
          <w:sz w:val="24"/>
          <w:szCs w:val="24"/>
          <w14:ligatures w14:val="none"/>
        </w:rPr>
        <w:fldChar w:fldCharType="begin"/>
      </w:r>
      <w:r w:rsidR="00F11946">
        <w:rPr>
          <w:rFonts w:eastAsia="Calibri"/>
          <w:kern w:val="0"/>
          <w:sz w:val="24"/>
          <w:szCs w:val="24"/>
          <w14:ligatures w14:val="none"/>
        </w:rPr>
        <w:instrText xml:space="preserve"> ADDIN ZOTERO_ITEM CSL_CITATION {"citationID":"KHStQ61V","properties":{"formattedCitation":"(Olatinwo et al. 2021)","plainCitation":"(Olatinwo et al. 2021)","noteIndex":0},"citationItems":[{"id":1233,"uris":["http://zotero.org/groups/5270502/items/IXKYS269"],"itemData":{"id":1233,"type":"article-journal","abstract":"In recent years, outbreaks of nonnative invasive insects and pathogens have caused signiﬁcant levels of tree mortality and disturbance in various forest ecosystems throughout the United States. Laurel wilt, caused by the pathogen Raffaelea lauricola (T.C. Harr., Fraedrich and Aghayeva) and the primary vector, the redbay ambrosia beetle (Xyleborus glabratus Eichhoff), is a nonnative pest-disease complex ﬁrst reported in the southeastern United States in 2002. Since then, it has spread across eleven southeastern states to date, killing hundreds of millions of trees in the plant family Lauraceae. Here, we examine the impacts of laurel wilt on selected vulnerable Lauraceae in the United States and discuss management methods for limiting geographic expansion and reducing impact. Although about 13 species belonging to the Lauraceae are indigenous to the United States, the highly susceptible members of the family to laurel wilt are the large tree species including redbay (Persea borbonia (L.) Spreng) and sassafras (Sassafras albidum (Nutt.) Nees), with a signiﬁcant economic impact on the commercial production of avocado (Persea americana Mill.), an important species native to Central America grown in the United States. Preventing new introductions and mitigating the impact of previously introduced nonnative species are critically important to decelerate losses of forest habitat, genetic diversity, and overall ecosystem value.","container-title":"Forests","DOI":"10.3390/f12020181","ISSN":"1999-4907","issue":"2","journalAbbreviation":"Forests","language":"en","license":"https://creativecommons.org/licenses/by/4.0/","page":"181","source":"DOI.org (Crossref)","title":"Laurel Wilt: Current and Potential Impacts and Possibilities for Prevention and Management","title-short":"Laurel Wilt","volume":"12","author":[{"family":"Olatinwo","given":"Rabiu O."},{"family":"Fraedrich","given":"Stephen W."},{"family":"Mayfield","given":"Albert E."}],"issued":{"date-parts":[["2021",2,4]]}}}],"schema":"https://github.com/citation-style-language/schema/raw/master/csl-citation.json"} </w:instrText>
      </w:r>
      <w:r w:rsidR="00F11946">
        <w:rPr>
          <w:rFonts w:eastAsia="Calibri"/>
          <w:kern w:val="0"/>
          <w:sz w:val="24"/>
          <w:szCs w:val="24"/>
          <w14:ligatures w14:val="none"/>
        </w:rPr>
        <w:fldChar w:fldCharType="separate"/>
      </w:r>
      <w:r w:rsidR="00F11946" w:rsidRPr="00F11946">
        <w:rPr>
          <w:sz w:val="24"/>
        </w:rPr>
        <w:t>(Olatinwo et al. 2021)</w:t>
      </w:r>
      <w:r w:rsidR="00F11946">
        <w:rPr>
          <w:rFonts w:eastAsia="Calibri"/>
          <w:kern w:val="0"/>
          <w:sz w:val="24"/>
          <w:szCs w:val="24"/>
          <w14:ligatures w14:val="none"/>
        </w:rPr>
        <w:fldChar w:fldCharType="end"/>
      </w:r>
      <w:r w:rsidRPr="00AD5414">
        <w:rPr>
          <w:rFonts w:eastAsia="Calibri"/>
          <w:kern w:val="0"/>
          <w:sz w:val="24"/>
          <w:szCs w:val="24"/>
          <w14:ligatures w14:val="none"/>
        </w:rPr>
        <w:t xml:space="preserve">. Eventually, host tree species may be functionally eliminated from forests, or they may </w:t>
      </w:r>
      <w:r w:rsidR="00740894">
        <w:rPr>
          <w:rFonts w:eastAsia="Calibri"/>
          <w:kern w:val="0"/>
          <w:sz w:val="24"/>
          <w:szCs w:val="24"/>
          <w14:ligatures w14:val="none"/>
        </w:rPr>
        <w:t>continue to be</w:t>
      </w:r>
      <w:r w:rsidR="00B203EA">
        <w:rPr>
          <w:rFonts w:eastAsia="Calibri"/>
          <w:kern w:val="0"/>
          <w:sz w:val="24"/>
          <w:szCs w:val="24"/>
          <w14:ligatures w14:val="none"/>
        </w:rPr>
        <w:t xml:space="preserve"> important components of the community</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{"citationID":"s6guoeQR","properties":{"formattedCitation":"(McCormick and Platt 1980)","plainCitation":"(McCormick and Platt 1980)","noteIndex":0},"citationItems":[{"id":1136,"uris":["http://zotero.org/groups/5270502/items/C7IE777T"],"itemData":{"id":1136,"type":"article-journal","container-title":"American Midland Naturalist","DOI":"10.2307/2424865","ISSN":"00030031","issue":"2","journalAbbreviation":"American Midland Naturalist","page":"264","source":"DOI.org (Crossref)","title":"Recovery of an Appalachian Forest Following the Chestnut Blight or Catherine Keever-You Were Right!","volume":"104","author":[{"family":"McCormick","given":"J. Frank"},{"family":"Platt","given":"Robert B."}],"issued":{"date-parts":[["1980",10]]}}}],"schema":"https://github.com/citation-style-language/schema/raw/master/csl-citation.json"}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(McCormick and Platt 1980)</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If they do </w:t>
      </w:r>
      <w:r w:rsidR="002455A5">
        <w:rPr>
          <w:rFonts w:eastAsia="Calibri"/>
          <w:kern w:val="0"/>
          <w:sz w:val="24"/>
          <w:szCs w:val="24"/>
          <w14:ligatures w14:val="none"/>
        </w:rPr>
        <w:t>survive</w:t>
      </w:r>
      <w:r w:rsidRPr="00AD5414">
        <w:rPr>
          <w:rFonts w:eastAsia="Calibri"/>
          <w:kern w:val="0"/>
          <w:sz w:val="24"/>
          <w:szCs w:val="24"/>
          <w14:ligatures w14:val="none"/>
        </w:rPr>
        <w:t xml:space="preserve">, they may do so in a different size range, or only within certain forest types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{"citationID":"hWIL2Iok","properties":{"formattedCitation":"(Barnes 1976)","plainCitation":"(Barnes 1976)","noteIndex":0},"citationItems":[{"id":932,"uris":["http://zotero.org/groups/5270502/items/K5ZX4GMT"],"itemData":{"id":932,"type":"article-journal","abstract":"Fifty-six permanent sample plots were established in deciduous swamp communities of south-eastern Michigan where Ulmus americana was dominant before introduction of the Dutch elm disease. Plots were also established in old fields where elm seedlings were present. The purpose of the study was to determine the composition of the overstory, understory, and seedling layers in deciduous swamp forests and to provide a base line for determining the fate of young seedling and sapling elms, and the rate and nature of succession in the deciduous swamp communities. The major overstory species in the three swamps studied were Fraxinus nigra, Acer rubrum, and Betula alleghaniensis. These species were also dominant in the understory along with smaller numbers of Carpinus caroliniana, Ulmus americana, Tilia americana, and Fraxinus pennsylvanica. In the next generation the communities will be much as they are today. The overstory dominants are also strongly represented in the seedling layer. Ulmus americana was more abundant in this layer than in the understory. Therefore, Ulmus has not been eliminated from the deciduous swamps but makes up about 10 to 15% of the understory and seedling layers. Old fields and other open upland areas are much more important habitats for regeneration of Ulmus than swamp communities. Indications are that unlike Castanea dentata, Ulmus americana will be perpetuated for generations by seeds from young elm trees; however, the average life span of the species will be drastically reduced.","container-title":"Canadian Journal of Botany","DOI":"10.1139/b76-004","ISSN":"0008-4026","issue":"1-2","journalAbbreviation":"Can. J. Bot.","language":"en","license":"http://www.nrcresearchpress.com/page/about/CorporateTextAndDataMining","page":"19-24","source":"DOI.org (Crossref)","title":"Succession in deciduous swamp communities of southeastern Michigan formerly dominated by American elm","volume":"54","author":[{"family":"Barnes","given":"Burton V."}],"issued":{"date-parts":[["1976",1,1]]}}}],"schema":"https://github.com/citation-style-language/schema/raw/master/csl-citation.json"}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(Barnes 1976)</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5A1BA7C4" w14:textId="2F93E943" w:rsidR="00AD5414" w:rsidRPr="00AD5414" w:rsidRDefault="00AD5414" w:rsidP="0005483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Emerald ash borer (EAB, </w:t>
      </w:r>
      <w:r w:rsidRPr="00AD5414">
        <w:rPr>
          <w:rFonts w:eastAsia="Calibri"/>
          <w:i/>
          <w:iCs/>
          <w:kern w:val="0"/>
          <w:sz w:val="24"/>
          <w:szCs w:val="24"/>
          <w14:ligatures w14:val="none"/>
        </w:rPr>
        <w:t>Agrilus planipennis</w:t>
      </w:r>
      <w:r w:rsidRPr="00AD5414">
        <w:rPr>
          <w:rFonts w:eastAsia="Calibri"/>
          <w:kern w:val="0"/>
          <w:sz w:val="24"/>
          <w:szCs w:val="24"/>
          <w14:ligatures w14:val="none"/>
        </w:rPr>
        <w:t xml:space="preserve"> Fairmaire) is an introduced woodboring beetle (Coleoptera: Buprestidae) that has had substantial direct and indirect ecological impacts in forests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{"citationID":"d8zXpzlk","properties":{"formattedCitation":"(Klooster et al. 2018)","plainCitation":"(Klooster et al. 2018)","noteIndex":0},"citationItems":[{"id":611,"uris":["http://zotero.org/groups/5270502/items/RYSAL47Z"],"itemData":{"id":611,"type":"article-journal","container-title":"Forests","DOI":"10.3390/f9050250","ISSN":"1999-4907","issue":"5","journalAbbreviation":"Forests","language":"en","page":"250","source":"DOI.org (Crossref)","title":"Ecological Impacts of Emerald Ash Borer in Forests at the Epicenter of the Invasion in North America","volume":"9","author":[{"family":"Klooster","given":"Wendy"},{"family":"Gandhi","given":"Kamal"},{"family":"Long","given":"Lawrence"},{"family":"Perry","given":"Kayla"},{"family":"Rice","given":"Kevin"},{"family":"Herms","given":"Daniel"}],"issued":{"date-parts":[["2018",5,5]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2018)</w:t>
      </w:r>
      <w:r w:rsidRPr="00AD5414">
        <w:rPr>
          <w:rFonts w:eastAsia="Calibri"/>
          <w:kern w:val="0"/>
          <w:sz w:val="24"/>
          <w:szCs w:val="24"/>
          <w14:ligatures w14:val="none"/>
        </w:rPr>
        <w:fldChar w:fldCharType="end"/>
      </w:r>
      <w:r w:rsidRPr="00AD5414">
        <w:rPr>
          <w:rFonts w:eastAsia="Calibri"/>
          <w:kern w:val="0"/>
          <w:sz w:val="24"/>
          <w:szCs w:val="24"/>
          <w14:ligatures w14:val="none"/>
        </w:rPr>
        <w:t>. First identified near Detroit, Michigan in 2002, EAB has since spread throughout the eastern United States</w:t>
      </w:r>
      <w:r w:rsidR="00BC154F">
        <w:rPr>
          <w:rFonts w:eastAsia="Calibri"/>
          <w:kern w:val="0"/>
          <w:sz w:val="24"/>
          <w:szCs w:val="24"/>
          <w14:ligatures w14:val="none"/>
        </w:rPr>
        <w:t>, in</w:t>
      </w:r>
      <w:r w:rsidRPr="00AD5414">
        <w:rPr>
          <w:rFonts w:eastAsia="Calibri"/>
          <w:kern w:val="0"/>
          <w:sz w:val="24"/>
          <w:szCs w:val="24"/>
          <w14:ligatures w14:val="none"/>
        </w:rPr>
        <w:t xml:space="preserve"> </w:t>
      </w:r>
      <w:r w:rsidR="00BC154F">
        <w:rPr>
          <w:rFonts w:eastAsia="Calibri"/>
          <w:kern w:val="0"/>
          <w:sz w:val="24"/>
          <w:szCs w:val="24"/>
          <w14:ligatures w14:val="none"/>
        </w:rPr>
        <w:t xml:space="preserve">parts of eastern </w:t>
      </w:r>
      <w:r w:rsidRPr="00AD5414">
        <w:rPr>
          <w:rFonts w:eastAsia="Calibri"/>
          <w:kern w:val="0"/>
          <w:sz w:val="24"/>
          <w:szCs w:val="24"/>
          <w14:ligatures w14:val="none"/>
        </w:rPr>
        <w:t>Canada</w:t>
      </w:r>
      <w:r w:rsidR="00BC154F">
        <w:rPr>
          <w:rFonts w:eastAsia="Calibri"/>
          <w:kern w:val="0"/>
          <w:sz w:val="24"/>
          <w:szCs w:val="24"/>
          <w14:ligatures w14:val="none"/>
        </w:rPr>
        <w:t xml:space="preserve">, and into </w:t>
      </w:r>
      <w:r w:rsidR="009166F6">
        <w:rPr>
          <w:rFonts w:eastAsia="Calibri"/>
          <w:kern w:val="0"/>
          <w:sz w:val="24"/>
          <w:szCs w:val="24"/>
          <w14:ligatures w14:val="none"/>
        </w:rPr>
        <w:t xml:space="preserve">Colorado and </w:t>
      </w:r>
      <w:r w:rsidR="00000AB4">
        <w:rPr>
          <w:rFonts w:eastAsia="Calibri"/>
          <w:kern w:val="0"/>
          <w:sz w:val="24"/>
          <w:szCs w:val="24"/>
          <w14:ligatures w14:val="none"/>
        </w:rPr>
        <w:t xml:space="preserve">Oregon </w:t>
      </w:r>
      <w:r w:rsidR="00000AB4">
        <w:rPr>
          <w:rFonts w:eastAsia="Calibri"/>
          <w:kern w:val="0"/>
          <w:sz w:val="24"/>
          <w:szCs w:val="24"/>
          <w14:ligatures w14:val="none"/>
        </w:rPr>
        <w:fldChar w:fldCharType="begin"/>
      </w:r>
      <w:r w:rsidR="00882D1F">
        <w:rPr>
          <w:rFonts w:eastAsia="Calibri"/>
          <w:kern w:val="0"/>
          <w:sz w:val="24"/>
          <w:szCs w:val="24"/>
          <w14:ligatures w14:val="none"/>
        </w:rPr>
        <w:instrText xml:space="preserve"> ADDIN ZOTERO_ITEM CSL_CITATION {"citationID":"s8DP0MFJ","properties":{"formattedCitation":"(Ward et al. 2020, Canadian Food Inspection Agency 2025, USDA\\uc0\\u8211{}APHIS 2025)","plainCitation":"(Ward et al. 2020, Canadian Food Inspection Agency 2025, USDA–APHIS 2025)","noteIndex":0},"citationItems":[{"id":1362,"uris":["http://zotero.org/groups/5270502/items/FRADDBXZ"],"itemData":{"id":1362,"type":"article-journal","abstract":"Abstract\n            \n              \n                \n                  Non‐native insects pose threats to forest health and often spread via stratified dispersal in which long‐distance jumps cause elevated rates of range expansion. Quantifying patterns and developing models of spread are central to understanding drivers of invasion and forecasting future invasions.\n                \n                \n                  We investigated the utility of models for characterizing and predicting spread of emerald ash borer (EAB), quantified temporal dynamics of spread and identified correlates of county‐level invasion risk.\n                \n                \n                  We estimated rates and frequency of EAB spread and length of long‐distance jumps throughout the contiguous USA from 1997 to 2018 and compared observed patterns with model predictions. A time‐to‐event model was then developed at the county level to assess the influence of habitat characteristics and propagule pressure on invasion risk. The final model was used to forecast invasion risk across the contiguous USA.\n                \n                \n                  \n                    Range expansion by EAB accorded well with model predictions. Following the initial establishment phase, range expansion rates were biphasic, shifting to a faster, linear pattern around 2002 and then declining from 2015 onwards. From 2003 onwards, EAB invaded 6–134 new counties per year, including a mean of 14 discrete jumps per year averaging 93 ± 7\n                    SE\n                    km.\n                  \n                \n                \n                  Risk of spread was positively associated with proximity to previously invaded areas, human population density and densities of ash and non‐ash trees in rural forests but negatively associated with temperature.\n                \n                \n                  \n                    Synthesis and applications\n                    . At the regional level, the invasion by emerald ash borer appears to be entering the saturation phase, indicating that most high‐risk counties in the eastern USA have been invaded. Even though spread has recently slowed, counties in close proximity to invaded areas and that have high densities of humans and trees are at the greatest risk of becoming invaded. Taken together, our findings provide insight into historical and future dynamics of range expansion by emerald ash borer, which can be used to guide risk assessments for potential invaders capable of frequent long‐distance dispersal.","container-title":"Journal of Applied Ecology","DOI":"10.1111/1365-2664.13613","ISSN":"0021-8901, 1365-2664","issue":"6","journalAbbreviation":"Journal of Applied Ecology","language":"en","page":"1020-1030","source":"DOI.org (Crossref)","title":"Temporal dynamics and drivers of landscape‐level spread by emerald ash borer","volume":"57","author":[{"family":"Ward","given":"Samuel F."},{"family":"Fei","given":"Songlin"},{"family":"Liebhold","given":"Andrew M."}],"editor":[{"family":"Marini","given":"Lorenzo"}],"issued":{"date-parts":[["2020",6]]}}},{"id":1364,"uris":["http://zotero.org/groups/5270502/items/A9ZS6AVR"],"itemData":{"id":1364,"type":"webpage","title":"Regulated areas and items: Emerald ash borer","URL":"https://inspection.canada.ca/en/plant-health/invasive-pests-and-plants/directives/forest-products/03-08/regulated-areas","author":[{"family":"Canadian Food Inspection Agency","given":""}],"issued":{"date-parts":[["2025"]]}}},{"id":1363,"uris":["http://zotero.org/groups/5270502/items/CIH4TMBJ"],"itemData":{"id":1363,"type":"webpage","title":"Emerald ash borer (EAB) known infested counties","URL":"https://www.aphis.usda.gov/plant-pests-diseases/eab/eab-infestation-map","author":[{"family":"USDA–APHIS","given":""}],"accessed":{"date-parts":[["2025",11,19]]},"issued":{"date-parts":[["2025"]]}}}],"schema":"https://github.com/citation-style-language/schema/raw/master/csl-citation.json"} </w:instrText>
      </w:r>
      <w:r w:rsidR="00000AB4">
        <w:rPr>
          <w:rFonts w:eastAsia="Calibri"/>
          <w:kern w:val="0"/>
          <w:sz w:val="24"/>
          <w:szCs w:val="24"/>
          <w14:ligatures w14:val="none"/>
        </w:rPr>
        <w:fldChar w:fldCharType="separate"/>
      </w:r>
      <w:r w:rsidR="00882D1F" w:rsidRPr="00882D1F">
        <w:rPr>
          <w:kern w:val="0"/>
          <w:sz w:val="24"/>
        </w:rPr>
        <w:t>(Ward et al. 2020, Canadian Food Inspection Agency 2025, USDA–APHIS 2025)</w:t>
      </w:r>
      <w:r w:rsidR="00000AB4">
        <w:rPr>
          <w:rFonts w:eastAsia="Calibri"/>
          <w:kern w:val="0"/>
          <w:sz w:val="24"/>
          <w:szCs w:val="24"/>
          <w14:ligatures w14:val="none"/>
        </w:rPr>
        <w:fldChar w:fldCharType="end"/>
      </w:r>
      <w:r w:rsidRPr="00AD5414">
        <w:rPr>
          <w:rFonts w:eastAsia="Calibri"/>
          <w:kern w:val="0"/>
          <w:sz w:val="24"/>
          <w:szCs w:val="24"/>
          <w14:ligatures w14:val="none"/>
        </w:rPr>
        <w:t>. Extensive mortality of North American ash (</w:t>
      </w:r>
      <w:r w:rsidRPr="00AD5414">
        <w:rPr>
          <w:rFonts w:eastAsia="Calibri"/>
          <w:i/>
          <w:iCs/>
          <w:kern w:val="0"/>
          <w:sz w:val="24"/>
          <w:szCs w:val="24"/>
          <w14:ligatures w14:val="none"/>
        </w:rPr>
        <w:t>Fraxinus</w:t>
      </w:r>
      <w:r w:rsidRPr="00AD5414">
        <w:rPr>
          <w:rFonts w:eastAsia="Calibri"/>
          <w:kern w:val="0"/>
          <w:sz w:val="24"/>
          <w:szCs w:val="24"/>
          <w14:ligatures w14:val="none"/>
        </w:rPr>
        <w:t xml:space="preserve"> spp.) has occurred in regions where EAB has become established. For example, mixed deciduous forests near the epicenter of the EAB invasion experienced more than 99% mortality of canopy ash by 2009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{"citationID":"3T9NAaP1","properties":{"formattedCitation":"(Klooster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Ash trees with EAB larvae tunneling in their vascular system exhibit symptoms like bark splitting, epicormic sprouting, canopy foliage dieback, and death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{"citationID":"qYc8JNgy","properties":{"formattedCitation":"(Knight et al. 2014)","plainCitation":"(Knight et al. 2014)","noteIndex":0},"citationItems":[{"id":783,"uris":["http://zotero.org/groups/5270502/items/CVEHQ29L"],"itemData":{"id":783,"type":"report","genre":"General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(Knight et al. 2014)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Concurrent with the death of mature ash, viable seed production declined precipitously, which threatens to eliminate the ash from forests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{"citationID":"Cz7EgVvA","properties":{"formattedCitation":"(Klooster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To attempt </w:t>
      </w:r>
      <w:proofErr w:type="gramStart"/>
      <w:r w:rsidRPr="00AD5414">
        <w:rPr>
          <w:rFonts w:eastAsia="Calibri"/>
          <w:kern w:val="0"/>
          <w:sz w:val="24"/>
          <w:szCs w:val="24"/>
          <w14:ligatures w14:val="none"/>
        </w:rPr>
        <w:t>control of</w:t>
      </w:r>
      <w:proofErr w:type="gramEnd"/>
      <w:r w:rsidRPr="00AD5414">
        <w:rPr>
          <w:rFonts w:eastAsia="Calibri"/>
          <w:kern w:val="0"/>
          <w:sz w:val="24"/>
          <w:szCs w:val="24"/>
          <w14:ligatures w14:val="none"/>
        </w:rPr>
        <w:t xml:space="preserve"> EAB populations, several biological control </w:t>
      </w:r>
      <w:proofErr w:type="gramStart"/>
      <w:r w:rsidRPr="00AD5414">
        <w:rPr>
          <w:rFonts w:eastAsia="Calibri"/>
          <w:kern w:val="0"/>
          <w:sz w:val="24"/>
          <w:szCs w:val="24"/>
          <w14:ligatures w14:val="none"/>
        </w:rPr>
        <w:t>agents</w:t>
      </w:r>
      <w:proofErr w:type="gramEnd"/>
      <w:r w:rsidRPr="00AD5414">
        <w:rPr>
          <w:rFonts w:eastAsia="Calibri"/>
          <w:kern w:val="0"/>
          <w:sz w:val="24"/>
          <w:szCs w:val="24"/>
          <w14:ligatures w14:val="none"/>
        </w:rPr>
        <w:t xml:space="preserve"> native to east Asia have been widely released in eastern North America. Three parasitoid wasp species have established and are impacting EAB populations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{"citationID":"OVecr4ZJ","properties":{"formattedCitation":"(Duan et al. 2015, 2023, Aker et al. 2022, Quinn et al. 2023)","plainCitation":"(Duan et al. 2015, 2023, Aker et al. 2022, Quinn et al. 2023)","noteIndex":0},"citationItems":[{"id":772,"uris":["http://zotero.org/groups/5270502/items/45L5ZIW5"],"itemData":{"id":772,"type":"article-journal","abstract":"Summary\n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G."}],"issued":{"date-parts":[["2023",4]]}}},{"id":621,"uris":["http://zotero.org/groups/5270502/items/GQEH839A"],"itemData":{"id":621,"type":"article-journal","abstract":"Emerald ash borer (Agrilus planipennis Fairmaire (Coleoptera: Buprestidae)), an invasive phloem-feeding beetle native to Asia, has devastated North American ash forests since its detection in Michigan, United States in 2002. As the emerald ash borer has continued to spread, the potential for successful long-term management hinges upon the release, establishment, and spread of introduced larval and egg parasitoids for biological control. Here, we focus on the establishment and evidence for spatial spread of introduced larval parasitoid, Spathius agrili Yang and Spathius galinae Belokobylskij &amp; Strazanac (Hymenoptera: Braconidae) in the state of Maryland. To assess each species, we analyzed historical release and recovery data and resampled previous release sites and nonrelease sites for establishment. We found little evidence of establishment or spread for S. agrili, despite a comparatively large number of release locations, events, and individuals. By contrast, despite much lower propagule pressure and shorter history of releases, we detected multiple established populations of S. galinae at release sites and at sites up to 90 km from the nearest release point approximately 3 yr after its most current release. Our findings show that S. galinae has established and spread rapidly following field releases whereas its congener, S. agrili has not. Although it may still be too early to evaluate the level of population control and ash protection afforded by S. galinae, these findings indicate the need for continued investment in S. galinae for emerald ash borer classical biological control efforts.","container-title":"Journal of Economic Entomology","DOI":"10.1093/jee/toab248","ISSN":"0022-0493, 1938-291X","issue":"1","language":"en","page":"381-386","source":"DOI.org (Crossref)","title":"Rapid Spread of an Introduced Parasitoid for Biological Control of Emerald Ash Borer (Coleoptera: Buprestidae) in Maryland","title-short":"Rapid Spread of an Introduced Parasitoid for Biological Control of Emerald Ash Borer (Coleoptera","volume":"115","author":[{"family":"Aker","given":"Stokes A"},{"family":"De Andrade","given":"Rafael B"},{"family":"Duan","given":"Jian J"},{"family":"Gruner","given":"Daniel S"}],"editor":[{"family":"Gandhi","given":"Kamal"}],"issued":{"date-parts":[["2022",2,9]]}}},{"id":857,"uris":["http://zotero.org/groups/5270502/items/RKPWQX7N"],"itemData":{"id":857,"type":"article-journal","abstract":"The emerald ash borer (EAB), Agrilus planipennis Fairmaire (Coleoptera: Buprestidae), is an invasive woodboring pest of ash trees (Fraxinus sp.) in North America. Among the Asiatic parasitoids being released for the management of EAB in North America, Oobius agrili Zhang and Huang (Hymenoptera: Encyrtidae) is the only EAB egg parasitoid. To date, more than 2.5 million O. agrili have been released in North America; however, few studies have examined its success as a biological control agent of EAB. We conducted studies to assess O. agrili establishment, persistence, spread, and EAB egg parasitism rates in Michigan at the earliest release sites (2007–2010), as well as at more recent release sites (2015–2016) in 3 Northeastern United States (Connecticut, Massachusetts, New York). In both regions, we documented successful O. agrili establishment at all but one release site. In Michigan, O. agrili has persisted at release sites for over a decade and spread to all control sites located 0.6–3.8 km from release sites. Overall, EAB egg parasitism ranged from 1.5% to 51.2% (mean of 21.4%) during 2016–2020 in Michigan and from 2.6% to 29.2% (mean of 16.1%) during 2018–2020 in the Northeastern states. Future research efforts should focus on factors affecting the spatiotemporal variation in EAB egg parasitism rates by O. agrili, as well as its potential range in North America.","container-title":"Journal of Economic Entomology","DOI":"10.1093/jee/toad120","ISSN":"0022-0493, 1938-291X","issue":"4","language":"en","license":"https://academic.oup.com/pages/standard-publication-reuse-rights","page":"1165-1170","source":"DOI.org (Crossref)","title":"Postrelease assessment of &lt;i&gt;Oobius agrili&lt;/i&gt; (Hymenoptera: Encyrtidae) establishment and persistence in Michigan and the Northeastern United States","title-short":"Postrelease assessment of &lt;i&gt;Oobius agrili&lt;/i&gt; (Hymenoptera","volume":"116","author":[{"family":"Quinn","given":"Nicole F"},{"family":"Petrice","given":"Toby R"},{"family":"Schmude","given":"Jonathan M"},{"family":"Poland","given":"Therese M"},{"family":"Bauer","given":"Leah S"},{"family":"Rutlege","given":"Claire E"},{"family":"Van Driesche","given":"Roy G"},{"family":"Elkinton","given":"Joseph S"},{"family":"Duan","given":"Jian J"}],"editor":[{"family":"Martel","given":"Veronique"}],"issued":{"date-parts":[["2023",8,10]]}}}],"schema":"https://github.com/citation-style-language/schema/raw/master/csl-citation.json"}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2015, 2023, Aker et al. 2022, Quinn et al. 2023)</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0180244D" w14:textId="77777777" w:rsidR="00AD5414" w:rsidRPr="00AD5414" w:rsidRDefault="00AD5414" w:rsidP="001C417D">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Although the majority of mature ash have died, ash seedlings and saplings that were too small to be colonized by EAB during the initial wave of mortality are abundant in many forest understories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{"citationID":"HZ43wM6E","properties":{"formattedCitation":"(Aubin et al. 2015, Ward et al. 2021)","plainCitation":"(Aubin et al. 2015, 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(Aubin et al. 2015, Ward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If this regeneration grows large enough to </w:t>
      </w:r>
      <w:r w:rsidRPr="00AD5414">
        <w:rPr>
          <w:rFonts w:eastAsia="Calibri"/>
          <w:kern w:val="0"/>
          <w:sz w:val="24"/>
          <w:szCs w:val="24"/>
          <w14:ligatures w14:val="none"/>
        </w:rPr>
        <w:lastRenderedPageBreak/>
        <w:t xml:space="preserve">reproduce and generate viable seeds, then ash could remain a long-term component of eastern North American forests. However, EAB populations persist in post-outbreak forests, albeit at low densities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{"citationID":"GfGUxZpc","properties":{"formattedCitation":"(Duan et al. 2015)","plainCitation":"(Duan et al. 2015)","noteIndex":0},"citationItems":[{"id":772,"uris":["http://zotero.org/groups/5270502/items/45L5ZIW5"],"itemData":{"id":772,"type":"article-journal","abstract":"Summary\n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As ash saplings grow to larger sizes, they become susceptible, increasing the likelihood that persisting populations of EAB will kill them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{"citationID":"bYmY9LVw","properties":{"formattedCitation":"(Duan et al. 2017)","plainCitation":"(Duan et al. 2017)","noteIndex":0},"citationItems":[{"id":762,"uris":["http://zotero.org/groups/5270502/items/88M5QDC9"],"itemData":{"id":762,"type":"article-journal","container-title":"Forest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2017)</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Recent evidence suggests that the introduced parasitoids could provide enough EAB-population control to protect regenerating ash in post-outbreak forests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{"citationID":"Supmw59A","properties":{"formattedCitation":"(Duan et al. 2015, McCullough 2019)","plainCitation":"(Duan et al. 2015, McCullough 2019)","noteIndex":0},"citationItems":[{"id":772,"uris":["http://zotero.org/groups/5270502/items/45L5ZIW5"],"itemData":{"id":772,"type":"article-journal","abstract":"Summary\n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G."}],"editor":[{"family":"Sheppard","given":"Andy"}],"issued":{"date-parts":[["2015",10]]}}},{"id":593,"uris":["http://zotero.org/groups/5270502/items/C32MGLVP"],"itemData":{"id":593,"type":"article-journal","abstract":"Abstract\n            Emerald ash borer (EAB) (Agrilus planipennis Fairmaire), discovered in southeastern Michigan, USA in 2002, has become the most destructive and costly invasive forest insect in North America. This phloem-boring beetle has also invaded Moscow, Russia and continued spread of EAB potentially threatens European ash (Fraxinus spp.) species. This review summarizes EAB life history, including interspecific variation in host preference, invasion impacts and challenges of detecting new infestations and provides an overview of available management tactics. Advances in systemic insecticides, particularly emamectin benzoate products applied via trunk injection, have yielded effective and practical options both to protect individual trees and to slow EAB population growth and ash decline on an area-wide basis without disrupting natural enemies. Economic costs of treating ash are substantially lower than removal costs, retain ecosystem services provided by the trees, reduce sociocultural impacts and conserve genetic diversity in areas invaded by EAB. Girdled ash trees are highly attractive to EAB adults in low-density populations and debarking small girdled trees to locate larval galleries is the most effective EAB detection method. An array of woodpeckers, native larval parasitoids and introduced parasitoids attack EAB life stages but mortality is highly variable. Area-wide management strategies that integrate insecticide-treated trees, girdled ash trap trees and biological control can be adapted for local conditions to slow and reduce EAB impacts.","container-title":"Forestry: An International Journal of Forest Research","DOI":"10.1093/forestry/cpz049","ISSN":"0015-752X, 1464-3626","language":"en","page":"197–211","source":"DOI.org (Crossref)","title":"Challenges, tactics and integrated management of emerald ash borer in North America","volume":"93","author":[{"family":"McCullough","given":"Deborah G"}],"issued":{"date-parts":[["2019",8,14]]}}}],"schema":"https://github.com/citation-style-language/schema/raw/master/csl-citation.json"}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2015, McCullough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r w:rsidRPr="00AD5414">
        <w:rPr>
          <w:rFonts w:eastAsia="Calibri"/>
          <w:i/>
          <w:iCs/>
          <w:kern w:val="0"/>
          <w:sz w:val="24"/>
          <w:szCs w:val="24"/>
          <w14:ligatures w14:val="none"/>
        </w:rPr>
        <w:t>Tetrastichus planipennisi</w:t>
      </w:r>
      <w:r w:rsidRPr="00AD5414">
        <w:rPr>
          <w:rFonts w:eastAsia="Calibri"/>
          <w:kern w:val="0"/>
          <w:sz w:val="24"/>
          <w:szCs w:val="24"/>
          <w14:ligatures w14:val="none"/>
        </w:rPr>
        <w:t xml:space="preserve"> Yang (Hymenoptera: Eulophidae) parasitizes EAB larvae through the thinner bark of young ash trees (&lt;12 cm in diameter)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{"citationID":"bPWm1KZx","properties":{"formattedCitation":"(Abell et al. 2012, Duan et al. 2023)","plainCitation":"(Abell et al. 2012, Duan et al. 2023)","noteIndex":0},"citationItems":[{"id":770,"uris":["http://zotero.org/groups/5270502/items/52JZWR8T"],"itemData":{"id":770,"type":"article-journal","container-title":"Biological Control","DOI":"10.1016/j.biocontrol.2012.08.009","ISSN":"10499644","issue":"3","journalAbbreviation":"Biological Control","language":"en","page":"320-325","source":"DOI.org (Crossref)","title":"The effect of bark thickness on host partitioning between Tetrastichus planipennisi (Hymen: Eulophidae) and Atanycolus spp. (Hymen: Braconidae), two parasitoids of emerald ash borer (Coleop: Buprestidae)","title-short":"The effect of bark thickness on host partitioning between Tetrastichus planipennisi (Hymen","volume":"63","author":[{"family":"Abell","given":"Kristopher J."},{"family":"Duan","given":"Jian J."},{"family":"Bauer","given":"Leah"},{"family":"Lelito","given":"Jonathan P."},{"family":"Van Driesche","given":"Roy G."}],"issued":{"date-parts":[["2012",12]]}}},{"id":599,"uris":["http://zotero.org/groups/5270502/items/T5VVC9XD"],"itemData":{"id":599,"type":"article-journal","container-title":"BioControl","DOI":"10.1007/s10526-023-10182-w","ISSN":"1386-6141,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(Abell et al. 2012, Duan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while the longer ovipositor of </w:t>
      </w:r>
      <w:r w:rsidRPr="00AD5414">
        <w:rPr>
          <w:rFonts w:eastAsia="Calibri"/>
          <w:i/>
          <w:iCs/>
          <w:kern w:val="0"/>
          <w:sz w:val="24"/>
          <w:szCs w:val="24"/>
          <w14:ligatures w14:val="none"/>
        </w:rPr>
        <w:t>Spathius galinae</w:t>
      </w:r>
      <w:r w:rsidRPr="00AD5414">
        <w:rPr>
          <w:rFonts w:eastAsia="Calibri"/>
          <w:kern w:val="0"/>
          <w:sz w:val="24"/>
          <w:szCs w:val="24"/>
          <w14:ligatures w14:val="none"/>
        </w:rPr>
        <w:t xml:space="preserve"> Belokobylskij (Hymenoptera: Braconidae) may allow it to parasitize EAB larvae within ash trees up to about 39 cm in diameter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{"citationID":"xGkYdQ6G","properties":{"formattedCitation":"(Murphy et al. 2017)","plainCitation":"(Murphy et al. 2017)","noteIndex":0},"citationItems":[{"id":746,"uris":["http://zotero.org/groups/5270502/items/38MLNSG3"],"itemData":{"id":746,"type":"article-journal","container-title":"Biological Control","DOI":"10.1016/j.biocontrol.2017.07.004","ISSN":"10499644","journalAbbreviation":"Biological Control","language":"en","page":"8-13","source":"DOI.org (Crossref)","title":"Can Spathius galinae attack emerald ash borer larvae feeding in large ash trees?","volume":"114","author":[{"family":"Murphy","given":"Theresa C."},{"family":"Van Driesche","given":"Roy G."},{"family":"Gould","given":"Juli R."},{"family":"Elkinton","given":"Joseph S."}],"issued":{"date-parts":[["2017",11]]}}}],"schema":"https://github.com/citation-style-language/schema/raw/master/csl-citation.json"}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(Murphy et al. 2017)</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Meanwhile, the tiny </w:t>
      </w:r>
      <w:r w:rsidRPr="00AD5414">
        <w:rPr>
          <w:rFonts w:eastAsia="Calibri"/>
          <w:i/>
          <w:iCs/>
          <w:kern w:val="0"/>
          <w:sz w:val="24"/>
          <w:szCs w:val="24"/>
          <w14:ligatures w14:val="none"/>
        </w:rPr>
        <w:t>Oobius agrili</w:t>
      </w:r>
      <w:r w:rsidRPr="00AD5414">
        <w:rPr>
          <w:rFonts w:eastAsia="Calibri"/>
          <w:kern w:val="0"/>
          <w:sz w:val="24"/>
          <w:szCs w:val="24"/>
          <w14:ligatures w14:val="none"/>
        </w:rPr>
        <w:t xml:space="preserve"> Zhang &amp; Huang (Hymenoptera: Encyrtidae) parasitizes EAB eggs in bark crevices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{"citationID":"okjINaWa","properties":{"formattedCitation":"(Quinn et al. 2023)","plainCitation":"(Quinn et al. 2023)","noteIndex":0},"citationItems":[{"id":857,"uris":["http://zotero.org/groups/5270502/items/RKPWQX7N"],"itemData":{"id":857,"type":"article-journal","abstract":"The emerald ash borer (EAB), Agrilus planipennis Fairmaire (Coleoptera: Buprestidae), is an invasive woodboring pest of ash trees (Fraxinus sp.) in North America. Among the Asiatic parasitoids being released for the management of EAB in North America, Oobius agrili Zhang and Huang (Hymenoptera: Encyrtidae) is the only EAB egg parasitoid. To date, more than 2.5 million O. agrili have been released in North America; however, few studies have examined its success as a biological control agent of EAB. We conducted studies to assess O. agrili establishment, persistence, spread, and EAB egg parasitism rates in Michigan at the earliest release sites (2007–2010), as well as at more recent release sites (2015–2016) in 3 Northeastern United States (Connecticut, Massachusetts, New York). In both regions, we documented successful O. agrili establishment at all but one release site. In Michigan, O. agrili has persisted at release sites for over a decade and spread to all control sites located 0.6–3.8 km from release sites. Overall, EAB egg parasitism ranged from 1.5% to 51.2% (mean of 21.4%) during 2016–2020 in Michigan and from 2.6% to 29.2% (mean of 16.1%) during 2018–2020 in the Northeastern states. Future research efforts should focus on factors affecting the spatiotemporal variation in EAB egg parasitism rates by O. agrili, as well as its potential range in North America.","container-title":"Journal of Economic Entomology","DOI":"10.1093/jee/toad120","ISSN":"0022-0493, 1938-291X","issue":"4","language":"en","license":"https://academic.oup.com/pages/standard-publication-reuse-rights","page":"1165-1170","source":"DOI.org (Crossref)","title":"Postrelease assessment of &lt;i&gt;Oobius agrili&lt;/i&gt; (Hymenoptera: Encyrtidae) establishment and persistence in Michigan and the Northeastern United States","title-short":"Postrelease assessment of &lt;i&gt;Oobius agrili&lt;/i&gt; (Hymenoptera","volume":"116","author":[{"family":"Quinn","given":"Nicole F"},{"family":"Petrice","given":"Toby R"},{"family":"Schmude","given":"Jonathan M"},{"family":"Poland","given":"Therese M"},{"family":"Bauer","given":"Leah S"},{"family":"Rutlege","given":"Claire E"},{"family":"Van Driesche","given":"Roy G"},{"family":"Elkinton","given":"Joseph S"},{"family":"Duan","given":"Jian J"}],"editor":[{"family":"Martel","given":"Veronique"}],"issued":{"date-parts":[["2023",8,10]]}}}],"schema":"https://github.com/citation-style-language/schema/raw/master/csl-citation.json"}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(Quinn et al. 2023)</w:t>
      </w:r>
      <w:r w:rsidRPr="00AD5414">
        <w:rPr>
          <w:rFonts w:eastAsia="Calibri"/>
          <w:kern w:val="0"/>
          <w:sz w:val="24"/>
          <w:szCs w:val="24"/>
          <w14:ligatures w14:val="none"/>
        </w:rPr>
        <w:fldChar w:fldCharType="end"/>
      </w:r>
      <w:r w:rsidRPr="00AD5414">
        <w:rPr>
          <w:rFonts w:eastAsia="Calibri"/>
          <w:kern w:val="0"/>
          <w:sz w:val="24"/>
          <w:szCs w:val="24"/>
          <w14:ligatures w14:val="none"/>
        </w:rPr>
        <w:t>. The long-term persistence of ash populations in natural forests of North America will depend on the dynamic interactions among the cohort of immature ash in the forest understory, competing plants, low-density EAB populations, and introduced parasitoids.</w:t>
      </w:r>
    </w:p>
    <w:p w14:paraId="1B3E9EBE" w14:textId="26340528" w:rsidR="007E7C15" w:rsidRDefault="00AD5414" w:rsidP="007E7C1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Species of ash currently grow in many </w:t>
      </w:r>
      <w:r w:rsidR="00594C80">
        <w:rPr>
          <w:rFonts w:eastAsia="Calibri"/>
          <w:kern w:val="0"/>
          <w:sz w:val="24"/>
          <w:szCs w:val="24"/>
          <w14:ligatures w14:val="none"/>
        </w:rPr>
        <w:t>forest types</w:t>
      </w:r>
      <w:r w:rsidRPr="00AD5414">
        <w:rPr>
          <w:rFonts w:eastAsia="Calibri"/>
          <w:kern w:val="0"/>
          <w:sz w:val="24"/>
          <w:szCs w:val="24"/>
          <w14:ligatures w14:val="none"/>
        </w:rPr>
        <w:t xml:space="preserve"> across North America</w:t>
      </w:r>
      <w:r w:rsidR="00AB170E">
        <w:rPr>
          <w:rFonts w:eastAsia="Calibri"/>
          <w:kern w:val="0"/>
          <w:sz w:val="24"/>
          <w:szCs w:val="24"/>
          <w14:ligatures w14:val="none"/>
        </w:rPr>
        <w:t>, including different</w:t>
      </w:r>
      <w:r w:rsidR="00337DDB">
        <w:rPr>
          <w:rFonts w:eastAsia="Calibri"/>
          <w:kern w:val="0"/>
          <w:sz w:val="24"/>
          <w:szCs w:val="24"/>
          <w14:ligatures w14:val="none"/>
        </w:rPr>
        <w:t xml:space="preserve"> hydrological conditions</w:t>
      </w:r>
      <w:r w:rsidR="001B79AD">
        <w:rPr>
          <w:rFonts w:eastAsia="Calibri"/>
          <w:kern w:val="0"/>
          <w:sz w:val="24"/>
          <w:szCs w:val="24"/>
          <w14:ligatures w14:val="none"/>
        </w:rPr>
        <w:t xml:space="preserve"> </w:t>
      </w:r>
      <w:r w:rsidR="001B79AD">
        <w:rPr>
          <w:rFonts w:eastAsia="Calibri"/>
          <w:kern w:val="0"/>
          <w:sz w:val="24"/>
          <w:szCs w:val="24"/>
          <w14:ligatures w14:val="none"/>
        </w:rPr>
        <w:fldChar w:fldCharType="begin"/>
      </w:r>
      <w:r w:rsidR="001B79AD">
        <w:rPr>
          <w:rFonts w:eastAsia="Calibri"/>
          <w:kern w:val="0"/>
          <w:sz w:val="24"/>
          <w:szCs w:val="24"/>
          <w14:ligatures w14:val="none"/>
        </w:rPr>
        <w:instrText xml:space="preserve"> ADDIN ZOTERO_ITEM CSL_CITATION {"citationID":"rjOXGnNx","properties":{"formattedCitation":"(Wagner and Todd 2015)","plainCitation":"(Wagner and Todd 2015)","noteIndex":0},"citationItems":[{"id":735,"uris":["http://zotero.org/groups/5270502/items/KHV6TDSL"],"itemData":{"id":735,"type":"chapter","container-title":"Biology and Control of Emerald Ash Borer","publisher":"USDA Forest Service","title":"Chapter 2: Ecological Impacts of Emerald Ash Borer","author":[{"family":"Wagner","given":"David L."},{"family":"Todd","given":"Katherine J."}],"issued":{"date-parts":[["2015"]]}}}],"schema":"https://github.com/citation-style-language/schema/raw/master/csl-citation.json"} </w:instrText>
      </w:r>
      <w:r w:rsidR="001B79AD">
        <w:rPr>
          <w:rFonts w:eastAsia="Calibri"/>
          <w:kern w:val="0"/>
          <w:sz w:val="24"/>
          <w:szCs w:val="24"/>
          <w14:ligatures w14:val="none"/>
        </w:rPr>
        <w:fldChar w:fldCharType="separate"/>
      </w:r>
      <w:r w:rsidR="001B79AD" w:rsidRPr="001B79AD">
        <w:rPr>
          <w:sz w:val="24"/>
        </w:rPr>
        <w:t>(Wagner and Todd 2015)</w:t>
      </w:r>
      <w:r w:rsidR="001B79AD">
        <w:rPr>
          <w:rFonts w:eastAsia="Calibri"/>
          <w:kern w:val="0"/>
          <w:sz w:val="24"/>
          <w:szCs w:val="24"/>
          <w14:ligatures w14:val="none"/>
        </w:rPr>
        <w:fldChar w:fldCharType="end"/>
      </w:r>
      <w:r w:rsidRPr="00AD5414">
        <w:rPr>
          <w:rFonts w:eastAsia="Calibri"/>
          <w:kern w:val="0"/>
          <w:sz w:val="24"/>
          <w:szCs w:val="24"/>
          <w14:ligatures w14:val="none"/>
        </w:rPr>
        <w:t xml:space="preserve">. </w:t>
      </w:r>
      <w:r w:rsidR="00337DDB">
        <w:rPr>
          <w:rFonts w:eastAsia="Calibri"/>
          <w:kern w:val="0"/>
          <w:sz w:val="24"/>
          <w:szCs w:val="24"/>
          <w14:ligatures w14:val="none"/>
        </w:rPr>
        <w:t>L</w:t>
      </w:r>
      <w:r w:rsidRPr="00AD5414">
        <w:rPr>
          <w:rFonts w:eastAsia="Calibri"/>
          <w:kern w:val="0"/>
          <w:sz w:val="24"/>
          <w:szCs w:val="24"/>
          <w14:ligatures w14:val="none"/>
        </w:rPr>
        <w:t xml:space="preserve">ong-term patterns of ash regeneration and persistence may vary among </w:t>
      </w:r>
      <w:r w:rsidR="00337DDB">
        <w:rPr>
          <w:rFonts w:eastAsia="Calibri"/>
          <w:kern w:val="0"/>
          <w:sz w:val="24"/>
          <w:szCs w:val="24"/>
          <w14:ligatures w14:val="none"/>
        </w:rPr>
        <w:t>forest types</w:t>
      </w:r>
      <w:r w:rsidRPr="00AD5414">
        <w:rPr>
          <w:rFonts w:eastAsia="Calibri"/>
          <w:kern w:val="0"/>
          <w:sz w:val="24"/>
          <w:szCs w:val="24"/>
          <w14:ligatures w14:val="none"/>
        </w:rPr>
        <w:t xml:space="preserve"> due to local abiotic and biotic conditions. </w:t>
      </w:r>
      <w:r w:rsidR="007F1663">
        <w:rPr>
          <w:rFonts w:eastAsia="Calibri"/>
          <w:kern w:val="0"/>
          <w:sz w:val="24"/>
          <w:szCs w:val="24"/>
          <w14:ligatures w14:val="none"/>
        </w:rPr>
        <w:t>Ash is found in</w:t>
      </w:r>
      <w:r w:rsidR="00466146">
        <w:rPr>
          <w:rFonts w:eastAsia="Calibri"/>
          <w:kern w:val="0"/>
          <w:sz w:val="24"/>
          <w:szCs w:val="24"/>
          <w14:ligatures w14:val="none"/>
        </w:rPr>
        <w:t xml:space="preserve"> </w:t>
      </w:r>
      <w:r w:rsidR="007F1663">
        <w:rPr>
          <w:rFonts w:eastAsia="Calibri"/>
          <w:kern w:val="0"/>
          <w:sz w:val="24"/>
          <w:szCs w:val="24"/>
          <w14:ligatures w14:val="none"/>
        </w:rPr>
        <w:t>early-successional old-fields</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{"citationID":"6uOhhik9","properties":{"formattedCitation":"(Morris et al. 2023)","plainCitation":"(Morris et al. 2023)","noteIndex":0},"citationItems":[{"id":1082,"uris":["http://zotero.org/groups/5270502/items/WU56TLYI"],"itemData":{"id":1082,"type":"article-journal","abstract":"In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(Morris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mixed hardwood forests on slopes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{"citationID":"wa5q2HJq","properties":{"formattedCitation":"(Royo and Knight 2012)","plainCitation":"(Royo and Knight 2012)","noteIndex":0},"citationItems":[{"id":1245,"uris":["http://zotero.org/groups/5270502/items/6BHDN2M5"],"itemData":{"id":1245,"type":"article-journal","abstract":"Over the past century, white ash (Fraxinus americana) populations throughout its range have deteriorated as a result of declining tree health and increased mortality rates. Although co-occurring factors including site nutritional deﬁciencies and punctuated stress events (e.g., defoliations, drought) are hypothesized to trigger white ash decline, there are no empirical assessments of these factors at regional scales. In this study, we evaluated ash crown dieback, crown health condition, and mortality on 190 plots paired along a topographic gradient known to differ in site nutrition across a 3000 km2 area of northwestern Pennsylvania, USA. Additionally, we assessed white ash foliar nutrient content and additional factors including defoliation history as potential explanatory variables at all sites. White ash populations on upper slopes consistently had signiﬁcantly greater dieback, poorer crown condition, and greater mortality than populations in paired plots on lower slopes. Despite nearly two decades since the last major elm spanworm defoliation, this stressor further ampliﬁed the differences in health and mortality seen between slope positions. On the relatively cation deﬁcient upper slope positions, crown dieback and crown condition improved with increasing foliar cation (Ca2+, Mg2+) concentration. Our results indicate that white ash health is strongly inﬂuenced by site nutrition, and defoliation can trigger declines in cation-deﬁcient sites. Knowledge of how landscape position and nutrition inﬂuence white ash health may alter management responses to insect outbreak events.","container-title":"Forest Ecology and Management","DOI":"10.1016/j.foreco.2012.08.049","ISSN":"03781127","journalAbbreviation":"Forest Ecology and Management","language":"en","license":"https://www.elsevier.com/tdm/userlicense/1.0/","page":"8-15","source":"DOI.org (Crossref)","title":"White ash (Fraxinus americana) decline and mortality: The role of site nutrition and stress history","title-short":"White ash (Fraxinus americana) decline and mortality","volume":"286","author":[{"family":"Royo","given":"Alejandro A."},{"family":"Knight","given":"Kathleen S."}],"issued":{"date-parts":[["2012",12]]}}}],"schema":"https://github.com/citation-style-language/schema/raw/master/csl-citation.json"}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(Royo and Knight 2012)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riparian areas along streams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{"citationID":"HA6ike1w","properties":{"formattedCitation":"(Engelken et al. 2020)","plainCitation":"(Engelken et al. 2020)","noteIndex":0},"citationItems":[{"id":739,"uris":["http://zotero.org/groups/5270502/items/3L7PIM45"],"itemData":{"id":739,"type":"article-journal","container-title":"Forest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(Engelken et al. 2020)</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river floodplains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{"citationID":"r7Wp61B0","properties":{"formattedCitation":"(Siegert et al. 2021)","plainCitation":"(Siegert et al. 2021)","noteIndex":0},"citationItems":[{"id":1080,"uris":["http://zotero.org/groups/5270502/items/NNJC268G"],"itemData":{"id":1080,"type":"article-journal","abstract":"Quantifying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(Siegert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swamps formed from glacial lake plains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{"citationID":"4Nxf0bGG","properties":{"formattedCitation":"(Abella et al. 2019)","plainCitation":"(Abella et al. 2019)","noteIndex":0},"citationItems":[{"id":1207,"uris":["http://zotero.org/groups/5270502/items/F4ZKLJC8"],"itemData":{"id":1207,"type":"article-journal","container-title":"Biological Invasions","DOI":"10.1007/s10530-019-02080-z","ISSN":"1387-3547, 1573-1464","issue":"12","journalAbbreviation":"Biol Invasions","language":"en","page":"3685-3696","source":"DOI.org (Crossref)","title":"Fourteen years of swamp forest change from the onset, during, and after invasion of emerald ash borer","volume":"21","author":[{"family":"Abella","given":"Scott R."},{"family":"Hausman","given":"Constance E."},{"family":"Jaeger","given":"John F."},{"family":"Menard","given":"Karen S."},{"family":"Schetter","given":"Timothy A."},{"family":"Rocha","given":"Oscar J."}],"issued":{"date-parts":[["2019",12]]}}}],"schema":"https://github.com/citation-style-language/schema/raw/master/csl-citation.json"}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(Abella et al.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and depressional areas fed by ground or surface water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{"citationID":"B0NcnMOi","properties":{"formattedCitation":"(Golet et al. 1993)","plainCitation":"(Golet et al. 1993)","noteIndex":0},"citationItems":[{"id":1253,"uris":["http://zotero.org/groups/5270502/items/WM6SYLA5"],"itemData":{"id":1253,"type":"book","collection-title":"Biological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(Golet et al. 1993)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These forests can be classified using a variety of abiotic characteristics, but hydrology is one of the most </w:t>
      </w:r>
      <w:r w:rsidRPr="00AD5414">
        <w:rPr>
          <w:rFonts w:eastAsia="Calibri"/>
          <w:kern w:val="0"/>
          <w:sz w:val="24"/>
          <w:szCs w:val="24"/>
          <w14:ligatures w14:val="none"/>
        </w:rPr>
        <w:lastRenderedPageBreak/>
        <w:t xml:space="preserve">impactful because of its effect on tree survival and species composition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{"citationID":"bFdBbdfY","properties":{"formattedCitation":"(Megonigal et al. 1997, Niinemets and Valladares 2006)","plainCitation":"(Megonigal et al. 1997, Niinemets and Valladares 2006)","noteIndex":0},"citationItems":[{"id":1216,"uris":["http://zotero.org/groups/5270502/items/M7IQ34WB"],"itemData":{"id":1216,"type":"article-journal","abstract":"It has been hypothesized that periodically ﬂooded forests have higher rates of aboveground net primary production than upland forests and near-continuously ﬂooded forests, but a competing hypothesis holds that the beneﬁts of periodic inputs of nutrients and water may be diminished by stresses associated with anaerobic soils or drought. To test these hypotheses, we measured groundwater table depths and aboveground productivity in ﬂoodplain forests of South Carolina and Louisiana. We established paired plots on locally dry, intermediate, and wet topographic positions across three hydrologic transects in each state. These plots encompassed upland hardwood, bottomland hardwood, and cypress swamp forests. Measurements of leaf litterfall, wood production, and groundwater table depth were made in 1987 and 1988. We then used mean growing-season water depth (MWD) to group the plots into three classes: wet (Ͼ0 cm), intermediate (0 to Ϫ60 cm), and dry (ϽϪ60 cm). Aboveground net primary production (NPP) on wet plots (2-yr mean Ϯ 1 SD ϭ 675 Ϯ 271 g·mϪ2·yrϪ1) was signiﬁcantly lower than on intermediate and dry plots (P Յ 0.02). There was no signiﬁcant difference between intermediate and dry plots (107 Ϯ 189 and 1038 Ϯ 91) g·mϪ2·yrϪ1, respectively). In addition, aboveground NPP on intermediate plots was not signiﬁcantly different from 22 temperate upland forests in the literature.","container-title":"Ecology","DOI":"10.1890/0012-9658(1997)078[0370:APISFF]2.0.CO;2","ISSN":"0012-9658","issue":"2","journalAbbreviation":"Ecology","language":"en","license":"http://doi.wiley.com/10.1002/tdm_license_1.1","page":"370-384","source":"DOI.org (Crossref)","title":"Aboveground Production in Southeastern Floodplain Forests: A Test of the Subsidy-Stress Hypothesis","title-short":"ABOVEGROUND PRODUCTION IN SOUTHEASTERN FLOODPLAIN FORESTS","volume":"78","author":[{"family":"Megonigal","given":"J. Patrick"},{"family":"Conner","given":"William H."},{"family":"Kroeger","given":"Steven"},{"family":"Sharitz","given":"Rebecca R."}],"issued":{"date-parts":[["1997",3]]}}},{"id":1211,"uris":["http://zotero.org/groups/5270502/items/IMCDUL5A"],"itemData":{"id":1211,"type":"article-journal","abstract":"Lack of information on ecological characteristics of species across different continents hinders development of general world-scale quantitative vegetation dynamic models. We constructed common scales of shade, drought, and waterlogging tolerance for 806 North American, European/West Asian, and East Asian temperate shrubs and trees representing about 40% of the extant natural Northern Hemisphere species pool. These scales were used to test the hypotheses that shade tolerance is negatively related to drought and waterlogging tolerances, and that these correlations vary among continents and plant functional types. We observed signiﬁcant negative correlations among shade and drought tolerance rankings for all data pooled, and separately for every continent and plant functional type, except for evergreen angiosperms. Another signiﬁcant trade-off was found for drought and waterlogging tolerance for all continents, and for evergreen and deciduous angiosperms, but not for gymnosperms. For all data pooled, for Europe and East Asia, and for evergreen and deciduous angiosperms, shade tolerance was also negatively associated with waterlogging tolerance. Quantile regressions revealed that the negative relationship between shade and drought tolerance was signiﬁcant for species growing in deep to moderate shade and that the negative relationship between shade and waterlogging tolerance was signiﬁcant for species growing in moderate shade to high light, explaining why all relationships between different tolerances were negative according to general regression analyses. Phylogenetic signal in the tolerance to any one of the three environmental factors studied was signiﬁcant but low, with only 21–24% of cladogram nodes exhibiting signiﬁcant conservatism. The inverse relationships between different tolerances were signiﬁcant in phylogenetically independent analyses both for the overall pool of species and for two multispecies genera (Pinus and Quercus) for which reliable molecular phylogenies were available. Only 2.6–10.3% of the species were relatively tolerant to two environmental stresses simultaneously (tolerance value !3), and only three species were tolerant to all three stresses, supporting the existence of functional trade-offs in adjusting to multiple environmental limitations. These trade-offs represent a constraint for niche differentiation, reducing the diversity of plant responses to the many combinations of irradiance and water supply that are found in natural ecosystems.","container-title":"Ecological Monographs","DOI":"10.1890/0012-9615(2006)076[0521:TTSDAW]2.0.CO;2","ISSN":"0012-9615","issue":"4","journalAbbreviation":"Ecological Monographs","language":"en","license":"http://doi.wiley.com/10.1002/tdm_license_1.1","page":"521-547","source":"DOI.org (Crossref)","title":"Tolerance to Shade, Drought, and Waterlogging of Temperate Northern Hemisphere Trees and Shrubs","volume":"76","author":[{"family":"Niinemets","given":"Ülo"},{"family":"Valladares","given":"Fernando"}],"issued":{"date-parts":[["2006",11]]}}}],"schema":"https://github.com/citation-style-language/schema/raw/master/csl-citation.json"}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(Megonigal et al. 1997, Niinemets and Valladares 2006)</w:t>
      </w:r>
      <w:r w:rsidRPr="00AD5414">
        <w:rPr>
          <w:rFonts w:eastAsia="Calibri"/>
          <w:kern w:val="0"/>
          <w:sz w:val="24"/>
          <w:szCs w:val="24"/>
          <w14:ligatures w14:val="none"/>
        </w:rPr>
        <w:fldChar w:fldCharType="end"/>
      </w:r>
      <w:r w:rsidRPr="00AD5414">
        <w:rPr>
          <w:rFonts w:eastAsia="Calibri"/>
          <w:kern w:val="0"/>
          <w:sz w:val="24"/>
          <w:szCs w:val="24"/>
          <w14:ligatures w14:val="none"/>
        </w:rPr>
        <w:t>. Forest stands may be classified as xeric, mesic, or hydric. Ash species vary in their hydrological niches, with white ash (</w:t>
      </w:r>
      <w:r w:rsidRPr="00AD5414">
        <w:rPr>
          <w:rFonts w:eastAsia="Calibri"/>
          <w:i/>
          <w:iCs/>
          <w:kern w:val="0"/>
          <w:sz w:val="24"/>
          <w:szCs w:val="24"/>
          <w14:ligatures w14:val="none"/>
        </w:rPr>
        <w:t>Fraxinus americana</w:t>
      </w:r>
      <w:r w:rsidRPr="00AD5414">
        <w:rPr>
          <w:rFonts w:eastAsia="Calibri"/>
          <w:kern w:val="0"/>
          <w:sz w:val="24"/>
          <w:szCs w:val="24"/>
          <w14:ligatures w14:val="none"/>
        </w:rPr>
        <w:t xml:space="preserve"> L.) preferring xeric or mesic sites, green ash (</w:t>
      </w:r>
      <w:r w:rsidRPr="00AD5414">
        <w:rPr>
          <w:rFonts w:eastAsia="Calibri"/>
          <w:i/>
          <w:iCs/>
          <w:kern w:val="0"/>
          <w:sz w:val="24"/>
          <w:szCs w:val="24"/>
          <w14:ligatures w14:val="none"/>
        </w:rPr>
        <w:t>Fraxinus pennsylvanica</w:t>
      </w:r>
      <w:r w:rsidRPr="00AD5414">
        <w:rPr>
          <w:rFonts w:eastAsia="Calibri"/>
          <w:kern w:val="0"/>
          <w:sz w:val="24"/>
          <w:szCs w:val="24"/>
          <w14:ligatures w14:val="none"/>
        </w:rPr>
        <w:t xml:space="preserve"> Marsh) preferring mesic or hydric sites, and black ash (</w:t>
      </w:r>
      <w:r w:rsidRPr="00AD5414">
        <w:rPr>
          <w:rFonts w:eastAsia="Calibri"/>
          <w:i/>
          <w:iCs/>
          <w:kern w:val="0"/>
          <w:sz w:val="24"/>
          <w:szCs w:val="24"/>
          <w14:ligatures w14:val="none"/>
        </w:rPr>
        <w:t>Fraxinus nigra</w:t>
      </w:r>
      <w:r w:rsidRPr="00AD5414">
        <w:rPr>
          <w:rFonts w:eastAsia="Calibri"/>
          <w:kern w:val="0"/>
          <w:sz w:val="24"/>
          <w:szCs w:val="24"/>
          <w14:ligatures w14:val="none"/>
        </w:rPr>
        <w:t xml:space="preserve"> Marsh) preferring hydric sites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{"citationID":"dIR91q3k","properties":{"formattedCitation":"(Burns and Honkala 1990, Wagner and Todd 2015)","plainCitation":"(Burns and Honkala 1990, Wagner and Todd 2015)","noteIndex":0},"citationItems":[{"id":638,"uris":["http://zotero.org/groups/5270502/items/6HMUZ2KC"],"itemData":{"id":638,"type":"book","title":"Silvics of North America: Volume 2, Hardwoods","volume":"2","author":[{"family":"Burns","given":"Russell"},{"family":"Honkala","given":"Barbara"}],"issued":{"date-parts":[["1990"]]}}},{"id":735,"uris":["http://zotero.org/groups/5270502/items/KHV6TDSL"],"itemData":{"id":735,"type":"chapter","container-title":"Biology and Control of Emerald Ash Borer","publisher":"USDA Forest Service","title":"Chapter 2: Ecological Impacts of Emerald Ash Borer","author":[{"family":"Wagner","given":"David L."},{"family":"Todd","given":"Katherine J."}],"issued":{"date-parts":[["2015"]]}}}],"schema":"https://github.com/citation-style-language/schema/raw/master/csl-citation.json"}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(Burns and Honkala 1990, Wagner and Todd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r w:rsidR="00CF05EB">
        <w:rPr>
          <w:rFonts w:eastAsia="Calibri"/>
          <w:kern w:val="0"/>
          <w:sz w:val="24"/>
          <w:szCs w:val="24"/>
          <w14:ligatures w14:val="none"/>
        </w:rPr>
        <w:t>H</w:t>
      </w:r>
      <w:r w:rsidR="00F660E0">
        <w:rPr>
          <w:rFonts w:eastAsia="Calibri"/>
          <w:kern w:val="0"/>
          <w:sz w:val="24"/>
          <w:szCs w:val="24"/>
          <w14:ligatures w14:val="none"/>
        </w:rPr>
        <w:t>ydric, mesic, and xeric s</w:t>
      </w:r>
      <w:r w:rsidR="00CF05EB">
        <w:rPr>
          <w:rFonts w:eastAsia="Calibri"/>
          <w:kern w:val="0"/>
          <w:sz w:val="24"/>
          <w:szCs w:val="24"/>
          <w14:ligatures w14:val="none"/>
        </w:rPr>
        <w:t>tands also</w:t>
      </w:r>
      <w:r w:rsidR="00F660E0">
        <w:rPr>
          <w:rFonts w:eastAsia="Calibri"/>
          <w:kern w:val="0"/>
          <w:sz w:val="24"/>
          <w:szCs w:val="24"/>
          <w14:ligatures w14:val="none"/>
        </w:rPr>
        <w:t xml:space="preserve"> var</w:t>
      </w:r>
      <w:r w:rsidR="00CF05EB">
        <w:rPr>
          <w:rFonts w:eastAsia="Calibri"/>
          <w:kern w:val="0"/>
          <w:sz w:val="24"/>
          <w:szCs w:val="24"/>
          <w14:ligatures w14:val="none"/>
        </w:rPr>
        <w:t xml:space="preserve">y in </w:t>
      </w:r>
      <w:r w:rsidR="006E6BC1">
        <w:rPr>
          <w:rFonts w:eastAsia="Calibri"/>
          <w:kern w:val="0"/>
          <w:sz w:val="24"/>
          <w:szCs w:val="24"/>
          <w14:ligatures w14:val="none"/>
        </w:rPr>
        <w:t xml:space="preserve">baseline levels of canopy openness, </w:t>
      </w:r>
      <w:r w:rsidR="007B16E9">
        <w:rPr>
          <w:rFonts w:eastAsia="Calibri"/>
          <w:kern w:val="0"/>
          <w:sz w:val="24"/>
          <w:szCs w:val="24"/>
          <w14:ligatures w14:val="none"/>
        </w:rPr>
        <w:t xml:space="preserve">as well as in </w:t>
      </w:r>
      <w:r w:rsidR="00CF05EB">
        <w:rPr>
          <w:rFonts w:eastAsia="Calibri"/>
          <w:kern w:val="0"/>
          <w:sz w:val="24"/>
          <w:szCs w:val="24"/>
          <w14:ligatures w14:val="none"/>
        </w:rPr>
        <w:t>the size and shape of canopy gaps formed by EAB</w:t>
      </w:r>
      <w:r w:rsidR="007B3951">
        <w:rPr>
          <w:rFonts w:eastAsia="Calibri"/>
          <w:kern w:val="0"/>
          <w:sz w:val="24"/>
          <w:szCs w:val="24"/>
          <w14:ligatures w14:val="none"/>
        </w:rPr>
        <w:t xml:space="preserve"> </w:t>
      </w:r>
      <w:r w:rsidR="007B3951">
        <w:rPr>
          <w:rFonts w:eastAsia="Calibri"/>
          <w:kern w:val="0"/>
          <w:sz w:val="24"/>
          <w:szCs w:val="24"/>
          <w14:ligatures w14:val="none"/>
        </w:rPr>
        <w:fldChar w:fldCharType="begin"/>
      </w:r>
      <w:r w:rsidR="007B3951">
        <w:rPr>
          <w:rFonts w:eastAsia="Calibri"/>
          <w:kern w:val="0"/>
          <w:sz w:val="24"/>
          <w:szCs w:val="24"/>
          <w14:ligatures w14:val="none"/>
        </w:rPr>
        <w:instrText xml:space="preserve"> ADDIN ZOTERO_ITEM CSL_CITATION {"citationID":"ZVwztLLf","properties":{"formattedCitation":"(Smith 2006, Klooster 2012)","plainCitation":"(Smith 2006, Klooster 2012)","noteIndex":0},"citationItems":[{"id":478,"uris":["http://zotero.org/groups/5270502/items/MKCWT8XS"],"itemData":{"id":478,"type":"thesis","abstract":"Emerald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768,"uris":["http://zotero.org/groups/5270502/items/R92BVHM8"],"itemData":{"id":768,"type":"thesis","genre":"PhD Thesis","publisher":"The Ohio State University","title":"Forest Responses to Emerald Ash Borer-Induced Ash Mortality","URL":"https://etd.ohiolink.edu/acprod/odb_etd/etd/r/1501/10?clear=10&amp;p10_accession_num=osu1338337754","author":[{"family":"Klooster","given":"Wendy S."}],"issued":{"date-parts":[["2012"]]}}}],"schema":"https://github.com/citation-style-language/schema/raw/master/csl-citation.json"} </w:instrText>
      </w:r>
      <w:r w:rsidR="007B3951">
        <w:rPr>
          <w:rFonts w:eastAsia="Calibri"/>
          <w:kern w:val="0"/>
          <w:sz w:val="24"/>
          <w:szCs w:val="24"/>
          <w14:ligatures w14:val="none"/>
        </w:rPr>
        <w:fldChar w:fldCharType="separate"/>
      </w:r>
      <w:r w:rsidR="007B3951" w:rsidRPr="007B3951">
        <w:rPr>
          <w:sz w:val="24"/>
        </w:rPr>
        <w:t>(Smith 2006, Klooster 2012)</w:t>
      </w:r>
      <w:r w:rsidR="007B3951">
        <w:rPr>
          <w:rFonts w:eastAsia="Calibri"/>
          <w:kern w:val="0"/>
          <w:sz w:val="24"/>
          <w:szCs w:val="24"/>
          <w14:ligatures w14:val="none"/>
        </w:rPr>
        <w:fldChar w:fldCharType="end"/>
      </w:r>
      <w:r w:rsidR="007B16E9">
        <w:rPr>
          <w:rFonts w:eastAsia="Calibri"/>
          <w:kern w:val="0"/>
          <w:sz w:val="24"/>
          <w:szCs w:val="24"/>
          <w14:ligatures w14:val="none"/>
        </w:rPr>
        <w:t>.</w:t>
      </w:r>
      <w:r w:rsidR="004C0787">
        <w:rPr>
          <w:rFonts w:eastAsia="Calibri"/>
          <w:kern w:val="0"/>
          <w:sz w:val="24"/>
          <w:szCs w:val="24"/>
          <w14:ligatures w14:val="none"/>
        </w:rPr>
        <w:t xml:space="preserve"> </w:t>
      </w:r>
      <w:r w:rsidR="003647E8">
        <w:rPr>
          <w:rFonts w:eastAsia="Calibri"/>
          <w:kern w:val="0"/>
          <w:sz w:val="24"/>
          <w:szCs w:val="24"/>
          <w14:ligatures w14:val="none"/>
        </w:rPr>
        <w:t xml:space="preserve">These differences in sunlight levels, </w:t>
      </w:r>
      <w:r w:rsidR="00C04A58">
        <w:rPr>
          <w:rFonts w:eastAsia="Calibri"/>
          <w:kern w:val="0"/>
          <w:sz w:val="24"/>
          <w:szCs w:val="24"/>
          <w14:ligatures w14:val="none"/>
        </w:rPr>
        <w:t>as well as</w:t>
      </w:r>
      <w:r w:rsidR="003647E8">
        <w:rPr>
          <w:rFonts w:eastAsia="Calibri"/>
          <w:kern w:val="0"/>
          <w:sz w:val="24"/>
          <w:szCs w:val="24"/>
          <w14:ligatures w14:val="none"/>
        </w:rPr>
        <w:t xml:space="preserve"> abiotic stressors like f</w:t>
      </w:r>
      <w:r w:rsidR="00C04A58">
        <w:rPr>
          <w:rFonts w:eastAsia="Calibri"/>
          <w:kern w:val="0"/>
          <w:sz w:val="24"/>
          <w:szCs w:val="24"/>
          <w14:ligatures w14:val="none"/>
        </w:rPr>
        <w:t xml:space="preserve">looding and drought, create </w:t>
      </w:r>
      <w:r w:rsidR="00DA6F14">
        <w:rPr>
          <w:rFonts w:eastAsia="Calibri"/>
          <w:kern w:val="0"/>
          <w:sz w:val="24"/>
          <w:szCs w:val="24"/>
          <w14:ligatures w14:val="none"/>
        </w:rPr>
        <w:t>different</w:t>
      </w:r>
      <w:r w:rsidR="00C9390F">
        <w:rPr>
          <w:rFonts w:eastAsia="Calibri"/>
          <w:kern w:val="0"/>
          <w:sz w:val="24"/>
          <w:szCs w:val="24"/>
          <w14:ligatures w14:val="none"/>
        </w:rPr>
        <w:t xml:space="preserve"> understory plant communities </w:t>
      </w:r>
      <w:r w:rsidR="00AB170E">
        <w:rPr>
          <w:rFonts w:eastAsia="Calibri"/>
          <w:kern w:val="0"/>
          <w:sz w:val="24"/>
          <w:szCs w:val="24"/>
          <w14:ligatures w14:val="none"/>
        </w:rPr>
        <w:t>depending on hydrology</w:t>
      </w:r>
      <w:r w:rsidR="005D0F60">
        <w:rPr>
          <w:rFonts w:eastAsia="Calibri"/>
          <w:kern w:val="0"/>
          <w:sz w:val="24"/>
          <w:szCs w:val="24"/>
          <w14:ligatures w14:val="none"/>
        </w:rPr>
        <w:t xml:space="preserve"> </w:t>
      </w:r>
      <w:r w:rsidR="005D0F60">
        <w:rPr>
          <w:rFonts w:eastAsia="Calibri"/>
          <w:kern w:val="0"/>
          <w:sz w:val="24"/>
          <w:szCs w:val="24"/>
          <w14:ligatures w14:val="none"/>
        </w:rPr>
        <w:fldChar w:fldCharType="begin"/>
      </w:r>
      <w:r w:rsidR="005D0F60">
        <w:rPr>
          <w:rFonts w:eastAsia="Calibri"/>
          <w:kern w:val="0"/>
          <w:sz w:val="24"/>
          <w:szCs w:val="24"/>
          <w14:ligatures w14:val="none"/>
        </w:rPr>
        <w:instrText xml:space="preserve"> ADDIN ZOTERO_ITEM CSL_CITATION {"citationID":"k7kbXpbA","properties":{"formattedCitation":"(Engelken et al. 2020)","plainCitation":"(Engelken et al. 2020)","noteIndex":0},"citationItems":[{"id":739,"uris":["http://zotero.org/groups/5270502/items/3L7PIM45"],"itemData":{"id":739,"type":"article-journal","container-title":"Forest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G."}],"issued":{"date-parts":[["2020",2]]}}}],"schema":"https://github.com/citation-style-language/schema/raw/master/csl-citation.json"} </w:instrText>
      </w:r>
      <w:r w:rsidR="005D0F60">
        <w:rPr>
          <w:rFonts w:eastAsia="Calibri"/>
          <w:kern w:val="0"/>
          <w:sz w:val="24"/>
          <w:szCs w:val="24"/>
          <w14:ligatures w14:val="none"/>
        </w:rPr>
        <w:fldChar w:fldCharType="separate"/>
      </w:r>
      <w:r w:rsidR="005D0F60" w:rsidRPr="005D0F60">
        <w:rPr>
          <w:sz w:val="24"/>
        </w:rPr>
        <w:t>(Engelken et al. 2020)</w:t>
      </w:r>
      <w:r w:rsidR="005D0F60">
        <w:rPr>
          <w:rFonts w:eastAsia="Calibri"/>
          <w:kern w:val="0"/>
          <w:sz w:val="24"/>
          <w:szCs w:val="24"/>
          <w14:ligatures w14:val="none"/>
        </w:rPr>
        <w:fldChar w:fldCharType="end"/>
      </w:r>
      <w:r w:rsidR="00AB170E">
        <w:rPr>
          <w:rFonts w:eastAsia="Calibri"/>
          <w:kern w:val="0"/>
          <w:sz w:val="24"/>
          <w:szCs w:val="24"/>
          <w14:ligatures w14:val="none"/>
        </w:rPr>
        <w:t>.</w:t>
      </w:r>
      <w:r w:rsidR="007E7C15">
        <w:rPr>
          <w:rFonts w:eastAsia="Calibri"/>
          <w:kern w:val="0"/>
          <w:sz w:val="24"/>
          <w:szCs w:val="24"/>
          <w14:ligatures w14:val="none"/>
        </w:rPr>
        <w:t xml:space="preserve"> </w:t>
      </w:r>
      <w:r w:rsidR="000971BF">
        <w:rPr>
          <w:rFonts w:eastAsia="Calibri"/>
          <w:kern w:val="0"/>
          <w:sz w:val="24"/>
          <w:szCs w:val="24"/>
          <w14:ligatures w14:val="none"/>
        </w:rPr>
        <w:t xml:space="preserve">Hydric forests are unique </w:t>
      </w:r>
      <w:r w:rsidR="006A2CCC">
        <w:rPr>
          <w:rFonts w:eastAsia="Calibri"/>
          <w:kern w:val="0"/>
          <w:sz w:val="24"/>
          <w:szCs w:val="24"/>
          <w14:ligatures w14:val="none"/>
        </w:rPr>
        <w:t>because</w:t>
      </w:r>
      <w:r w:rsidR="000971BF">
        <w:rPr>
          <w:rFonts w:eastAsia="Calibri"/>
          <w:kern w:val="0"/>
          <w:sz w:val="24"/>
          <w:szCs w:val="24"/>
          <w14:ligatures w14:val="none"/>
        </w:rPr>
        <w:t xml:space="preserve"> ash species, particularly black ash, </w:t>
      </w:r>
      <w:r w:rsidR="00725109">
        <w:rPr>
          <w:rFonts w:eastAsia="Calibri"/>
          <w:kern w:val="0"/>
          <w:sz w:val="24"/>
          <w:szCs w:val="24"/>
          <w14:ligatures w14:val="none"/>
        </w:rPr>
        <w:t>were often dominant. Black ash has adaptations</w:t>
      </w:r>
      <w:r w:rsidR="007C08FE">
        <w:rPr>
          <w:rFonts w:eastAsia="Calibri"/>
          <w:kern w:val="0"/>
          <w:sz w:val="24"/>
          <w:szCs w:val="24"/>
          <w14:ligatures w14:val="none"/>
        </w:rPr>
        <w:t xml:space="preserve"> that allow it to </w:t>
      </w:r>
      <w:r w:rsidR="007D27CD">
        <w:rPr>
          <w:rFonts w:eastAsia="Calibri"/>
          <w:kern w:val="0"/>
          <w:sz w:val="24"/>
          <w:szCs w:val="24"/>
          <w14:ligatures w14:val="none"/>
        </w:rPr>
        <w:t>transpire</w:t>
      </w:r>
      <w:r w:rsidR="007C08FE">
        <w:rPr>
          <w:rFonts w:eastAsia="Calibri"/>
          <w:kern w:val="0"/>
          <w:sz w:val="24"/>
          <w:szCs w:val="24"/>
          <w14:ligatures w14:val="none"/>
        </w:rPr>
        <w:t xml:space="preserve"> </w:t>
      </w:r>
      <w:r w:rsidR="007C08FE" w:rsidRPr="00AD5414">
        <w:rPr>
          <w:rFonts w:eastAsia="Calibri"/>
          <w:kern w:val="0"/>
          <w:sz w:val="24"/>
          <w:szCs w:val="24"/>
          <w14:ligatures w14:val="none"/>
        </w:rPr>
        <w:t>even when the ground is flooded</w:t>
      </w:r>
      <w:r w:rsidR="007C08FE">
        <w:rPr>
          <w:rFonts w:eastAsia="Calibri"/>
          <w:kern w:val="0"/>
          <w:sz w:val="24"/>
          <w:szCs w:val="24"/>
          <w14:ligatures w14:val="none"/>
        </w:rPr>
        <w:t>, which helps draw down the water table</w:t>
      </w:r>
      <w:r w:rsidR="007C08FE" w:rsidRPr="00AD5414">
        <w:rPr>
          <w:rFonts w:eastAsia="Calibri"/>
          <w:kern w:val="0"/>
          <w:sz w:val="24"/>
          <w:szCs w:val="24"/>
          <w14:ligatures w14:val="none"/>
        </w:rPr>
        <w:t xml:space="preserve"> </w:t>
      </w:r>
      <w:r w:rsidR="007D27CD">
        <w:rPr>
          <w:rFonts w:eastAsia="Calibri"/>
          <w:kern w:val="0"/>
          <w:sz w:val="24"/>
          <w:szCs w:val="24"/>
          <w14:ligatures w14:val="none"/>
        </w:rPr>
        <w:t xml:space="preserve">in seasonally flooded areas </w:t>
      </w:r>
      <w:r w:rsidR="007C08FE" w:rsidRPr="00AD5414">
        <w:rPr>
          <w:rFonts w:eastAsia="Calibri"/>
          <w:kern w:val="0"/>
          <w:sz w:val="24"/>
          <w:szCs w:val="24"/>
          <w14:ligatures w14:val="none"/>
        </w:rPr>
        <w:fldChar w:fldCharType="begin"/>
      </w:r>
      <w:r w:rsidR="007C08FE" w:rsidRPr="00AD5414">
        <w:rPr>
          <w:rFonts w:eastAsia="Calibri"/>
          <w:kern w:val="0"/>
          <w:sz w:val="24"/>
          <w:szCs w:val="24"/>
          <w14:ligatures w14:val="none"/>
        </w:rPr>
        <w:instrText xml:space="preserve"> ADDIN ZOTERO_ITEM CSL_CITATION {"citationID":"7ZM2uVGn","properties":{"formattedCitation":"(Telander et al. 2015, Kolka et al. 2018)","plainCitation":"(Telander et al. 2015, Kolka et al. 2018)","noteIndex":0},"citationItems":[{"id":991,"uris":["http://zotero.org/groups/5270502/items/J77LCV74"],"itemData":{"id":991,"type":"article-journal","abstract":"Black ash (Fraxinus nigra) mortality caused by the invasive emerald ash borer (EAB) is of concern to land managers in the upper Great Lakes region, given the large areas of ash-dominated forest and potential alteration of wetland hydrology following loss of this foundation tree species. The importance of changes in evapotranspiration (ET) following black ash mortality is currently unknown and is the focus of this study. Sap ﬂux density rates were evaluated at three black ash stands with differing moisture regimes within the Chippewa National Forest, Minnesota, USA using the Granier thermal dissipation method. Sapwood area and sap ﬂux density were combined to determine sap ﬂow. Tree level sap ﬂux density estimates were comparable to other reported values and averaged 4.59, 2.31, and 1.62 m3 m−2 day−1, respectively, for the very wet, wet, and moderately wet ﬁeld sites. However, black ash exhibited small sapwood area in general, resulting in lower overall sap ﬂow values. Scaled stand-level transpiration followed a similar trend as the tree-level estimates; mean daily transpiration over 10 weeks was 1.62 (80% of PET), 1.15 (53% of PET), and 0.90 (42% of PET) mm for the very wet, wet, and moderately wet site, respectively. Sap ﬂux density was positively related to vapor pressure deﬁcit when soil moisture was at or near saturation and negatively related when soil moisture content was lower. There was also a signiﬁcant positive relationship between sap ﬂux density and relative soil moisture saturation at the stand scale. Our results indicate that hydrologic regime has substantial inﬂuence on sap ﬂow with highest transpiration when soil moisture is at saturation, underscoring the unique ecological role that black ash plays in these wetland forest types. The effects of EAB-induced black ash mortality on overall ET and related hydrologic processes will likely be greatest in the wettest hydrologic regimes.","container-title":"Agricultural and Forest Meteorology","DOI":"10.1016/j.agrformet.2015.02.019","ISSN":"01681923","journalAbbreviation":"Agricultural and Forest Meteorology","language":"en","page":"4-11","source":"DOI.org (Crossref)","title":"Sap flow of black ash in wetland forests of northern Minnesota, USA: Hydrologic implications of tree mortality due to emerald ash borer","title-short":"Sap flow of black ash in wetland forests of northern Minnesota, USA","volume":"206","author":[{"family":"Telander","given":"Andrew C."},{"family":"Slesak","given":"Robert A."},{"family":"D’Amato","given":"Anthony W."},{"family":"Palik","given":"Brian J."},{"family":"Brooks","given":"Kenneth N."},{"family":"Lenhart","given":"Christian F."}],"issued":{"date-parts":[["2015",6]]}}},{"id":976,"uris":["http://zotero.org/groups/5270502/items/DJ6MMWY8"],"itemData":{"id":976,"type":"article-journal","abstract":"The emerald ash borer (EAB) is rapidly spreading throughout eastern North America and devastating ecosystems where ash is a component tree. This rapid and sustained loss of ash trees has already resulted in ecological impacts on both terrestrial and aquatic ecosystems and is projected to be even more severe as EAB invades black ash-dominated wetlands of the western Great Lakes region. Using two companion studies that are simulating short- and long-term EAB infestations and what is known from the literature, we synthesize our current limited understanding and predict anticipated future impacts of EAB on black ash wetlands. A key response to the die-back of mature black ash will be higher water tables and the potential for ﬂooding and resulting changes to both the vegetation and animal communities. Although seedling planting studies have shown some possible replacement species, little is known about how the removal of black ash from the canopy will affect non-ash species growth and regeneration. Because black ash litter is relatively high in nitrogen, it is expected that there will be important changes in nutrient and carbon cycling and subsequent rates of productivity and decomposition. Changes in hydrology and nutrient and carbon cycling will have cascading effects on the biological community which have been scarcely studied. Research to address these important gaps is currently underway and should lead to alternatives to mitigate the effects of EAB on black ash wetland forests and develop management options pre- and post-EAB invasion.","container-title":"Forests","DOI":"10.3390/f9040179","ISSN":"1999-4907","issue":"4","journalAbbreviation":"Forests","language":"en","license":"https://creativecommons.org/licenses/by/4.0/","page":"179","source":"DOI.org (Crossref)","title":"Review of Ecosystem Level Impacts of Emerald Ash Borer on Black Ash Wetlands: What Does the Future Hold?","title-short":"Review of Ecosystem Level Impacts of Emerald Ash Borer on Black Ash Wetlands","volume":"9","author":[{"family":"Kolka","given":"Randall"},{"family":"D’Amato","given":"Anthony"},{"family":"Wagenbrenner","given":"Joseph"},{"family":"Slesak","given":"Robert"},{"family":"Pypker","given":"Thomas"},{"family":"Youngquist","given":"Melissa"},{"family":"Grinde","given":"Alexis"},{"family":"Palik","given":"Brian"}],"issued":{"date-parts":[["2018",4,2]]}}}],"schema":"https://github.com/citation-style-language/schema/raw/master/csl-citation.json"} </w:instrText>
      </w:r>
      <w:r w:rsidR="007C08FE" w:rsidRPr="00AD5414">
        <w:rPr>
          <w:rFonts w:eastAsia="Calibri"/>
          <w:kern w:val="0"/>
          <w:sz w:val="24"/>
          <w:szCs w:val="24"/>
          <w14:ligatures w14:val="none"/>
        </w:rPr>
        <w:fldChar w:fldCharType="separate"/>
      </w:r>
      <w:r w:rsidR="007C08FE" w:rsidRPr="00AD5414">
        <w:rPr>
          <w:rFonts w:eastAsia="Calibri"/>
          <w:kern w:val="0"/>
          <w:sz w:val="24"/>
          <w:szCs w:val="24"/>
          <w14:ligatures w14:val="none"/>
        </w:rPr>
        <w:t>(Telander et al. 2015, Kolka et al. 2018)</w:t>
      </w:r>
      <w:r w:rsidR="007C08FE" w:rsidRPr="00AD5414">
        <w:rPr>
          <w:rFonts w:eastAsia="Calibri"/>
          <w:kern w:val="0"/>
          <w:sz w:val="24"/>
          <w:szCs w:val="24"/>
          <w14:ligatures w14:val="none"/>
        </w:rPr>
        <w:fldChar w:fldCharType="end"/>
      </w:r>
      <w:r w:rsidR="007C08FE" w:rsidRPr="00AD5414">
        <w:rPr>
          <w:rFonts w:eastAsia="Calibri"/>
          <w:kern w:val="0"/>
          <w:sz w:val="24"/>
          <w:szCs w:val="24"/>
          <w14:ligatures w14:val="none"/>
        </w:rPr>
        <w:t>.</w:t>
      </w:r>
      <w:r w:rsidR="007D27CD" w:rsidRPr="007D27CD">
        <w:rPr>
          <w:rFonts w:eastAsia="Calibri"/>
          <w:kern w:val="0"/>
          <w:sz w:val="24"/>
          <w:szCs w:val="24"/>
          <w14:ligatures w14:val="none"/>
        </w:rPr>
        <w:t xml:space="preserve"> </w:t>
      </w:r>
      <w:r w:rsidR="007D27CD">
        <w:rPr>
          <w:rFonts w:eastAsia="Calibri"/>
          <w:kern w:val="0"/>
          <w:sz w:val="24"/>
          <w:szCs w:val="24"/>
          <w14:ligatures w14:val="none"/>
        </w:rPr>
        <w:t>The importance of black ash in regulating abiotic conditions, coupled with black ash’s high susceptibility to EAB, make these ecosystems particularly important to study in the aftermath of EAB</w:t>
      </w:r>
      <w:r w:rsidR="00A721BB">
        <w:rPr>
          <w:rFonts w:eastAsia="Calibri"/>
          <w:kern w:val="0"/>
          <w:sz w:val="24"/>
          <w:szCs w:val="24"/>
          <w14:ligatures w14:val="none"/>
        </w:rPr>
        <w:t xml:space="preserve"> </w:t>
      </w:r>
      <w:r w:rsidR="00A721BB">
        <w:rPr>
          <w:rFonts w:eastAsia="Calibri"/>
          <w:kern w:val="0"/>
          <w:sz w:val="24"/>
          <w:szCs w:val="24"/>
          <w14:ligatures w14:val="none"/>
        </w:rPr>
        <w:fldChar w:fldCharType="begin"/>
      </w:r>
      <w:r w:rsidR="00A721BB">
        <w:rPr>
          <w:rFonts w:eastAsia="Calibri"/>
          <w:kern w:val="0"/>
          <w:sz w:val="24"/>
          <w:szCs w:val="24"/>
          <w14:ligatures w14:val="none"/>
        </w:rPr>
        <w:instrText xml:space="preserve"> ADDIN ZOTERO_ITEM CSL_CITATION {"citationID":"W7rIeMid","properties":{"formattedCitation":"(Siegert et al. 2023)","plainCitation":"(Siegert et al. 2023)","noteIndex":0},"citationItems":[{"id":1031,"uris":["http://zotero.org/groups/5270502/items/5IWFLHLF"],"itemData":{"id":1031,"type":"article-journal","abstract":"Black ash (\n              Fraxinus nigra\n              ), the most highly preferred and vulnerable host of the invasive emerald ash borer (EAB;\n              Agrilus planipennis\n              ) in North America, is of cultural and spiritual importance to many Tribal Nations in the US and First Nations in Canada. To date, EAB has invaded nearly 60% of the native range of black ash, with annual spread averaging approximately 50 km per year. On the basis of the predicted expansion of EAB distribution, we estimate that more than 75% of black ash basal area will be lost across 87% of the species’ North American range by 2035. Census data indicate that 98% of Indigenous people currently residing within the geographic range of black ash in the US will be within the area experiencing more than 75% basal area loss by 2035, suggesting broad and multidimensional impacts of EAB invasion for those who value black ash as a cultural keystone species. Collaborative efforts among scientists, resource managers, and Indigenous experts are needed to mitigate EAB impacts and preserve or protect black ash resources, given the species’ vulnerability to EAB and its associated cultural and ecological value.","container-title":"Frontiers in Ecology and the Environment","DOI":"10.1002/fee.2654","ISSN":"1540-9295, 1540-9309","issue":"7","journalAbbreviation":"Frontiers in Ecol &amp; Environ","language":"en","page":"310-316","source":"DOI.org (Crossref)","title":"Biological invasion threatens keystone species indelibly entwined with Indigenous cultures","volume":"21","author":[{"family":"Siegert","given":"Nathan W"},{"family":"McCullough","given":"Deborah G"},{"family":"Luther","given":"Thomas"},{"family":"Benedict","given":"Les"},{"family":"Crocker","given":"Susan"},{"family":"Church","given":"Kelly"},{"family":"Banks","given":"John"}],"issued":{"date-parts":[["2023",9]]}}}],"schema":"https://github.com/citation-style-language/schema/raw/master/csl-citation.json"} </w:instrText>
      </w:r>
      <w:r w:rsidR="00A721BB">
        <w:rPr>
          <w:rFonts w:eastAsia="Calibri"/>
          <w:kern w:val="0"/>
          <w:sz w:val="24"/>
          <w:szCs w:val="24"/>
          <w14:ligatures w14:val="none"/>
        </w:rPr>
        <w:fldChar w:fldCharType="separate"/>
      </w:r>
      <w:r w:rsidR="00A721BB" w:rsidRPr="00A721BB">
        <w:rPr>
          <w:sz w:val="24"/>
        </w:rPr>
        <w:t>(Siegert et al. 2023)</w:t>
      </w:r>
      <w:r w:rsidR="00A721BB">
        <w:rPr>
          <w:rFonts w:eastAsia="Calibri"/>
          <w:kern w:val="0"/>
          <w:sz w:val="24"/>
          <w:szCs w:val="24"/>
          <w14:ligatures w14:val="none"/>
        </w:rPr>
        <w:fldChar w:fldCharType="end"/>
      </w:r>
      <w:r w:rsidR="007D27CD">
        <w:rPr>
          <w:rFonts w:eastAsia="Calibri"/>
          <w:kern w:val="0"/>
          <w:sz w:val="24"/>
          <w:szCs w:val="24"/>
          <w14:ligatures w14:val="none"/>
        </w:rPr>
        <w:t>.</w:t>
      </w:r>
    </w:p>
    <w:p w14:paraId="2CF321FF" w14:textId="2C2575A0" w:rsidR="00AD5414" w:rsidRPr="00AD5414" w:rsidRDefault="00AD5414" w:rsidP="00A721BB">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Given the uncertain future of ash in eastern North American forests, it is important to understand the potential for ash survival and regeneration in invaded forests with low-density EAB populations and a history of biological control releases. We resurveyed long-term forest research sites established during the early stages of ash mortality near the epicenter of invasion to investigate the occurrence and health of ash populations more than two decades after the detection of EAB. Our first objective was to quantify the abundance and health of ash regeneration in hydric, mesic, and xeric forests. We predicted that newly germinated seedlings would be absent due to a lack of seed-producing ash trees, and that the incidence of signs and </w:t>
      </w:r>
      <w:r w:rsidRPr="00AD5414">
        <w:rPr>
          <w:rFonts w:eastAsia="Calibri"/>
          <w:kern w:val="0"/>
          <w:sz w:val="24"/>
          <w:szCs w:val="24"/>
          <w14:ligatures w14:val="none"/>
        </w:rPr>
        <w:lastRenderedPageBreak/>
        <w:t xml:space="preserve">symptoms of EAB would increase with increasing ash tree diameter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{"citationID":"PbnrWNzg","properties":{"formattedCitation":"(Klooster et al. 2013, Duan et al. 2017, Ward et al. 2021)","plainCitation":"(Klooster et al. 2013, Duan et al. 2017, Ward et al. 2021)","noteIndex":0},"citationItems":[{"id":618,"uris":["http://zotero.org/groups/5270502/items/J2YNFJUZ"],"itemData":{"id":618,"type":"article-journal","container-title":"Biological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 Duan et al. 2017, Ward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due to the continued presence of EAB in these forests</w:t>
      </w:r>
      <w:r w:rsidR="00481475">
        <w:rPr>
          <w:rFonts w:eastAsia="Calibri"/>
          <w:kern w:val="0"/>
          <w:sz w:val="24"/>
          <w:szCs w:val="24"/>
          <w14:ligatures w14:val="none"/>
        </w:rPr>
        <w:t xml:space="preserve"> </w:t>
      </w:r>
      <w:r w:rsidR="00481475">
        <w:rPr>
          <w:rFonts w:eastAsia="Calibri"/>
          <w:kern w:val="0"/>
          <w:sz w:val="24"/>
          <w:szCs w:val="24"/>
          <w14:ligatures w14:val="none"/>
        </w:rPr>
        <w:fldChar w:fldCharType="begin"/>
      </w:r>
      <w:r w:rsidR="00481475">
        <w:rPr>
          <w:rFonts w:eastAsia="Calibri"/>
          <w:kern w:val="0"/>
          <w:sz w:val="24"/>
          <w:szCs w:val="24"/>
          <w14:ligatures w14:val="none"/>
        </w:rPr>
        <w:instrText xml:space="preserve"> ADDIN ZOTERO_ITEM CSL_CITATION {"citationID":"9Y9GiLxI","properties":{"formattedCitation":"(Duan et al. 2015)","plainCitation":"(Duan et al. 2015)","noteIndex":0},"citationItems":[{"id":772,"uris":["http://zotero.org/groups/5270502/items/45L5ZIW5"],"itemData":{"id":772,"type":"article-journal","abstract":"Summary\n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G."}],"editor":[{"family":"Sheppard","given":"Andy"}],"issued":{"date-parts":[["2015",10]]}}}],"schema":"https://github.com/citation-style-language/schema/raw/master/csl-citation.json"} </w:instrText>
      </w:r>
      <w:r w:rsidR="00481475">
        <w:rPr>
          <w:rFonts w:eastAsia="Calibri"/>
          <w:kern w:val="0"/>
          <w:sz w:val="24"/>
          <w:szCs w:val="24"/>
          <w14:ligatures w14:val="none"/>
        </w:rPr>
        <w:fldChar w:fldCharType="separate"/>
      </w:r>
      <w:r w:rsidR="00481475" w:rsidRPr="00481475">
        <w:rPr>
          <w:sz w:val="24"/>
        </w:rPr>
        <w:t>(Duan et al. 2015)</w:t>
      </w:r>
      <w:r w:rsidR="00481475">
        <w:rPr>
          <w:rFonts w:eastAsia="Calibri"/>
          <w:kern w:val="0"/>
          <w:sz w:val="24"/>
          <w:szCs w:val="24"/>
          <w14:ligatures w14:val="none"/>
        </w:rPr>
        <w:fldChar w:fldCharType="end"/>
      </w:r>
      <w:r w:rsidRPr="00AD5414">
        <w:rPr>
          <w:rFonts w:eastAsia="Calibri"/>
          <w:kern w:val="0"/>
          <w:sz w:val="24"/>
          <w:szCs w:val="24"/>
          <w14:ligatures w14:val="none"/>
        </w:rPr>
        <w:t xml:space="preserve">. Furthermore, we predicted that occurrence of ash regeneration would depend on soil hydrology of the forest, due to the associations between hydrology and ash species, canopy gap size, abiotic stressors, and understory vegetation dynamics. Our second objective was to evaluate whether introduced parasitoid natural enemies of EAB could be recovered at our sites following a history of releases in the region. To further explore the responses in hydric forests, our third objective was to characterize </w:t>
      </w:r>
      <w:r w:rsidR="00394D1D">
        <w:rPr>
          <w:rFonts w:eastAsia="Calibri"/>
          <w:kern w:val="0"/>
          <w:sz w:val="24"/>
          <w:szCs w:val="24"/>
          <w14:ligatures w14:val="none"/>
        </w:rPr>
        <w:t>tree species composition in these</w:t>
      </w:r>
      <w:r w:rsidR="003B17C8">
        <w:rPr>
          <w:rFonts w:eastAsia="Calibri"/>
          <w:kern w:val="0"/>
          <w:sz w:val="24"/>
          <w:szCs w:val="24"/>
          <w14:ligatures w14:val="none"/>
        </w:rPr>
        <w:t xml:space="preserve"> post-outbreak forests</w:t>
      </w:r>
      <w:r w:rsidRPr="00AD5414">
        <w:rPr>
          <w:rFonts w:eastAsia="Calibri"/>
          <w:kern w:val="0"/>
          <w:sz w:val="24"/>
          <w:szCs w:val="24"/>
          <w14:ligatures w14:val="none"/>
        </w:rPr>
        <w:t xml:space="preserve">. </w:t>
      </w:r>
    </w:p>
    <w:p w14:paraId="066BF50E" w14:textId="77777777" w:rsidR="00AD5414" w:rsidRPr="00AD5414" w:rsidRDefault="00AD5414" w:rsidP="00AD5414">
      <w:pPr>
        <w:spacing w:line="480" w:lineRule="auto"/>
        <w:rPr>
          <w:rFonts w:eastAsia="Calibri"/>
          <w:kern w:val="0"/>
          <w:sz w:val="24"/>
          <w:szCs w:val="24"/>
          <w14:ligatures w14:val="none"/>
        </w:rPr>
      </w:pPr>
    </w:p>
    <w:p w14:paraId="76A4D427"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Methods</w:t>
      </w:r>
    </w:p>
    <w:p w14:paraId="2C6BD39B"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 xml:space="preserve">Study area </w:t>
      </w:r>
    </w:p>
    <w:p w14:paraId="37EF1100" w14:textId="2F80E720" w:rsidR="00AD5414" w:rsidRPr="00AD5414" w:rsidRDefault="00AD5414" w:rsidP="0005483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This study was conducted in 37 transects previously established in 2004-2008 in mixed hardwood stands on public land within the Upper Huron River Watershed in southeast Michigan (Table </w:t>
      </w:r>
      <w:r w:rsidR="00DA569B">
        <w:rPr>
          <w:rFonts w:eastAsia="Calibri"/>
          <w:kern w:val="0"/>
          <w:sz w:val="24"/>
          <w:szCs w:val="24"/>
          <w14:ligatures w14:val="none"/>
        </w:rPr>
        <w:t>A.</w:t>
      </w:r>
      <w:r w:rsidRPr="00AD5414">
        <w:rPr>
          <w:rFonts w:eastAsia="Calibri"/>
          <w:kern w:val="0"/>
          <w:sz w:val="24"/>
          <w:szCs w:val="24"/>
          <w14:ligatures w14:val="none"/>
        </w:rPr>
        <w:t>1) (Smith 2006; Klooster et al. 2014; Smith et al. 2015). Forest transects were established in the Huron-Clinton Metroparks (Indian Springs, Kensington, and Hudson Mills) and Michigan State Recreation Areas (Pontiac, Highland, Proud Lake, and Island Lake) (Fig</w:t>
      </w:r>
      <w:r w:rsidR="00054837">
        <w:rPr>
          <w:rFonts w:eastAsia="Calibri"/>
          <w:kern w:val="0"/>
          <w:sz w:val="24"/>
          <w:szCs w:val="24"/>
          <w14:ligatures w14:val="none"/>
        </w:rPr>
        <w:t>.</w:t>
      </w:r>
      <w:r w:rsidRPr="00AD5414">
        <w:rPr>
          <w:rFonts w:eastAsia="Calibri"/>
          <w:kern w:val="0"/>
          <w:sz w:val="24"/>
          <w:szCs w:val="24"/>
          <w14:ligatures w14:val="none"/>
        </w:rPr>
        <w:t xml:space="preserve"> 1</w:t>
      </w:r>
      <w:r w:rsidR="00054837">
        <w:rPr>
          <w:rFonts w:eastAsia="Calibri"/>
          <w:kern w:val="0"/>
          <w:sz w:val="24"/>
          <w:szCs w:val="24"/>
          <w14:ligatures w14:val="none"/>
        </w:rPr>
        <w:t>.1</w:t>
      </w:r>
      <w:r w:rsidRPr="00AD5414">
        <w:rPr>
          <w:rFonts w:eastAsia="Calibri"/>
          <w:kern w:val="0"/>
          <w:sz w:val="24"/>
          <w:szCs w:val="24"/>
          <w14:ligatures w14:val="none"/>
        </w:rPr>
        <w:t>A). Transects were initially characterized by the dominant ash species present (</w:t>
      </w:r>
      <w:r w:rsidRPr="00AD5414">
        <w:rPr>
          <w:rFonts w:eastAsia="Calibri"/>
          <w:i/>
          <w:iCs/>
          <w:kern w:val="0"/>
          <w:sz w:val="24"/>
          <w:szCs w:val="24"/>
          <w14:ligatures w14:val="none"/>
        </w:rPr>
        <w:t>F. americana</w:t>
      </w:r>
      <w:r w:rsidRPr="00AD5414">
        <w:rPr>
          <w:rFonts w:eastAsia="Calibri"/>
          <w:kern w:val="0"/>
          <w:sz w:val="24"/>
          <w:szCs w:val="24"/>
          <w14:ligatures w14:val="none"/>
        </w:rPr>
        <w:t xml:space="preserve">, </w:t>
      </w:r>
      <w:r w:rsidRPr="00AD5414">
        <w:rPr>
          <w:rFonts w:eastAsia="Calibri"/>
          <w:i/>
          <w:iCs/>
          <w:kern w:val="0"/>
          <w:sz w:val="24"/>
          <w:szCs w:val="24"/>
          <w14:ligatures w14:val="none"/>
        </w:rPr>
        <w:t>F. pennsylvanica</w:t>
      </w:r>
      <w:r w:rsidRPr="00AD5414">
        <w:rPr>
          <w:rFonts w:eastAsia="Calibri"/>
          <w:kern w:val="0"/>
          <w:sz w:val="24"/>
          <w:szCs w:val="24"/>
          <w14:ligatures w14:val="none"/>
        </w:rPr>
        <w:t xml:space="preserve">, or </w:t>
      </w:r>
      <w:r w:rsidRPr="00AD5414">
        <w:rPr>
          <w:rFonts w:eastAsia="Calibri"/>
          <w:i/>
          <w:iCs/>
          <w:kern w:val="0"/>
          <w:sz w:val="24"/>
          <w:szCs w:val="24"/>
          <w14:ligatures w14:val="none"/>
        </w:rPr>
        <w:t>F. nigra</w:t>
      </w:r>
      <w:r w:rsidRPr="00AD5414">
        <w:rPr>
          <w:rFonts w:eastAsia="Calibri"/>
          <w:kern w:val="0"/>
          <w:sz w:val="24"/>
          <w:szCs w:val="24"/>
          <w14:ligatures w14:val="none"/>
        </w:rPr>
        <w:t>) and hydrologic conditions (xeric, mesic, or hydric soils)</w:t>
      </w:r>
      <w:r w:rsidR="001C417D">
        <w:rPr>
          <w:rFonts w:eastAsia="Calibri"/>
          <w:kern w:val="0"/>
          <w:sz w:val="24"/>
          <w:szCs w:val="24"/>
          <w14:ligatures w14:val="none"/>
        </w:rPr>
        <w:t xml:space="preserve"> </w:t>
      </w:r>
      <w:r w:rsidR="001C417D">
        <w:rPr>
          <w:rFonts w:eastAsia="Calibri"/>
          <w:kern w:val="0"/>
          <w:sz w:val="24"/>
          <w:szCs w:val="24"/>
          <w14:ligatures w14:val="none"/>
        </w:rPr>
        <w:fldChar w:fldCharType="begin"/>
      </w:r>
      <w:r w:rsidR="001C417D">
        <w:rPr>
          <w:rFonts w:eastAsia="Calibri"/>
          <w:kern w:val="0"/>
          <w:sz w:val="24"/>
          <w:szCs w:val="24"/>
          <w14:ligatures w14:val="none"/>
        </w:rPr>
        <w:instrText xml:space="preserve"> ADDIN ZOTERO_ITEM CSL_CITATION {"citationID":"6OcbrJRy","properties":{"formattedCitation":"(Smith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1C417D">
        <w:rPr>
          <w:rFonts w:eastAsia="Calibri"/>
          <w:kern w:val="0"/>
          <w:sz w:val="24"/>
          <w:szCs w:val="24"/>
          <w14:ligatures w14:val="none"/>
        </w:rPr>
        <w:fldChar w:fldCharType="separate"/>
      </w:r>
      <w:r w:rsidR="001C417D" w:rsidRPr="001C417D">
        <w:rPr>
          <w:sz w:val="24"/>
        </w:rPr>
        <w:t>(Smith 2006)</w:t>
      </w:r>
      <w:r w:rsidR="001C417D">
        <w:rPr>
          <w:rFonts w:eastAsia="Calibri"/>
          <w:kern w:val="0"/>
          <w:sz w:val="24"/>
          <w:szCs w:val="24"/>
          <w14:ligatures w14:val="none"/>
        </w:rPr>
        <w:fldChar w:fldCharType="end"/>
      </w:r>
      <w:r w:rsidR="001C417D">
        <w:rPr>
          <w:rFonts w:eastAsia="Calibri"/>
          <w:kern w:val="0"/>
          <w:sz w:val="24"/>
          <w:szCs w:val="24"/>
          <w14:ligatures w14:val="none"/>
        </w:rPr>
        <w:t xml:space="preserve">. </w:t>
      </w:r>
      <w:r w:rsidRPr="00AD5414">
        <w:rPr>
          <w:rFonts w:eastAsia="Calibri"/>
          <w:kern w:val="0"/>
          <w:sz w:val="24"/>
          <w:szCs w:val="24"/>
          <w14:ligatures w14:val="none"/>
        </w:rPr>
        <w:t xml:space="preserve">Transects in well-drained upland forests with white ash were classified as xeric </w:t>
      </w:r>
      <w:proofErr w:type="gramStart"/>
      <w:r w:rsidRPr="00AD5414">
        <w:rPr>
          <w:rFonts w:eastAsia="Calibri"/>
          <w:kern w:val="0"/>
          <w:sz w:val="24"/>
          <w:szCs w:val="24"/>
          <w14:ligatures w14:val="none"/>
        </w:rPr>
        <w:t>(</w:t>
      </w:r>
      <w:r w:rsidRPr="00AD5414">
        <w:rPr>
          <w:rFonts w:eastAsia="Calibri"/>
          <w:i/>
          <w:iCs/>
          <w:kern w:val="0"/>
          <w:sz w:val="24"/>
          <w:szCs w:val="24"/>
          <w14:ligatures w14:val="none"/>
        </w:rPr>
        <w:t>n</w:t>
      </w:r>
      <w:r w:rsidRPr="00AD5414">
        <w:rPr>
          <w:rFonts w:eastAsia="Calibri"/>
          <w:kern w:val="0"/>
          <w:sz w:val="24"/>
          <w:szCs w:val="24"/>
          <w14:ligatures w14:val="none"/>
        </w:rPr>
        <w:t>=</w:t>
      </w:r>
      <w:proofErr w:type="gramEnd"/>
      <w:r w:rsidRPr="00AD5414">
        <w:rPr>
          <w:rFonts w:eastAsia="Calibri"/>
          <w:kern w:val="0"/>
          <w:sz w:val="24"/>
          <w:szCs w:val="24"/>
          <w14:ligatures w14:val="none"/>
        </w:rPr>
        <w:t>19). Transects with moderately well-drained soils with mostly green ash were classified as mesic (</w:t>
      </w:r>
      <w:proofErr w:type="gramStart"/>
      <w:r w:rsidRPr="00AD5414">
        <w:rPr>
          <w:rFonts w:eastAsia="Calibri"/>
          <w:i/>
          <w:iCs/>
          <w:kern w:val="0"/>
          <w:sz w:val="24"/>
          <w:szCs w:val="24"/>
          <w14:ligatures w14:val="none"/>
        </w:rPr>
        <w:t>n</w:t>
      </w:r>
      <w:r w:rsidRPr="00AD5414">
        <w:rPr>
          <w:rFonts w:eastAsia="Calibri"/>
          <w:kern w:val="0"/>
          <w:sz w:val="24"/>
          <w:szCs w:val="24"/>
          <w14:ligatures w14:val="none"/>
        </w:rPr>
        <w:t>=</w:t>
      </w:r>
      <w:proofErr w:type="gramEnd"/>
      <w:r w:rsidRPr="00AD5414">
        <w:rPr>
          <w:rFonts w:eastAsia="Calibri"/>
          <w:kern w:val="0"/>
          <w:sz w:val="24"/>
          <w:szCs w:val="24"/>
          <w14:ligatures w14:val="none"/>
        </w:rPr>
        <w:t xml:space="preserve">8). Transects in floodplains with water-saturated </w:t>
      </w:r>
      <w:proofErr w:type="gramStart"/>
      <w:r w:rsidRPr="00AD5414">
        <w:rPr>
          <w:rFonts w:eastAsia="Calibri"/>
          <w:kern w:val="0"/>
          <w:sz w:val="24"/>
          <w:szCs w:val="24"/>
          <w14:ligatures w14:val="none"/>
        </w:rPr>
        <w:t>soils</w:t>
      </w:r>
      <w:proofErr w:type="gramEnd"/>
      <w:r w:rsidRPr="00AD5414">
        <w:rPr>
          <w:rFonts w:eastAsia="Calibri"/>
          <w:kern w:val="0"/>
          <w:sz w:val="24"/>
          <w:szCs w:val="24"/>
          <w14:ligatures w14:val="none"/>
        </w:rPr>
        <w:t>, standing water for part of the year, and black ash and/or green ash were classified as hydric (</w:t>
      </w:r>
      <w:r w:rsidRPr="00AD5414">
        <w:rPr>
          <w:rFonts w:eastAsia="Calibri"/>
          <w:i/>
          <w:iCs/>
          <w:kern w:val="0"/>
          <w:sz w:val="24"/>
          <w:szCs w:val="24"/>
          <w14:ligatures w14:val="none"/>
        </w:rPr>
        <w:t>n=</w:t>
      </w:r>
      <w:r w:rsidRPr="00AD5414">
        <w:rPr>
          <w:rFonts w:eastAsia="Calibri"/>
          <w:kern w:val="0"/>
          <w:sz w:val="24"/>
          <w:szCs w:val="24"/>
          <w14:ligatures w14:val="none"/>
        </w:rPr>
        <w:t xml:space="preserve">10). Transects were located 24-45 km from the epicenter of EAB invasion in Canton, Michigan (Siegert et al. 2014) and have a long </w:t>
      </w:r>
      <w:r w:rsidRPr="00AD5414">
        <w:rPr>
          <w:rFonts w:eastAsia="Calibri"/>
          <w:kern w:val="0"/>
          <w:sz w:val="24"/>
          <w:szCs w:val="24"/>
          <w14:ligatures w14:val="none"/>
        </w:rPr>
        <w:lastRenderedPageBreak/>
        <w:t xml:space="preserve">history of EAB. EAB was present in most transects in 2004-2005, and </w:t>
      </w:r>
      <w:r w:rsidR="00532AF0">
        <w:rPr>
          <w:rFonts w:eastAsia="Calibri"/>
          <w:kern w:val="0"/>
          <w:sz w:val="24"/>
          <w:szCs w:val="24"/>
          <w14:ligatures w14:val="none"/>
        </w:rPr>
        <w:t>&gt;</w:t>
      </w:r>
      <w:r w:rsidRPr="00AD5414">
        <w:rPr>
          <w:rFonts w:eastAsia="Calibri"/>
          <w:kern w:val="0"/>
          <w:sz w:val="24"/>
          <w:szCs w:val="24"/>
          <w14:ligatures w14:val="none"/>
        </w:rPr>
        <w:t>99% of ash above 2.5 cm diameter w</w:t>
      </w:r>
      <w:r w:rsidR="00532AF0">
        <w:rPr>
          <w:rFonts w:eastAsia="Calibri"/>
          <w:kern w:val="0"/>
          <w:sz w:val="24"/>
          <w:szCs w:val="24"/>
          <w14:ligatures w14:val="none"/>
        </w:rPr>
        <w:t>as</w:t>
      </w:r>
      <w:r w:rsidRPr="00AD5414">
        <w:rPr>
          <w:rFonts w:eastAsia="Calibri"/>
          <w:kern w:val="0"/>
          <w:sz w:val="24"/>
          <w:szCs w:val="24"/>
          <w14:ligatures w14:val="none"/>
        </w:rPr>
        <w:t xml:space="preserve"> killed by 2009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{"citationID":"2pRJL2B9","properties":{"formattedCitation":"(Klooster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Aside from hydrology, transects also varied in total tree basal area and density, tree species diversity, and ash basal area and density (Smith et al. 2015). Other than ash, common tree genera included maple (</w:t>
      </w:r>
      <w:r w:rsidRPr="00AD5414">
        <w:rPr>
          <w:rFonts w:eastAsia="Calibri"/>
          <w:i/>
          <w:iCs/>
          <w:kern w:val="0"/>
          <w:sz w:val="24"/>
          <w:szCs w:val="24"/>
          <w14:ligatures w14:val="none"/>
        </w:rPr>
        <w:t>Acer</w:t>
      </w:r>
      <w:r w:rsidRPr="00AD5414">
        <w:rPr>
          <w:rFonts w:eastAsia="Calibri"/>
          <w:kern w:val="0"/>
          <w:sz w:val="24"/>
          <w:szCs w:val="24"/>
          <w14:ligatures w14:val="none"/>
        </w:rPr>
        <w:t>), oak (</w:t>
      </w:r>
      <w:r w:rsidRPr="00AD5414">
        <w:rPr>
          <w:rFonts w:eastAsia="Calibri"/>
          <w:i/>
          <w:iCs/>
          <w:kern w:val="0"/>
          <w:sz w:val="24"/>
          <w:szCs w:val="24"/>
          <w14:ligatures w14:val="none"/>
        </w:rPr>
        <w:t>Quercus</w:t>
      </w:r>
      <w:r w:rsidRPr="00AD5414">
        <w:rPr>
          <w:rFonts w:eastAsia="Calibri"/>
          <w:kern w:val="0"/>
          <w:sz w:val="24"/>
          <w:szCs w:val="24"/>
          <w14:ligatures w14:val="none"/>
        </w:rPr>
        <w:t>), cherry (</w:t>
      </w:r>
      <w:r w:rsidRPr="00AD5414">
        <w:rPr>
          <w:rFonts w:eastAsia="Calibri"/>
          <w:i/>
          <w:iCs/>
          <w:kern w:val="0"/>
          <w:sz w:val="24"/>
          <w:szCs w:val="24"/>
          <w14:ligatures w14:val="none"/>
        </w:rPr>
        <w:t>Prunus</w:t>
      </w:r>
      <w:r w:rsidRPr="00AD5414">
        <w:rPr>
          <w:rFonts w:eastAsia="Calibri"/>
          <w:kern w:val="0"/>
          <w:sz w:val="24"/>
          <w:szCs w:val="24"/>
          <w14:ligatures w14:val="none"/>
        </w:rPr>
        <w:t>), hickory (</w:t>
      </w:r>
      <w:r w:rsidRPr="00AD5414">
        <w:rPr>
          <w:rFonts w:eastAsia="Calibri"/>
          <w:i/>
          <w:iCs/>
          <w:kern w:val="0"/>
          <w:sz w:val="24"/>
          <w:szCs w:val="24"/>
          <w14:ligatures w14:val="none"/>
        </w:rPr>
        <w:t>Carya</w:t>
      </w:r>
      <w:r w:rsidRPr="00AD5414">
        <w:rPr>
          <w:rFonts w:eastAsia="Calibri"/>
          <w:kern w:val="0"/>
          <w:sz w:val="24"/>
          <w:szCs w:val="24"/>
          <w14:ligatures w14:val="none"/>
        </w:rPr>
        <w:t>), tuliptree (</w:t>
      </w:r>
      <w:r w:rsidRPr="00AD5414">
        <w:rPr>
          <w:rFonts w:eastAsia="Calibri"/>
          <w:i/>
          <w:iCs/>
          <w:kern w:val="0"/>
          <w:sz w:val="24"/>
          <w:szCs w:val="24"/>
          <w14:ligatures w14:val="none"/>
        </w:rPr>
        <w:t>Liriodendron</w:t>
      </w:r>
      <w:r w:rsidRPr="00AD5414">
        <w:rPr>
          <w:rFonts w:eastAsia="Calibri"/>
          <w:kern w:val="0"/>
          <w:sz w:val="24"/>
          <w:szCs w:val="24"/>
          <w14:ligatures w14:val="none"/>
        </w:rPr>
        <w:t>), aspen and cottonwood (</w:t>
      </w:r>
      <w:r w:rsidRPr="00AD5414">
        <w:rPr>
          <w:rFonts w:eastAsia="Calibri"/>
          <w:i/>
          <w:iCs/>
          <w:kern w:val="0"/>
          <w:sz w:val="24"/>
          <w:szCs w:val="24"/>
          <w14:ligatures w14:val="none"/>
        </w:rPr>
        <w:t>Populus</w:t>
      </w:r>
      <w:r w:rsidRPr="00AD5414">
        <w:rPr>
          <w:rFonts w:eastAsia="Calibri"/>
          <w:kern w:val="0"/>
          <w:sz w:val="24"/>
          <w:szCs w:val="24"/>
          <w14:ligatures w14:val="none"/>
        </w:rPr>
        <w:t>), elm (</w:t>
      </w:r>
      <w:r w:rsidRPr="00AD5414">
        <w:rPr>
          <w:rFonts w:eastAsia="Calibri"/>
          <w:i/>
          <w:iCs/>
          <w:kern w:val="0"/>
          <w:sz w:val="24"/>
          <w:szCs w:val="24"/>
          <w14:ligatures w14:val="none"/>
        </w:rPr>
        <w:t>Ulmus</w:t>
      </w:r>
      <w:r w:rsidRPr="00AD5414">
        <w:rPr>
          <w:rFonts w:eastAsia="Calibri"/>
          <w:kern w:val="0"/>
          <w:sz w:val="24"/>
          <w:szCs w:val="24"/>
          <w14:ligatures w14:val="none"/>
        </w:rPr>
        <w:t>), basswood (</w:t>
      </w:r>
      <w:r w:rsidRPr="00AD5414">
        <w:rPr>
          <w:rFonts w:eastAsia="Calibri"/>
          <w:i/>
          <w:iCs/>
          <w:kern w:val="0"/>
          <w:sz w:val="24"/>
          <w:szCs w:val="24"/>
          <w14:ligatures w14:val="none"/>
        </w:rPr>
        <w:t>Tilia</w:t>
      </w:r>
      <w:r w:rsidRPr="00AD5414">
        <w:rPr>
          <w:rFonts w:eastAsia="Calibri"/>
          <w:kern w:val="0"/>
          <w:sz w:val="24"/>
          <w:szCs w:val="24"/>
          <w14:ligatures w14:val="none"/>
        </w:rPr>
        <w:t>), hophornbeam (</w:t>
      </w:r>
      <w:r w:rsidRPr="00AD5414">
        <w:rPr>
          <w:rFonts w:eastAsia="Calibri"/>
          <w:i/>
          <w:iCs/>
          <w:kern w:val="0"/>
          <w:sz w:val="24"/>
          <w:szCs w:val="24"/>
          <w14:ligatures w14:val="none"/>
        </w:rPr>
        <w:t>Ostrya</w:t>
      </w:r>
      <w:r w:rsidRPr="00AD5414">
        <w:rPr>
          <w:rFonts w:eastAsia="Calibri"/>
          <w:kern w:val="0"/>
          <w:sz w:val="24"/>
          <w:szCs w:val="24"/>
          <w14:ligatures w14:val="none"/>
        </w:rPr>
        <w:t>), and musclewood (</w:t>
      </w:r>
      <w:r w:rsidRPr="00AD5414">
        <w:rPr>
          <w:rFonts w:eastAsia="Calibri"/>
          <w:i/>
          <w:iCs/>
          <w:kern w:val="0"/>
          <w:sz w:val="24"/>
          <w:szCs w:val="24"/>
          <w14:ligatures w14:val="none"/>
        </w:rPr>
        <w:t>Carpinus</w:t>
      </w:r>
      <w:r w:rsidRPr="00AD5414">
        <w:rPr>
          <w:rFonts w:eastAsia="Calibri"/>
          <w:kern w:val="0"/>
          <w:sz w:val="24"/>
          <w:szCs w:val="24"/>
          <w14:ligatures w14:val="none"/>
        </w:rPr>
        <w:t>) (Smith et al. 2015). The region is a post-glaciated landscape, with moraines forming the upland areas. In some cases, precipitation seeps through the moraines and fills lowland areas with mineral rich water (Kost and O’Connor 2003).</w:t>
      </w:r>
    </w:p>
    <w:p w14:paraId="696BED83" w14:textId="6CEF3F95"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Within each transect, three replicate 18 m radius circular plots (0.1 ha) were previously established with a multiscale sampling design to facilitate vegetation surveys (Fig. 1</w:t>
      </w:r>
      <w:r w:rsidR="007F678D">
        <w:rPr>
          <w:rFonts w:eastAsia="Calibri"/>
          <w:kern w:val="0"/>
          <w:sz w:val="24"/>
          <w:szCs w:val="24"/>
          <w14:ligatures w14:val="none"/>
        </w:rPr>
        <w:t>.1</w:t>
      </w:r>
      <w:r w:rsidRPr="00AD5414">
        <w:rPr>
          <w:rFonts w:eastAsia="Calibri"/>
          <w:kern w:val="0"/>
          <w:sz w:val="24"/>
          <w:szCs w:val="24"/>
          <w14:ligatures w14:val="none"/>
        </w:rPr>
        <w:t xml:space="preserve">B). Each plot was composed of an 18 m radius main </w:t>
      </w:r>
      <w:r w:rsidRPr="00AD5414" w:rsidDel="00445389">
        <w:rPr>
          <w:rFonts w:eastAsia="Calibri"/>
          <w:kern w:val="0"/>
          <w:sz w:val="24"/>
          <w:szCs w:val="24"/>
          <w14:ligatures w14:val="none"/>
        </w:rPr>
        <w:t>plot</w:t>
      </w:r>
      <w:r w:rsidRPr="00AD5414">
        <w:rPr>
          <w:rFonts w:eastAsia="Calibri"/>
          <w:kern w:val="0"/>
          <w:sz w:val="24"/>
          <w:szCs w:val="24"/>
          <w14:ligatures w14:val="none"/>
        </w:rPr>
        <w:t>, a nested 8 m radius subplot, and four 4.06 m</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microplots, one in each cardinal direction. When established in 2004-2008, all plots contained at least two mature ash trees. Additional details on plot establishment and characterization are provided in Smith (2006). In the main plot, subplot, and microplots, </w:t>
      </w:r>
      <w:commentRangeStart w:id="1"/>
      <w:r w:rsidRPr="00AD5414">
        <w:rPr>
          <w:rFonts w:eastAsia="Calibri"/>
          <w:kern w:val="0"/>
          <w:sz w:val="24"/>
          <w:szCs w:val="24"/>
          <w14:ligatures w14:val="none"/>
        </w:rPr>
        <w:t>we</w:t>
      </w:r>
      <w:commentRangeEnd w:id="1"/>
      <w:r w:rsidRPr="00AD5414">
        <w:rPr>
          <w:rFonts w:eastAsia="Calibri"/>
          <w:sz w:val="16"/>
          <w:szCs w:val="16"/>
        </w:rPr>
        <w:commentReference w:id="1"/>
      </w:r>
      <w:r w:rsidRPr="00AD5414">
        <w:rPr>
          <w:rFonts w:eastAsia="Calibri"/>
          <w:kern w:val="0"/>
          <w:sz w:val="24"/>
          <w:szCs w:val="24"/>
          <w14:ligatures w14:val="none"/>
        </w:rPr>
        <w:t xml:space="preserve"> resurveyed ash trees, saplings, and seedlings</w:t>
      </w:r>
      <w:r w:rsidR="00874BA5">
        <w:rPr>
          <w:rFonts w:eastAsia="Calibri"/>
          <w:kern w:val="0"/>
          <w:sz w:val="24"/>
          <w:szCs w:val="24"/>
          <w14:ligatures w14:val="none"/>
        </w:rPr>
        <w:t xml:space="preserve"> </w:t>
      </w:r>
      <w:r w:rsidRPr="00AD5414">
        <w:rPr>
          <w:rFonts w:eastAsia="Calibri"/>
          <w:kern w:val="0"/>
          <w:sz w:val="24"/>
          <w:szCs w:val="24"/>
          <w14:ligatures w14:val="none"/>
        </w:rPr>
        <w:t>during the growing seasons in 2024</w:t>
      </w:r>
      <w:r w:rsidR="00874BA5">
        <w:rPr>
          <w:rFonts w:eastAsia="Calibri"/>
          <w:kern w:val="0"/>
          <w:sz w:val="24"/>
          <w:szCs w:val="24"/>
          <w14:ligatures w14:val="none"/>
        </w:rPr>
        <w:t xml:space="preserve"> and </w:t>
      </w:r>
      <w:r w:rsidRPr="00AD5414">
        <w:rPr>
          <w:rFonts w:eastAsia="Calibri"/>
          <w:kern w:val="0"/>
          <w:sz w:val="24"/>
          <w:szCs w:val="24"/>
          <w14:ligatures w14:val="none"/>
        </w:rPr>
        <w:t>2025</w:t>
      </w:r>
      <w:r w:rsidR="00874BA5">
        <w:rPr>
          <w:rFonts w:eastAsia="Calibri"/>
          <w:kern w:val="0"/>
          <w:sz w:val="24"/>
          <w:szCs w:val="24"/>
          <w14:ligatures w14:val="none"/>
        </w:rPr>
        <w:t>.</w:t>
      </w:r>
    </w:p>
    <w:p w14:paraId="6C83A37D" w14:textId="77777777" w:rsidR="00AD5414" w:rsidRPr="00AD5414" w:rsidRDefault="00AD5414" w:rsidP="00AD5414">
      <w:pPr>
        <w:spacing w:line="480" w:lineRule="auto"/>
        <w:rPr>
          <w:rFonts w:eastAsia="Calibri"/>
          <w:kern w:val="0"/>
          <w:sz w:val="24"/>
          <w:szCs w:val="24"/>
          <w14:ligatures w14:val="none"/>
        </w:rPr>
      </w:pPr>
    </w:p>
    <w:p w14:paraId="1123D7A4" w14:textId="77777777" w:rsidR="00AD5414" w:rsidRPr="00AD5414" w:rsidRDefault="00AD5414" w:rsidP="00AD5414">
      <w:pPr>
        <w:spacing w:line="480" w:lineRule="auto"/>
        <w:rPr>
          <w:rFonts w:eastAsia="Calibri"/>
          <w:kern w:val="0"/>
          <w:sz w:val="24"/>
          <w:szCs w:val="24"/>
          <w14:ligatures w14:val="none"/>
        </w:rPr>
      </w:pPr>
    </w:p>
    <w:p w14:paraId="27147157"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lastRenderedPageBreak/>
        <w:drawing>
          <wp:inline distT="0" distB="0" distL="0" distR="0" wp14:anchorId="5E4032AD" wp14:editId="7A85667A">
            <wp:extent cx="5937250" cy="2178050"/>
            <wp:effectExtent l="0" t="0" r="6350" b="0"/>
            <wp:docPr id="984075921" name="Picture 1" descr="On the left is a map showing the area around Detroit, Michigan. There are arrows pointing to the seven parks that are part of this study. On the right is a diagram of a sampling plot. There are two concentric circles (one 18 meter radius, the other 8 meter radius). At the north, east, south, and west ends of the 8 m radius circle, there are little circles which are micro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75921" name="Picture 1" descr="On the left is a map showing the area around Detroit, Michigan. There are arrows pointing to the seven parks that are part of this study. On the right is a diagram of a sampling plot. There are two concentric circles (one 18 meter radius, the other 8 meter radius). At the north, east, south, and west ends of the 8 m radius circle, there are little circles which are microplo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2178050"/>
                    </a:xfrm>
                    <a:prstGeom prst="rect">
                      <a:avLst/>
                    </a:prstGeom>
                    <a:noFill/>
                    <a:ln>
                      <a:noFill/>
                    </a:ln>
                  </pic:spPr>
                </pic:pic>
              </a:graphicData>
            </a:graphic>
          </wp:inline>
        </w:drawing>
      </w:r>
    </w:p>
    <w:p w14:paraId="564CEA60" w14:textId="23A8E0C2" w:rsidR="00AD5414" w:rsidRPr="00AD5414" w:rsidRDefault="00AD5414" w:rsidP="00AD5414">
      <w:pPr>
        <w:spacing w:after="200"/>
        <w:rPr>
          <w:rFonts w:eastAsia="Calibri"/>
          <w:iCs/>
          <w:kern w:val="0"/>
          <w:sz w:val="24"/>
          <w:szCs w:val="18"/>
          <w14:ligatures w14:val="none"/>
        </w:rPr>
      </w:pPr>
      <w:bookmarkStart w:id="2" w:name="_Toc213432482"/>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Map of southeastern Michigan showing the locations of the seven Huron-Clinton Metroparks (Indian Springs, Kensington, and Hudson Mills) and Michigan State Recreation Areas (Pontiac, Highland, Proud Lake, and Island Lake) where forest stands were surveyed (A). Plot design, showing the 18 m radius main plot, the 8 m radius nested subplot, and the four 4 m</w:t>
      </w:r>
      <w:r w:rsidRPr="00AD5414">
        <w:rPr>
          <w:rFonts w:eastAsia="Calibri"/>
          <w:iCs/>
          <w:kern w:val="0"/>
          <w:sz w:val="24"/>
          <w:szCs w:val="18"/>
          <w:vertAlign w:val="superscript"/>
          <w14:ligatures w14:val="none"/>
        </w:rPr>
        <w:t>2</w:t>
      </w:r>
      <w:r w:rsidRPr="00AD5414">
        <w:rPr>
          <w:rFonts w:eastAsia="Calibri"/>
          <w:iCs/>
          <w:kern w:val="0"/>
          <w:sz w:val="24"/>
          <w:szCs w:val="18"/>
          <w14:ligatures w14:val="none"/>
        </w:rPr>
        <w:t xml:space="preserve"> area microplots located in cardinal directions (B).</w:t>
      </w:r>
      <w:bookmarkEnd w:id="2"/>
      <w:r w:rsidRPr="00AD5414">
        <w:rPr>
          <w:rFonts w:eastAsia="Calibri"/>
          <w:iCs/>
          <w:kern w:val="0"/>
          <w:sz w:val="24"/>
          <w:szCs w:val="18"/>
          <w14:ligatures w14:val="none"/>
        </w:rPr>
        <w:t xml:space="preserve"> Forest transects were comprised of three replicate plots.</w:t>
      </w:r>
    </w:p>
    <w:p w14:paraId="5FC8418F" w14:textId="77777777" w:rsidR="00AD5414" w:rsidRPr="00AD5414" w:rsidRDefault="00AD5414" w:rsidP="00AD5414">
      <w:pPr>
        <w:spacing w:line="480" w:lineRule="auto"/>
        <w:rPr>
          <w:rFonts w:eastAsia="Calibri"/>
          <w:kern w:val="0"/>
          <w:sz w:val="24"/>
          <w:szCs w:val="24"/>
          <w:u w:val="single"/>
          <w14:ligatures w14:val="none"/>
        </w:rPr>
      </w:pPr>
    </w:p>
    <w:p w14:paraId="2087FF3D"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Ash abundance and health</w:t>
      </w:r>
    </w:p>
    <w:p w14:paraId="683E54E1" w14:textId="744A397E"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To assess the abundance and health of ash, canopy ash trees (≥10 cm diameter at breast height, DBH) were surveyed within the entire 18 m radius main plots, understory ash trees (2.5-10 cm DBH) and living ash saplings (≥137 cm in height but &lt;2.5 cm DBH) were surveyed within the central 8 m radius subplots, and living ash seedlings (&lt;137 cm in height) were surveyed within the 4 m</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microplots. All seedlings were checked for the presence of cotyledons which would indicate they were newly germinated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{"citationID":"ldfuJ1DD","properties":{"formattedCitation":"(Klooster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Ash seedlings were counted in two height categories, &lt;25 cm and &gt;25 cm, and the percentage cover of ash seedlings in microplots was estimated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{"citationID":"31HfnuET","properties":{"formattedCitation":"(Klooster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
    <w:p w14:paraId="3A4B1B1F" w14:textId="00DC4A52"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When present, canopy and understory ash (&gt;2.5 cm DBH) were assessed individually for DBH, species, and health. All DBH measurements were taken at a height of 137 cm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{"citationID":"CjKAlHhD","properties":{"formattedCitation":"(Ward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(Ward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Due to difficulties in distinguishing green and white ash, species designations were </w:t>
      </w:r>
      <w:r w:rsidRPr="00AD5414">
        <w:rPr>
          <w:rFonts w:eastAsia="Calibri"/>
          <w:kern w:val="0"/>
          <w:sz w:val="24"/>
          <w:szCs w:val="24"/>
          <w14:ligatures w14:val="none"/>
        </w:rPr>
        <w:lastRenderedPageBreak/>
        <w:t>grouped into three categories: 1) black ash; 2) all other species of ash, including white ash, green ash, and potentially pumpkin ash (</w:t>
      </w:r>
      <w:r w:rsidRPr="00AD5414">
        <w:rPr>
          <w:rFonts w:eastAsia="Calibri"/>
          <w:i/>
          <w:iCs/>
          <w:kern w:val="0"/>
          <w:sz w:val="24"/>
          <w:szCs w:val="24"/>
          <w14:ligatures w14:val="none"/>
        </w:rPr>
        <w:t xml:space="preserve">Fraxinus profunda </w:t>
      </w:r>
      <w:r w:rsidRPr="00AD5414">
        <w:rPr>
          <w:rFonts w:eastAsia="Calibri"/>
          <w:kern w:val="0"/>
          <w:sz w:val="24"/>
          <w:szCs w:val="24"/>
          <w14:ligatures w14:val="none"/>
        </w:rPr>
        <w:t xml:space="preserve">Bush); and 3) unknown ash species because the tree was dead. After recording ash species, the tree was checked for signs and symptoms of EAB, including the presence of D-shaped emergence holes, woodpecker predation marks, bark splitting, epicormic sprouts, and basal sprouts. Furthermore, the canopy condition was rated using a 1 to 5 scale, where 1 represented a healthy canopy, 5 represented complete defoliation of the canopy (possibly still with living epicormic sprouts), and 2-4 represented increasing stages of decline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{"citationID":"EbhKvcSH","properties":{"formattedCitation":"(Smith 2006, Klooster et al. 2013, Knight et al. 2014)","plainCitation":"(Smith 2006, Klooster et al. 2013, Knight et al. 2014)","noteIndex":0},"citationItems":[{"id":478,"uris":["http://zotero.org/groups/5270502/items/MKCWT8XS"],"itemData":{"id":478,"type":"thesis","abstract":"Emerald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(Smith 2006, Klooster et al. 2013, Knight et al. 2014)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For statistical analyses, we simplified the canopy condition variable into two binary variables, </w:t>
      </w:r>
      <w:r w:rsidRPr="00AD5414">
        <w:rPr>
          <w:rFonts w:eastAsia="Calibri"/>
          <w:i/>
          <w:iCs/>
          <w:kern w:val="0"/>
          <w:sz w:val="24"/>
          <w:szCs w:val="24"/>
          <w14:ligatures w14:val="none"/>
        </w:rPr>
        <w:t xml:space="preserve">ash tree </w:t>
      </w:r>
      <w:proofErr w:type="gramStart"/>
      <w:r w:rsidRPr="00AD5414">
        <w:rPr>
          <w:rFonts w:eastAsia="Calibri"/>
          <w:i/>
          <w:iCs/>
          <w:kern w:val="0"/>
          <w:sz w:val="24"/>
          <w:szCs w:val="24"/>
          <w14:ligatures w14:val="none"/>
        </w:rPr>
        <w:t>decline</w:t>
      </w:r>
      <w:proofErr w:type="gramEnd"/>
      <w:r w:rsidRPr="00AD5414">
        <w:rPr>
          <w:rFonts w:eastAsia="Calibri"/>
          <w:kern w:val="0"/>
          <w:sz w:val="24"/>
          <w:szCs w:val="24"/>
          <w14:ligatures w14:val="none"/>
        </w:rPr>
        <w:t xml:space="preserve"> and </w:t>
      </w:r>
      <w:r w:rsidRPr="00AD5414">
        <w:rPr>
          <w:rFonts w:eastAsia="Calibri"/>
          <w:i/>
          <w:iCs/>
          <w:kern w:val="0"/>
          <w:sz w:val="24"/>
          <w:szCs w:val="24"/>
          <w14:ligatures w14:val="none"/>
        </w:rPr>
        <w:t>ash tree death</w:t>
      </w:r>
      <w:r w:rsidRPr="00AD5414">
        <w:rPr>
          <w:rFonts w:eastAsia="Calibri"/>
          <w:kern w:val="0"/>
          <w:sz w:val="24"/>
          <w:szCs w:val="24"/>
          <w14:ligatures w14:val="none"/>
        </w:rPr>
        <w:t xml:space="preserve">. </w:t>
      </w:r>
      <w:r w:rsidRPr="00AD5414">
        <w:rPr>
          <w:rFonts w:eastAsia="Calibri"/>
          <w:i/>
          <w:iCs/>
          <w:kern w:val="0"/>
          <w:sz w:val="24"/>
          <w:szCs w:val="24"/>
          <w14:ligatures w14:val="none"/>
        </w:rPr>
        <w:t>Ash tree decline</w:t>
      </w:r>
      <w:r w:rsidRPr="00AD5414">
        <w:rPr>
          <w:rFonts w:eastAsia="Calibri"/>
          <w:kern w:val="0"/>
          <w:sz w:val="24"/>
          <w:szCs w:val="24"/>
          <w14:ligatures w14:val="none"/>
        </w:rPr>
        <w:t xml:space="preserve"> was coded as 1 if the canopy condition showed any signs of decline (i.e. if canopy condition ≥ 2) and 0 if the canopy condition = 1. </w:t>
      </w:r>
      <w:r w:rsidRPr="00AD5414">
        <w:rPr>
          <w:rFonts w:eastAsia="Calibri"/>
          <w:i/>
          <w:iCs/>
          <w:kern w:val="0"/>
          <w:sz w:val="24"/>
          <w:szCs w:val="24"/>
          <w14:ligatures w14:val="none"/>
        </w:rPr>
        <w:t>Ash tree death</w:t>
      </w:r>
      <w:r w:rsidRPr="00AD5414">
        <w:rPr>
          <w:rFonts w:eastAsia="Calibri"/>
          <w:kern w:val="0"/>
          <w:sz w:val="24"/>
          <w:szCs w:val="24"/>
          <w14:ligatures w14:val="none"/>
        </w:rPr>
        <w:t xml:space="preserve"> was coded as 1 if canopy condition = 5, and 0 otherwise </w:t>
      </w:r>
      <w:r w:rsidRPr="00AD5414">
        <w:rPr>
          <w:rFonts w:eastAsia="Calibri"/>
          <w:kern w:val="0"/>
          <w:sz w:val="24"/>
          <w:szCs w:val="24"/>
          <w14:ligatures w14:val="none"/>
        </w:rPr>
        <w:fldChar w:fldCharType="begin"/>
      </w:r>
      <w:r w:rsidR="00787B59">
        <w:rPr>
          <w:rFonts w:eastAsia="Calibri"/>
          <w:kern w:val="0"/>
          <w:sz w:val="24"/>
          <w:szCs w:val="24"/>
          <w14:ligatures w14:val="none"/>
        </w:rPr>
        <w:instrText xml:space="preserve"> ADDIN ZOTERO_ITEM CSL_CITATION {"citationID":"LysLGAHc","properties":{"formattedCitation":"(Hoven et al. 2020)","plainCitation":"(Hoven et al. 2020)","dontUpdate":true,"noteIndex":0},"citationItems":[{"id":709,"uris":["http://zotero.org/groups/5270502/items/7E4CKTXS"],"itemData":{"id":709,"type":"article-journal","container-title":"Annals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(&lt;i&gt;Agrilus planipennis&lt;/i&gt;)-caused ash death","title-short":"Release and suppression","volume":"77","author":[{"family":"Hoven","given":"Brian M."},{"family":"Knight","given":"Kathleen S."},{"family":"Peters","given":"Valerie E."},{"family":"Gorchov","given":"David L."}],"issued":{"date-parts":[["2020",3]]}}}],"schema":"https://github.com/citation-style-language/schema/raw/master/csl-citation.json"}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(adapted from Hoven et al. 2020)</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6E5C56DD" w14:textId="77777777" w:rsidR="00AD5414" w:rsidRPr="00AD5414" w:rsidRDefault="00AD5414" w:rsidP="00AD5414">
      <w:pPr>
        <w:spacing w:line="480" w:lineRule="auto"/>
        <w:rPr>
          <w:rFonts w:eastAsia="Calibri"/>
          <w:kern w:val="0"/>
          <w:sz w:val="24"/>
          <w:szCs w:val="24"/>
          <w14:ligatures w14:val="none"/>
        </w:rPr>
      </w:pPr>
    </w:p>
    <w:p w14:paraId="677D5DFC"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EAB trapping</w:t>
      </w:r>
    </w:p>
    <w:p w14:paraId="4F8B7692" w14:textId="3E43ACA3"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In 2024, we used purple-prism traps and multi-funnel traps to assess EAB presence at six of the seven study parks (all except Hudson Mills Metropark, Table </w:t>
      </w:r>
      <w:r w:rsidR="00DA569B">
        <w:rPr>
          <w:rFonts w:eastAsia="Calibri"/>
          <w:kern w:val="0"/>
          <w:sz w:val="24"/>
          <w:szCs w:val="24"/>
          <w14:ligatures w14:val="none"/>
        </w:rPr>
        <w:t>A.</w:t>
      </w:r>
      <w:r w:rsidRPr="00AD5414">
        <w:rPr>
          <w:rFonts w:eastAsia="Calibri"/>
          <w:kern w:val="0"/>
          <w:sz w:val="24"/>
          <w:szCs w:val="24"/>
          <w14:ligatures w14:val="none"/>
        </w:rPr>
        <w:t>2). Two purple-</w:t>
      </w:r>
      <w:proofErr w:type="gramStart"/>
      <w:r w:rsidRPr="00AD5414">
        <w:rPr>
          <w:rFonts w:eastAsia="Calibri"/>
          <w:kern w:val="0"/>
          <w:sz w:val="24"/>
          <w:szCs w:val="24"/>
          <w14:ligatures w14:val="none"/>
        </w:rPr>
        <w:t>prism traps</w:t>
      </w:r>
      <w:proofErr w:type="gramEnd"/>
      <w:r w:rsidRPr="00AD5414">
        <w:rPr>
          <w:rFonts w:eastAsia="Calibri"/>
          <w:kern w:val="0"/>
          <w:sz w:val="24"/>
          <w:szCs w:val="24"/>
          <w14:ligatures w14:val="none"/>
        </w:rPr>
        <w:t xml:space="preserve"> were installed at each park, for a total of 12 prism traps. Additionally, three multi-funnel (Lindgren) traps were installed at one park, Pontiac Lake Recreation Area</w:t>
      </w:r>
      <w:commentRangeStart w:id="3"/>
      <w:r w:rsidRPr="00AD5414">
        <w:rPr>
          <w:rFonts w:eastAsia="Calibri"/>
          <w:kern w:val="0"/>
          <w:sz w:val="24"/>
          <w:szCs w:val="24"/>
          <w14:ligatures w14:val="none"/>
        </w:rPr>
        <w:t>.</w:t>
      </w:r>
      <w:commentRangeEnd w:id="3"/>
      <w:r w:rsidR="00975566">
        <w:rPr>
          <w:rStyle w:val="CommentReference"/>
        </w:rPr>
        <w:commentReference w:id="3"/>
      </w:r>
      <w:r w:rsidRPr="00AD5414">
        <w:rPr>
          <w:rFonts w:eastAsia="Calibri"/>
          <w:kern w:val="0"/>
          <w:sz w:val="24"/>
          <w:szCs w:val="24"/>
          <w14:ligatures w14:val="none"/>
        </w:rPr>
        <w:t xml:space="preserve"> Traps were hung on or near the biggest ash trees that could be found </w:t>
      </w:r>
      <w:proofErr w:type="gramStart"/>
      <w:r w:rsidRPr="00AD5414">
        <w:rPr>
          <w:rFonts w:eastAsia="Calibri"/>
          <w:kern w:val="0"/>
          <w:sz w:val="24"/>
          <w:szCs w:val="24"/>
          <w14:ligatures w14:val="none"/>
        </w:rPr>
        <w:t>in</w:t>
      </w:r>
      <w:proofErr w:type="gramEnd"/>
      <w:r w:rsidRPr="00AD5414">
        <w:rPr>
          <w:rFonts w:eastAsia="Calibri"/>
          <w:kern w:val="0"/>
          <w:sz w:val="24"/>
          <w:szCs w:val="24"/>
          <w14:ligatures w14:val="none"/>
        </w:rPr>
        <w:t xml:space="preserve"> preliminary site visits. Traps were installed between May 29 and June 5, 2024 (627-734 GDD, base 50 °F, single sine method), and removed between July 23 and July 25, 2024 (1733-1770 GDD)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{"citationID":"jmwT4vSq","properties":{"formattedCitation":"(\\uc0\\u8220{}Online Phenology and Degree-day Models\\uc0\\u8221{} 2022)","plainCitation":"(“Online Phenology and Degree-day Models” 2022)","noteIndex":0},"citationItems":[{"id":1248,"uris":["http://zotero.org/users/6631577/items/WER5G576"],"itemData":{"id":1248,"type":"webpage","title":"Online Phenology and Degree-day Models","URL":"https://uspest.org/dd/model_app","issued":{"date-parts":[["2022"]]}}}],"schema":"https://github.com/citation-style-language/schema/raw/master/csl-citation.json"}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(“Online Phenology and Degree-day Models” 2022)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Purple prism traps used standard purple (“Coroplast purple”) colored board coated with glue (TAD Insect Trap Coating, Great Lakes IPM). </w:t>
      </w:r>
      <w:r w:rsidR="00CC7C2F">
        <w:rPr>
          <w:rFonts w:eastAsia="Calibri"/>
          <w:kern w:val="0"/>
          <w:sz w:val="24"/>
          <w:szCs w:val="24"/>
          <w14:ligatures w14:val="none"/>
        </w:rPr>
        <w:t xml:space="preserve">Multi-funnel traps were filled </w:t>
      </w:r>
      <w:r w:rsidR="00CC7C2F">
        <w:rPr>
          <w:rFonts w:eastAsia="Calibri"/>
          <w:kern w:val="0"/>
          <w:sz w:val="24"/>
          <w:szCs w:val="24"/>
          <w14:ligatures w14:val="none"/>
        </w:rPr>
        <w:lastRenderedPageBreak/>
        <w:t xml:space="preserve">with </w:t>
      </w:r>
      <w:r w:rsidR="00B17DEC">
        <w:rPr>
          <w:rFonts w:eastAsia="Calibri"/>
          <w:kern w:val="0"/>
          <w:sz w:val="24"/>
          <w:szCs w:val="24"/>
          <w14:ligatures w14:val="none"/>
        </w:rPr>
        <w:t xml:space="preserve">a </w:t>
      </w:r>
      <w:r w:rsidR="00F377C3">
        <w:rPr>
          <w:rFonts w:eastAsia="Calibri"/>
          <w:kern w:val="0"/>
          <w:sz w:val="24"/>
          <w:szCs w:val="24"/>
          <w14:ligatures w14:val="none"/>
        </w:rPr>
        <w:t xml:space="preserve">20% propylene glycol </w:t>
      </w:r>
      <w:r w:rsidR="00B17DEC">
        <w:rPr>
          <w:rFonts w:eastAsia="Calibri"/>
          <w:kern w:val="0"/>
          <w:sz w:val="24"/>
          <w:szCs w:val="24"/>
          <w14:ligatures w14:val="none"/>
        </w:rPr>
        <w:t>solution</w:t>
      </w:r>
      <w:r w:rsidR="00F377C3">
        <w:rPr>
          <w:rFonts w:eastAsia="Calibri"/>
          <w:kern w:val="0"/>
          <w:sz w:val="24"/>
          <w:szCs w:val="24"/>
          <w14:ligatures w14:val="none"/>
        </w:rPr>
        <w:t xml:space="preserve">. </w:t>
      </w:r>
      <w:r w:rsidRPr="00AD5414">
        <w:rPr>
          <w:rFonts w:eastAsia="Calibri"/>
          <w:kern w:val="0"/>
          <w:sz w:val="24"/>
          <w:szCs w:val="24"/>
          <w14:ligatures w14:val="none"/>
        </w:rPr>
        <w:t xml:space="preserve">Traps were hung at varying heights </w:t>
      </w:r>
      <w:r w:rsidR="00D932A3">
        <w:rPr>
          <w:rFonts w:eastAsia="Calibri"/>
          <w:kern w:val="0"/>
          <w:sz w:val="24"/>
          <w:szCs w:val="24"/>
          <w14:ligatures w14:val="none"/>
        </w:rPr>
        <w:t>on</w:t>
      </w:r>
      <w:r w:rsidR="00F54A29">
        <w:rPr>
          <w:rFonts w:eastAsia="Calibri"/>
          <w:kern w:val="0"/>
          <w:sz w:val="24"/>
          <w:szCs w:val="24"/>
          <w14:ligatures w14:val="none"/>
        </w:rPr>
        <w:t xml:space="preserve"> or</w:t>
      </w:r>
      <w:r w:rsidRPr="00AD5414">
        <w:rPr>
          <w:rFonts w:eastAsia="Calibri"/>
          <w:kern w:val="0"/>
          <w:sz w:val="24"/>
          <w:szCs w:val="24"/>
          <w14:ligatures w14:val="none"/>
        </w:rPr>
        <w:t xml:space="preserve"> near ash of varying size classes, depending on what was found at a park (Table </w:t>
      </w:r>
      <w:r w:rsidR="006B4862">
        <w:rPr>
          <w:rFonts w:eastAsia="Calibri"/>
          <w:kern w:val="0"/>
          <w:sz w:val="24"/>
          <w:szCs w:val="24"/>
          <w14:ligatures w14:val="none"/>
        </w:rPr>
        <w:t>A.</w:t>
      </w:r>
      <w:r w:rsidRPr="00AD5414">
        <w:rPr>
          <w:rFonts w:eastAsia="Calibri"/>
          <w:kern w:val="0"/>
          <w:sz w:val="24"/>
          <w:szCs w:val="24"/>
          <w14:ligatures w14:val="none"/>
        </w:rPr>
        <w:t>2). All traps were baited with Manuka oil</w:t>
      </w:r>
      <w:commentRangeStart w:id="4"/>
      <w:commentRangeStart w:id="5"/>
      <w:r w:rsidRPr="00AD5414">
        <w:rPr>
          <w:rFonts w:eastAsia="Calibri"/>
          <w:kern w:val="0"/>
          <w:sz w:val="24"/>
          <w:szCs w:val="24"/>
          <w14:ligatures w14:val="none"/>
        </w:rPr>
        <w:t xml:space="preserve"> </w:t>
      </w:r>
      <w:commentRangeEnd w:id="4"/>
      <w:r w:rsidRPr="00AD5414">
        <w:rPr>
          <w:rFonts w:eastAsia="Calibri"/>
          <w:kern w:val="0"/>
          <w:sz w:val="24"/>
          <w:szCs w:val="24"/>
          <w14:ligatures w14:val="none"/>
        </w:rPr>
        <w:commentReference w:id="4"/>
      </w:r>
      <w:commentRangeEnd w:id="5"/>
      <w:r w:rsidRPr="00AD5414">
        <w:rPr>
          <w:rFonts w:eastAsia="Calibri"/>
          <w:sz w:val="16"/>
          <w:szCs w:val="16"/>
        </w:rPr>
        <w:commentReference w:id="5"/>
      </w:r>
      <w:r w:rsidRPr="00AD5414">
        <w:rPr>
          <w:rFonts w:eastAsia="Calibri"/>
          <w:kern w:val="0"/>
          <w:sz w:val="24"/>
          <w:szCs w:val="24"/>
          <w14:ligatures w14:val="none"/>
        </w:rPr>
        <w:t xml:space="preserve">and a fresh lure was installed halfway through the summer, between June 25 and July 3 (1146-1283 GDD). All buprestid beetles were removed from purple prism traps monthly, and from multi-funnel traps weekly, and EAB were counted and sexed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{"citationID":"Ex6npBrJ","properties":{"formattedCitation":"(Parsons 2008)","plainCitation":"(Parsons 2008)","noteIndex":0},"citationItems":[{"id":1088,"uris":["http://zotero.org/users/6631577/items/BDAL48R2"],"itemData":{"id":1088,"type":"document","publisher":"Michigan State University Department of Entomology","title":"Emerald Ash Borer: A guide to identification and comparison to similar species","URL":"https://www.emeraldashborer.info/files/1cbcbbc2-f580-4619-b678-df5516fde40c-5ydqa7.pdf","author":[{"family":"Parsons","given":"Gary"}],"issued":{"date-parts":[["2008"]]}}}],"schema":"https://github.com/citation-style-language/schema/raw/master/csl-citation.json"}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(Parsons 2008)</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
    <w:p w14:paraId="345099B4" w14:textId="77777777" w:rsidR="00AD5414" w:rsidRPr="00AD5414" w:rsidRDefault="00AD5414" w:rsidP="00AD5414">
      <w:pPr>
        <w:spacing w:line="480" w:lineRule="auto"/>
        <w:rPr>
          <w:rFonts w:eastAsia="Calibri"/>
          <w:kern w:val="0"/>
          <w:sz w:val="24"/>
          <w:szCs w:val="24"/>
          <w:u w:val="single"/>
          <w14:ligatures w14:val="none"/>
        </w:rPr>
      </w:pPr>
    </w:p>
    <w:p w14:paraId="13255FFE"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Parasitoid sampling</w:t>
      </w:r>
    </w:p>
    <w:p w14:paraId="312CE673" w14:textId="73B92073"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In 2024, yellow pan traps were used to determine whether the introduced biological control agents had established in the area. Traps were installed at Pontiac Lake Recreation Area </w:t>
      </w:r>
      <w:r w:rsidR="00DA569B">
        <w:rPr>
          <w:rFonts w:eastAsia="Calibri"/>
          <w:kern w:val="0"/>
          <w:sz w:val="24"/>
          <w:szCs w:val="24"/>
          <w14:ligatures w14:val="none"/>
        </w:rPr>
        <w:t xml:space="preserve">at plot 53 </w:t>
      </w:r>
      <w:r w:rsidRPr="00AD5414">
        <w:rPr>
          <w:rFonts w:eastAsia="Calibri"/>
          <w:kern w:val="0"/>
          <w:sz w:val="24"/>
          <w:szCs w:val="24"/>
          <w14:ligatures w14:val="none"/>
        </w:rPr>
        <w:t xml:space="preserve">due to a high abundance of ash saplings and seedlings in the understory. </w:t>
      </w:r>
      <w:r w:rsidR="00DA569B">
        <w:rPr>
          <w:rFonts w:eastAsia="Calibri"/>
          <w:kern w:val="0"/>
          <w:sz w:val="24"/>
          <w:szCs w:val="24"/>
          <w14:ligatures w14:val="none"/>
        </w:rPr>
        <w:t>Y</w:t>
      </w:r>
      <w:r w:rsidRPr="00AD5414">
        <w:rPr>
          <w:rFonts w:eastAsia="Calibri"/>
          <w:kern w:val="0"/>
          <w:sz w:val="24"/>
          <w:szCs w:val="24"/>
          <w14:ligatures w14:val="none"/>
        </w:rPr>
        <w:t xml:space="preserve">ellow pan traps were composed of two nested yellow plastic bowls attached to the trunk of an ash tree and filled with 20% </w:t>
      </w:r>
      <w:commentRangeStart w:id="6"/>
      <w:r w:rsidRPr="00AD5414">
        <w:rPr>
          <w:rFonts w:eastAsia="Calibri"/>
          <w:kern w:val="0"/>
          <w:sz w:val="24"/>
          <w:szCs w:val="24"/>
          <w14:ligatures w14:val="none"/>
        </w:rPr>
        <w:t xml:space="preserve">propylene glycol </w:t>
      </w:r>
      <w:commentRangeEnd w:id="6"/>
      <w:r w:rsidRPr="00AD5414">
        <w:rPr>
          <w:rFonts w:eastAsia="Calibri"/>
          <w:kern w:val="0"/>
          <w:sz w:val="24"/>
          <w:szCs w:val="24"/>
          <w14:ligatures w14:val="none"/>
        </w:rPr>
        <w:commentReference w:id="6"/>
      </w:r>
      <w:r w:rsidRPr="00AD5414">
        <w:rPr>
          <w:rFonts w:eastAsia="Calibri"/>
          <w:kern w:val="0"/>
          <w:sz w:val="24"/>
          <w:szCs w:val="24"/>
          <w14:ligatures w14:val="none"/>
        </w:rPr>
        <w:t xml:space="preserve">solution and a drop of unscented dish soap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{"citationID":"SlvTLftS","properties":{"formattedCitation":"(USDA\\uc0\\u8211{}APHIS/ARS/FS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(USDA–APHIS/ARS/FS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 USDA design was modified by using polypropylene webbing straps instead of nails to attach to the tree (Figure </w:t>
      </w:r>
      <w:r w:rsidR="007F678D">
        <w:rPr>
          <w:rFonts w:eastAsia="Calibri"/>
          <w:kern w:val="0"/>
          <w:sz w:val="24"/>
          <w:szCs w:val="24"/>
          <w14:ligatures w14:val="none"/>
        </w:rPr>
        <w:t>A.</w:t>
      </w:r>
      <w:r w:rsidRPr="00AD5414">
        <w:rPr>
          <w:rFonts w:eastAsia="Calibri"/>
          <w:kern w:val="0"/>
          <w:sz w:val="24"/>
          <w:szCs w:val="24"/>
          <w14:ligatures w14:val="none"/>
        </w:rPr>
        <w:t xml:space="preserve">2). On June 4, 2024, 15 traps were attached at a height of 5-6 feet to green or white ash trees (3.2-9.6 cm DBH) (Table </w:t>
      </w:r>
      <w:r w:rsidR="006B4862">
        <w:rPr>
          <w:rFonts w:eastAsia="Calibri"/>
          <w:kern w:val="0"/>
          <w:sz w:val="24"/>
          <w:szCs w:val="24"/>
          <w14:ligatures w14:val="none"/>
        </w:rPr>
        <w:t>A.</w:t>
      </w:r>
      <w:r w:rsidRPr="00AD5414">
        <w:rPr>
          <w:rFonts w:eastAsia="Calibri"/>
          <w:kern w:val="0"/>
          <w:sz w:val="24"/>
          <w:szCs w:val="24"/>
          <w14:ligatures w14:val="none"/>
        </w:rPr>
        <w:t xml:space="preserve">3). Traps were collected weekly until August 8, 2024, by pouring the collection liquid through a fine mesh paint filter (listed as 190 </w:t>
      </w:r>
      <w:r w:rsidR="009A5B46" w:rsidRPr="009A5B46">
        <w:rPr>
          <w:rFonts w:eastAsia="Calibri"/>
          <w:kern w:val="0"/>
          <w:sz w:val="24"/>
          <w:szCs w:val="24"/>
          <w14:ligatures w14:val="none"/>
        </w:rPr>
        <w:t>μm</w:t>
      </w:r>
      <w:r w:rsidRPr="00AD5414">
        <w:rPr>
          <w:rFonts w:eastAsia="Calibri"/>
          <w:kern w:val="0"/>
          <w:sz w:val="24"/>
          <w:szCs w:val="24"/>
          <w14:ligatures w14:val="none"/>
        </w:rPr>
        <w:t xml:space="preserve">, </w:t>
      </w:r>
      <w:proofErr w:type="gramStart"/>
      <w:r w:rsidRPr="00AD5414">
        <w:rPr>
          <w:rFonts w:eastAsia="Calibri"/>
          <w:kern w:val="0"/>
          <w:sz w:val="24"/>
          <w:szCs w:val="24"/>
          <w14:ligatures w14:val="none"/>
        </w:rPr>
        <w:t>actually ~</w:t>
      </w:r>
      <w:proofErr w:type="gramEnd"/>
      <w:r w:rsidRPr="00AD5414">
        <w:rPr>
          <w:rFonts w:eastAsia="Calibri"/>
          <w:kern w:val="0"/>
          <w:sz w:val="24"/>
          <w:szCs w:val="24"/>
          <w14:ligatures w14:val="none"/>
        </w:rPr>
        <w:t xml:space="preserve">300 </w:t>
      </w:r>
      <w:r w:rsidR="009A5B46" w:rsidRPr="009A5B46">
        <w:rPr>
          <w:rFonts w:eastAsia="Calibri"/>
          <w:kern w:val="0"/>
          <w:sz w:val="24"/>
          <w:szCs w:val="24"/>
          <w14:ligatures w14:val="none"/>
        </w:rPr>
        <w:t>μm</w:t>
      </w:r>
      <w:r w:rsidRPr="00AD5414">
        <w:rPr>
          <w:rFonts w:eastAsia="Calibri"/>
          <w:kern w:val="0"/>
          <w:sz w:val="24"/>
          <w:szCs w:val="24"/>
          <w14:ligatures w14:val="none"/>
        </w:rPr>
        <w:t xml:space="preserve"> = 0.3 mm) and rinsing with distilled water. Since the smallest introduced parasitoid, </w:t>
      </w:r>
      <w:r w:rsidRPr="00AD5414">
        <w:rPr>
          <w:rFonts w:eastAsia="Calibri"/>
          <w:i/>
          <w:iCs/>
          <w:kern w:val="0"/>
          <w:sz w:val="24"/>
          <w:szCs w:val="24"/>
          <w14:ligatures w14:val="none"/>
        </w:rPr>
        <w:t>Oobius agrili</w:t>
      </w:r>
      <w:r w:rsidRPr="00AD5414">
        <w:rPr>
          <w:rFonts w:eastAsia="Calibri"/>
          <w:kern w:val="0"/>
          <w:sz w:val="24"/>
          <w:szCs w:val="24"/>
          <w14:ligatures w14:val="none"/>
        </w:rPr>
        <w:t xml:space="preserve">, averages 0.95 mm long </w:t>
      </w:r>
      <w:r w:rsidRPr="00AD5414">
        <w:rPr>
          <w:rFonts w:eastAsia="Calibri"/>
          <w:kern w:val="0"/>
          <w:sz w:val="24"/>
          <w:szCs w:val="24"/>
          <w14:ligatures w14:val="none"/>
        </w:rPr>
        <w:fldChar w:fldCharType="begin"/>
      </w:r>
      <w:r w:rsidR="008121D7">
        <w:rPr>
          <w:rFonts w:eastAsia="Calibri"/>
          <w:kern w:val="0"/>
          <w:sz w:val="24"/>
          <w:szCs w:val="24"/>
          <w14:ligatures w14:val="none"/>
        </w:rPr>
        <w:instrText xml:space="preserve"> ADDIN ZOTERO_ITEM CSL_CITATION {"citationID":"1l3GKMeS","properties":{"formattedCitation":"(Zhang et al. 2005)","plainCitation":"(Zhang et al. 2005)","noteIndex":0},"citationItems":[{"id":1074,"uris":["http://zotero.org/groups/5270502/items/EV7R8GTY"],"itemData":{"id":1074,"type":"article-journal","container-title":"Phytoparasitica","DOI":"10.1007/BF02979863","ISSN":"0334-2123, 1876-7184","issue":"3","journalAbbreviation":"Phytoparasitica","language":"en","license":"http://www.springer.com/tdm","page":"253-260","source":"DOI.org (Crossref)","title":"Two new species of egg parasitoids (Hymenoptera: Encyrtidae) of wood-boring beetle pests from China","title-short":"Two new species of egg parasitoids (hymenoptera","volume":"33","author":[{"family":"Zhang","given":"Yan-Zhou"},{"family":"Huang","given":"Da-Wei"},{"family":"Zho","given":"Tong-Hai"},{"family":"Liu","given":"Hou-Ping"},{"family":"Bauer","given":"Leah S."}],"issued":{"date-parts":[["2005",6]]}}}],"schema":"https://github.com/citation-style-language/schema/raw/master/csl-citation.json"}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(Zhang et al. 2005)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 0.3 mm mesh size was sufficient to collect all three parasitoid species. Paint filters were cooled on ice within 30 minutes and frozen within 24 hours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{"citationID":"e4VrFEed","properties":{"formattedCitation":"(USDA\\uc0\\u8211{}APHIS/ARS/FS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(USDA–APHIS/ARS/FS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To sort trap contents, a paint filter was placed into a petri dish and 70% isopropanol in distilled water was added. The introduced biological control agents of EAB were identified using USDA guidelines </w:t>
      </w:r>
      <w:r w:rsidRPr="00AD5414">
        <w:rPr>
          <w:rFonts w:eastAsia="Calibri"/>
          <w:kern w:val="0"/>
          <w:sz w:val="24"/>
          <w:szCs w:val="24"/>
          <w14:ligatures w14:val="none"/>
        </w:rPr>
        <w:lastRenderedPageBreak/>
        <w:fldChar w:fldCharType="begin"/>
      </w:r>
      <w:r w:rsidRPr="00AD5414">
        <w:rPr>
          <w:rFonts w:eastAsia="Calibri"/>
          <w:kern w:val="0"/>
          <w:sz w:val="24"/>
          <w:szCs w:val="24"/>
          <w14:ligatures w14:val="none"/>
        </w:rPr>
        <w:instrText xml:space="preserve"> ADDIN ZOTERO_ITEM CSL_CITATION {"citationID":"l68p2kuG","properties":{"formattedCitation":"(USDA\\uc0\\u8211{}APHIS/ARS/FS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(USDA–APHIS/ARS/FS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and determinations were verified (Toby Petrice, personal communication). </w:t>
      </w:r>
    </w:p>
    <w:p w14:paraId="22919947" w14:textId="77777777" w:rsidR="00AD5414" w:rsidRPr="00AD5414" w:rsidRDefault="00AD5414" w:rsidP="00AD5414">
      <w:pPr>
        <w:spacing w:line="480" w:lineRule="auto"/>
        <w:rPr>
          <w:rFonts w:eastAsia="Calibri"/>
          <w:kern w:val="0"/>
          <w:sz w:val="24"/>
          <w:szCs w:val="24"/>
          <w:u w:val="single"/>
          <w14:ligatures w14:val="none"/>
        </w:rPr>
      </w:pPr>
    </w:p>
    <w:p w14:paraId="46B207EB"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Vegetation survey in hydric transects</w:t>
      </w:r>
    </w:p>
    <w:p w14:paraId="36E69505" w14:textId="2A425F94"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In 2025, non-ash canopy trees (≥12.5 cm DBH) and understory trees (2.5-12.5 cm DBH) were characterized in the 18 m radius main plot and the 8 m radius subplot, respectively, to investigate plant composition in hydric </w:t>
      </w:r>
      <w:r w:rsidR="00151870">
        <w:rPr>
          <w:rFonts w:eastAsia="Calibri"/>
          <w:kern w:val="0"/>
          <w:sz w:val="24"/>
          <w:szCs w:val="24"/>
          <w14:ligatures w14:val="none"/>
        </w:rPr>
        <w:t>forests</w:t>
      </w:r>
      <w:r w:rsidR="001C1042">
        <w:rPr>
          <w:rFonts w:eastAsia="Calibri"/>
          <w:kern w:val="0"/>
          <w:sz w:val="24"/>
          <w:szCs w:val="24"/>
          <w14:ligatures w14:val="none"/>
        </w:rPr>
        <w:t xml:space="preserve"> following the loss of ash. </w:t>
      </w:r>
      <w:r w:rsidR="00710A9A">
        <w:rPr>
          <w:rFonts w:eastAsia="Calibri"/>
          <w:kern w:val="0"/>
          <w:sz w:val="24"/>
          <w:szCs w:val="24"/>
          <w14:ligatures w14:val="none"/>
        </w:rPr>
        <w:t>All trees within hydric</w:t>
      </w:r>
      <w:r w:rsidR="007D38BC">
        <w:rPr>
          <w:rFonts w:eastAsia="Calibri"/>
          <w:kern w:val="0"/>
          <w:sz w:val="24"/>
          <w:szCs w:val="24"/>
          <w14:ligatures w14:val="none"/>
        </w:rPr>
        <w:t xml:space="preserve"> plots</w:t>
      </w:r>
      <w:r w:rsidR="00710A9A">
        <w:rPr>
          <w:rFonts w:eastAsia="Calibri"/>
          <w:kern w:val="0"/>
          <w:sz w:val="24"/>
          <w:szCs w:val="24"/>
          <w14:ligatures w14:val="none"/>
        </w:rPr>
        <w:t xml:space="preserve"> </w:t>
      </w:r>
      <w:r w:rsidRPr="00AD5414">
        <w:rPr>
          <w:rFonts w:eastAsia="Calibri"/>
          <w:kern w:val="0"/>
          <w:sz w:val="24"/>
          <w:szCs w:val="24"/>
          <w14:ligatures w14:val="none"/>
        </w:rPr>
        <w:t xml:space="preserve">were identified to species if possible and rated as living or dead (dead trees could still have living epicormic sprouts). Trees that </w:t>
      </w:r>
      <w:proofErr w:type="gramStart"/>
      <w:r w:rsidRPr="00AD5414">
        <w:rPr>
          <w:rFonts w:eastAsia="Calibri"/>
          <w:kern w:val="0"/>
          <w:sz w:val="24"/>
          <w:szCs w:val="24"/>
          <w14:ligatures w14:val="none"/>
        </w:rPr>
        <w:t>divided</w:t>
      </w:r>
      <w:proofErr w:type="gramEnd"/>
      <w:r w:rsidRPr="00AD5414">
        <w:rPr>
          <w:rFonts w:eastAsia="Calibri"/>
          <w:kern w:val="0"/>
          <w:sz w:val="24"/>
          <w:szCs w:val="24"/>
          <w14:ligatures w14:val="none"/>
        </w:rPr>
        <w:t xml:space="preserve"> into two or more branches below breast height (137 cm) were considered as the same tree and were counted if their sum of diameters was greater than the threshold (i.e., 12.5 cm for the main plot or 2.5 cm for the subplot). Stems </w:t>
      </w:r>
      <w:r w:rsidR="00BD73C7">
        <w:rPr>
          <w:rFonts w:eastAsia="Calibri"/>
          <w:kern w:val="0"/>
          <w:sz w:val="24"/>
          <w:szCs w:val="24"/>
          <w14:ligatures w14:val="none"/>
        </w:rPr>
        <w:t>were considered as separate trees</w:t>
      </w:r>
      <w:r w:rsidR="00A025B7">
        <w:rPr>
          <w:rFonts w:eastAsia="Calibri"/>
          <w:kern w:val="0"/>
          <w:sz w:val="24"/>
          <w:szCs w:val="24"/>
          <w14:ligatures w14:val="none"/>
        </w:rPr>
        <w:t xml:space="preserve"> if they remained separate </w:t>
      </w:r>
      <w:r w:rsidR="008D2B5E">
        <w:rPr>
          <w:rFonts w:eastAsia="Calibri"/>
          <w:kern w:val="0"/>
          <w:sz w:val="24"/>
          <w:szCs w:val="24"/>
          <w14:ligatures w14:val="none"/>
        </w:rPr>
        <w:t>down to</w:t>
      </w:r>
      <w:r w:rsidR="00A025B7">
        <w:rPr>
          <w:rFonts w:eastAsia="Calibri"/>
          <w:kern w:val="0"/>
          <w:sz w:val="24"/>
          <w:szCs w:val="24"/>
          <w14:ligatures w14:val="none"/>
        </w:rPr>
        <w:t xml:space="preserve"> ground level, even if they </w:t>
      </w:r>
      <w:r w:rsidR="008D2B5E">
        <w:rPr>
          <w:rFonts w:eastAsia="Calibri"/>
          <w:kern w:val="0"/>
          <w:sz w:val="24"/>
          <w:szCs w:val="24"/>
          <w14:ligatures w14:val="none"/>
        </w:rPr>
        <w:t>likely connected belowground</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{"citationID":"b8ys6tz2","properties":{"formattedCitation":"(Abella et al. 2019)","plainCitation":"(Abella et al. 2019)","noteIndex":0},"citationItems":[{"id":1207,"uris":["http://zotero.org/groups/5270502/items/F4ZKLJC8"],"itemData":{"id":1207,"type":"article-journal","container-title":"Biological Invasions","DOI":"10.1007/s10530-019-02080-z","ISSN":"1387-3547, 1573-1464","issue":"12","journalAbbreviation":"Biol Invasions","language":"en","page":"3685-3696","source":"DOI.org (Crossref)","title":"Fourteen years of swamp forest change from the onset, during, and after invasion of emerald ash borer","volume":"21","author":[{"family":"Abella","given":"Scott R."},{"family":"Hausman","given":"Constance E."},{"family":"Jaeger","given":"John F."},{"family":"Menard","given":"Karen S."},{"family":"Schetter","given":"Timothy A."},{"family":"Rocha","given":"Oscar J."}],"issued":{"date-parts":[["2019",12]]}}}],"schema":"https://github.com/citation-style-language/schema/raw/master/csl-citation.json"}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(Abella et al. 2019)</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46EFA1B4" w14:textId="77777777" w:rsidR="00AD5414" w:rsidRPr="00AD5414" w:rsidRDefault="00AD5414" w:rsidP="00AD5414">
      <w:pPr>
        <w:spacing w:line="480" w:lineRule="auto"/>
        <w:ind w:firstLine="720"/>
        <w:rPr>
          <w:rFonts w:eastAsia="Calibri"/>
          <w:kern w:val="0"/>
          <w:sz w:val="24"/>
          <w:szCs w:val="24"/>
          <w14:ligatures w14:val="none"/>
        </w:rPr>
      </w:pPr>
      <w:r w:rsidRPr="00AD5414">
        <w:rPr>
          <w:rFonts w:eastAsia="Calibri"/>
          <w:kern w:val="0"/>
          <w:sz w:val="24"/>
          <w:szCs w:val="24"/>
          <w14:ligatures w14:val="none"/>
        </w:rPr>
        <w:t>In addition to tree surveys, percentage cover was estimated for woody shrubs, graminoids (grasses, cattails, and sedges), skunk cabbage (</w:t>
      </w:r>
      <w:r w:rsidRPr="00AD5414">
        <w:rPr>
          <w:rFonts w:eastAsia="Calibri"/>
          <w:i/>
          <w:iCs/>
          <w:kern w:val="0"/>
          <w:sz w:val="24"/>
          <w:szCs w:val="24"/>
          <w14:ligatures w14:val="none"/>
        </w:rPr>
        <w:t>Symplocarpus foetidus</w:t>
      </w:r>
      <w:r w:rsidRPr="00AD5414">
        <w:rPr>
          <w:rFonts w:eastAsia="Calibri"/>
          <w:kern w:val="0"/>
          <w:sz w:val="24"/>
          <w:szCs w:val="24"/>
          <w14:ligatures w14:val="none"/>
        </w:rPr>
        <w:t xml:space="preserve"> (L.) Salisb.), ferns, and standing water. The percentage cover of the shrubs poison sumac (</w:t>
      </w:r>
      <w:r w:rsidRPr="00AD5414">
        <w:rPr>
          <w:rFonts w:eastAsia="Calibri"/>
          <w:i/>
          <w:iCs/>
          <w:kern w:val="0"/>
          <w:sz w:val="24"/>
          <w:szCs w:val="24"/>
          <w14:ligatures w14:val="none"/>
        </w:rPr>
        <w:t xml:space="preserve">Toxicodendron vernix </w:t>
      </w:r>
      <w:r w:rsidRPr="00AD5414">
        <w:rPr>
          <w:rFonts w:eastAsia="Calibri"/>
          <w:kern w:val="0"/>
          <w:sz w:val="24"/>
          <w:szCs w:val="24"/>
          <w14:ligatures w14:val="none"/>
        </w:rPr>
        <w:t>(L.) Kuntze), spicebush (</w:t>
      </w:r>
      <w:r w:rsidRPr="00AD5414">
        <w:rPr>
          <w:rFonts w:eastAsia="Calibri"/>
          <w:i/>
          <w:iCs/>
          <w:kern w:val="0"/>
          <w:sz w:val="24"/>
          <w:szCs w:val="24"/>
          <w14:ligatures w14:val="none"/>
        </w:rPr>
        <w:t xml:space="preserve">Lindera benzoin </w:t>
      </w:r>
      <w:r w:rsidRPr="00AD5414">
        <w:rPr>
          <w:rFonts w:eastAsia="Calibri"/>
          <w:kern w:val="0"/>
          <w:sz w:val="24"/>
          <w:szCs w:val="24"/>
          <w14:ligatures w14:val="none"/>
        </w:rPr>
        <w:t>L.), winterberry (</w:t>
      </w:r>
      <w:r w:rsidRPr="00AD5414">
        <w:rPr>
          <w:rFonts w:eastAsia="Calibri"/>
          <w:i/>
          <w:iCs/>
          <w:kern w:val="0"/>
          <w:sz w:val="24"/>
          <w:szCs w:val="24"/>
          <w14:ligatures w14:val="none"/>
        </w:rPr>
        <w:t xml:space="preserve">Ilex verticillata </w:t>
      </w:r>
      <w:r w:rsidRPr="00AD5414">
        <w:rPr>
          <w:rFonts w:eastAsia="Calibri"/>
          <w:kern w:val="0"/>
          <w:sz w:val="24"/>
          <w:szCs w:val="24"/>
          <w14:ligatures w14:val="none"/>
        </w:rPr>
        <w:t>(L.) A.Gray), and glossy buckthorn (</w:t>
      </w:r>
      <w:r w:rsidRPr="00AD5414">
        <w:rPr>
          <w:rFonts w:eastAsia="Calibri"/>
          <w:i/>
          <w:iCs/>
          <w:kern w:val="0"/>
          <w:sz w:val="24"/>
          <w:szCs w:val="24"/>
          <w14:ligatures w14:val="none"/>
        </w:rPr>
        <w:t xml:space="preserve">Frangula alnus </w:t>
      </w:r>
      <w:r w:rsidRPr="00AD5414">
        <w:rPr>
          <w:rFonts w:eastAsia="Calibri"/>
          <w:kern w:val="0"/>
          <w:sz w:val="24"/>
          <w:szCs w:val="24"/>
          <w14:ligatures w14:val="none"/>
        </w:rPr>
        <w:t>Mill.) were scored individually. Percentage cover was visually estimated for each of these categories by standing at 8 m in the NE, SE, SW, and NW quadrants of the 18 m radius plot. The four estimates for each cover type were averaged for a plot-level estimate.</w:t>
      </w:r>
    </w:p>
    <w:p w14:paraId="721B5BC4" w14:textId="77777777" w:rsidR="00AD5414" w:rsidRPr="00AD5414" w:rsidRDefault="00AD5414" w:rsidP="00AD5414">
      <w:pPr>
        <w:spacing w:line="480" w:lineRule="auto"/>
        <w:rPr>
          <w:rFonts w:eastAsia="Calibri"/>
          <w:kern w:val="0"/>
          <w:sz w:val="24"/>
          <w:szCs w:val="24"/>
          <w:u w:val="single"/>
          <w14:ligatures w14:val="none"/>
        </w:rPr>
      </w:pPr>
    </w:p>
    <w:p w14:paraId="1E9C6531"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Statistical analysis</w:t>
      </w:r>
    </w:p>
    <w:p w14:paraId="47ED23FA" w14:textId="15534AB7" w:rsidR="00AD5414" w:rsidRPr="00AD5414" w:rsidRDefault="007D36A7" w:rsidP="00874BA5">
      <w:pPr>
        <w:spacing w:line="480" w:lineRule="auto"/>
        <w:ind w:firstLine="720"/>
        <w:rPr>
          <w:rFonts w:eastAsia="Calibri"/>
          <w:kern w:val="0"/>
          <w:sz w:val="24"/>
          <w:szCs w:val="24"/>
          <w14:ligatures w14:val="none"/>
        </w:rPr>
      </w:pPr>
      <w:r>
        <w:rPr>
          <w:rFonts w:eastAsia="Calibri"/>
          <w:kern w:val="0"/>
          <w:sz w:val="24"/>
          <w:szCs w:val="24"/>
          <w14:ligatures w14:val="none"/>
        </w:rPr>
        <w:lastRenderedPageBreak/>
        <w:t>For the first objective, the unit of replication was the transect, and c</w:t>
      </w:r>
      <w:r w:rsidR="00AD5414" w:rsidRPr="00AD5414">
        <w:rPr>
          <w:rFonts w:eastAsia="Calibri"/>
          <w:kern w:val="0"/>
          <w:sz w:val="24"/>
          <w:szCs w:val="24"/>
          <w14:ligatures w14:val="none"/>
        </w:rPr>
        <w:t xml:space="preserve">ounts of ash canopy and understory trees, ash saplings, and ash seedlings were each summed across the three plots in a transect. Densities were calculated in units of </w:t>
      </w:r>
      <w:proofErr w:type="gramStart"/>
      <w:r w:rsidR="00AD5414" w:rsidRPr="00AD5414">
        <w:rPr>
          <w:rFonts w:eastAsia="Calibri"/>
          <w:kern w:val="0"/>
          <w:sz w:val="24"/>
          <w:szCs w:val="24"/>
          <w14:ligatures w14:val="none"/>
        </w:rPr>
        <w:t>stems</w:t>
      </w:r>
      <w:proofErr w:type="gramEnd"/>
      <w:r w:rsidR="00AD5414" w:rsidRPr="00AD5414">
        <w:rPr>
          <w:rFonts w:eastAsia="Calibri"/>
          <w:kern w:val="0"/>
          <w:sz w:val="24"/>
          <w:szCs w:val="24"/>
          <w14:ligatures w14:val="none"/>
        </w:rPr>
        <w:t xml:space="preserve"> per hectare. For canopy and understory trees, density of standing dead trees (canopy condition = 5) was calculated separately from density of living trees (canopy condition &lt; 5). Basal area was calculated for living canopy and understory trees using the formula Σ(π*(d/2)</w:t>
      </w:r>
      <w:r w:rsidR="00AD5414" w:rsidRPr="00AD5414">
        <w:rPr>
          <w:rFonts w:eastAsia="Calibri"/>
          <w:kern w:val="0"/>
          <w:sz w:val="24"/>
          <w:szCs w:val="24"/>
          <w:vertAlign w:val="superscript"/>
          <w14:ligatures w14:val="none"/>
        </w:rPr>
        <w:t>2</w:t>
      </w:r>
      <w:r w:rsidR="00AD5414" w:rsidRPr="00AD5414">
        <w:rPr>
          <w:rFonts w:eastAsia="Calibri"/>
          <w:kern w:val="0"/>
          <w:sz w:val="24"/>
          <w:szCs w:val="24"/>
          <w14:ligatures w14:val="none"/>
        </w:rPr>
        <w:t xml:space="preserve">), where d is the DBH of each individual tree stem </w:t>
      </w:r>
      <w:r w:rsidR="00AD5414" w:rsidRPr="00AD5414">
        <w:rPr>
          <w:rFonts w:eastAsia="Calibri"/>
          <w:kern w:val="0"/>
          <w:sz w:val="24"/>
          <w:szCs w:val="24"/>
          <w14:ligatures w14:val="none"/>
        </w:rPr>
        <w:fldChar w:fldCharType="begin"/>
      </w:r>
      <w:r w:rsidR="00787B59">
        <w:rPr>
          <w:rFonts w:eastAsia="Calibri"/>
          <w:kern w:val="0"/>
          <w:sz w:val="24"/>
          <w:szCs w:val="24"/>
          <w14:ligatures w14:val="none"/>
        </w:rPr>
        <w:instrText xml:space="preserve"> ADDIN ZOTERO_ITEM CSL_CITATION {"citationID":"5njKHU32","properties":{"formattedCitation":"(Hoven et al. 2020)","plainCitation":"(Hoven et al. 2020)","noteIndex":0},"citationItems":[{"id":709,"uris":["http://zotero.org/groups/5270502/items/7E4CKTXS"],"itemData":{"id":709,"type":"article-journal","container-title":"Annals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(&lt;i&gt;Agrilus planipennis&lt;/i&gt;)-caused ash death","title-short":"Release and suppression","volume":"77","author":[{"family":"Hoven","given":"Brian M."},{"family":"Knight","given":"Kathleen S."},{"family":"Peters","given":"Valerie E."},{"family":"Gorchov","given":"David L."}],"issued":{"date-parts":[["2020",3]]}}}],"schema":"https://github.com/citation-style-language/schema/raw/master/csl-citation.json"} </w:instrText>
      </w:r>
      <w:r w:rsidR="00AD5414" w:rsidRPr="00AD5414">
        <w:rPr>
          <w:rFonts w:eastAsia="Calibri"/>
          <w:kern w:val="0"/>
          <w:sz w:val="24"/>
          <w:szCs w:val="24"/>
          <w14:ligatures w14:val="none"/>
        </w:rPr>
        <w:fldChar w:fldCharType="separate"/>
      </w:r>
      <w:r w:rsidR="00AD5414" w:rsidRPr="00AD5414">
        <w:rPr>
          <w:rFonts w:eastAsia="Calibri"/>
          <w:kern w:val="0"/>
          <w:sz w:val="24"/>
          <w:szCs w:val="24"/>
          <w14:ligatures w14:val="none"/>
        </w:rPr>
        <w:t>(Hoven et al. 2020)</w:t>
      </w:r>
      <w:r w:rsidR="00AD5414" w:rsidRPr="00AD5414">
        <w:rPr>
          <w:rFonts w:eastAsia="Calibri"/>
          <w:kern w:val="0"/>
          <w:sz w:val="24"/>
          <w:szCs w:val="24"/>
          <w14:ligatures w14:val="none"/>
        </w:rPr>
        <w:fldChar w:fldCharType="end"/>
      </w:r>
      <w:r w:rsidR="00AD5414" w:rsidRPr="00AD5414">
        <w:rPr>
          <w:rFonts w:eastAsia="Calibri"/>
          <w:kern w:val="0"/>
          <w:sz w:val="24"/>
          <w:szCs w:val="24"/>
          <w14:ligatures w14:val="none"/>
        </w:rPr>
        <w:t xml:space="preserve">. Multiple stems of a single tree were considered individually for basal area calculations but were considered as the same tree for tree counts. </w:t>
      </w:r>
    </w:p>
    <w:p w14:paraId="6F8A1AD7" w14:textId="6E0A705F"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To test for differences in ash populations among hydrological classes, we used generalized linear mixed-effects models (GLMMs). The response variables were number of short ash seedlings (count), number of tall ash seedlings (count), mean percentage cover of ash seedlings (continuous), number of ash saplings (count), and number of living understory ash trees (count). Due to a low number of observations, the number of canopy ash (≥10 cm DBH) was not tested statistically. A separate model was created for each response variable. Hydrological class (xeric, mesic, or hydric) was treated as the fixed effect predictor and park was included as a random intercept. For each count response variable, a Poisson GLMM with a log link function was implemented using the package ‘lme4’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{"citationID":"t0F9C2PC","properties":{"formattedCitation":"(Bates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(Bates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in 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{"citationID":"ZyftvXsB","properties":{"formattedCitation":"(R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 Core Team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 package ‘DHARMa’ was used to determine if the observed data was adequately modelled by the GLMM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{"citationID":"nfCQN4vf","properties":{"formattedCitation":"(Hartig 2024)","plainCitation":"(Hartig 2024)","noteIndex":0},"citationItems":[{"id":1119,"uris":["http://zotero.org/users/6631577/items/KABCVWLN"],"itemData":{"id":1119,"type":"software","genre":"R","title":"DHARMa: Residual Diagnostics for Hierarchical (Multi-Level / Mixed) Regression Models","URL":"https://CRAN.R-project.org/package=DHARMa","version":"0.4.7","author":[{"family":"Hartig","given":"Florian"}],"issued":{"date-parts":[["2024"]]}}}],"schema":"https://github.com/citation-style-language/schema/raw/master/csl-citation.json"}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(Hartig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If residuals were determined to be overdispersed, a negative binomial error structure was implemented using the ‘lme4’ </w:t>
      </w:r>
      <w:r w:rsidRPr="00AD5414">
        <w:rPr>
          <w:rFonts w:eastAsia="Calibri"/>
          <w:kern w:val="0"/>
          <w:sz w:val="24"/>
          <w:szCs w:val="24"/>
          <w14:ligatures w14:val="none"/>
        </w:rPr>
        <w:fldChar w:fldCharType="begin"/>
      </w:r>
      <w:r w:rsidR="001C417D">
        <w:rPr>
          <w:rFonts w:eastAsia="Calibri"/>
          <w:kern w:val="0"/>
          <w:sz w:val="24"/>
          <w:szCs w:val="24"/>
          <w14:ligatures w14:val="none"/>
        </w:rPr>
        <w:instrText xml:space="preserve"> ADDIN ZOTERO_ITEM CSL_CITATION {"citationID":"dsXUe8p6","properties":{"formattedCitation":"(Bates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(Bates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and ‘MASS’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{"citationID":"ZhgKAGlT","properties":{"formattedCitation":"(Venables et al. 2002)","plainCitation":"(Venables et al. 2002)","noteIndex":0},"citationItems":[{"id":1120,"uris":["http://zotero.org/users/6631577/items/4PI7JUZN"],"itemData":{"id":1120,"type":"book","call-number":"QA276.4 .V46 2002","collection-title":"Statistics and computing","edition":"4th ed","event-place":"New York","ISBN":"978-0-387-95457-8","note":"OCLC: ocm49312402","number-of-pages":"495","publisher":"Springer","publisher-place":"New York","source":"Library of Congress ISBN","title":"Modern applied statistics with S","author":[{"family":"Venables","given":"W. N."},{"family":"Ripley","given":"Brian D."},{"family":"Venables","given":"W. N."}],"issued":{"date-parts":[["2002"]]}}}],"schema":"https://github.com/citation-style-language/schema/raw/master/csl-citation.json"}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(Venables et al. 2002)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packages in R. The residuals of the negative binomial GLMM were similarly examined to verify model fit. Furthermore, the Akaike Information Criterion (AIC) was compared between </w:t>
      </w:r>
      <w:proofErr w:type="gramStart"/>
      <w:r w:rsidRPr="00AD5414">
        <w:rPr>
          <w:rFonts w:eastAsia="Calibri"/>
          <w:kern w:val="0"/>
          <w:sz w:val="24"/>
          <w:szCs w:val="24"/>
          <w14:ligatures w14:val="none"/>
        </w:rPr>
        <w:t>the Poisson</w:t>
      </w:r>
      <w:proofErr w:type="gramEnd"/>
      <w:r w:rsidRPr="00AD5414">
        <w:rPr>
          <w:rFonts w:eastAsia="Calibri"/>
          <w:kern w:val="0"/>
          <w:sz w:val="24"/>
          <w:szCs w:val="24"/>
          <w14:ligatures w14:val="none"/>
        </w:rPr>
        <w:t xml:space="preserve"> and negative binomial models to verify improvement </w:t>
      </w:r>
      <w:r w:rsidRPr="00AD5414">
        <w:rPr>
          <w:rFonts w:eastAsia="Calibri"/>
          <w:kern w:val="0"/>
          <w:sz w:val="24"/>
          <w:szCs w:val="24"/>
          <w14:ligatures w14:val="none"/>
        </w:rPr>
        <w:lastRenderedPageBreak/>
        <w:t xml:space="preserve">in </w:t>
      </w:r>
      <w:proofErr w:type="gramStart"/>
      <w:r w:rsidRPr="00AD5414">
        <w:rPr>
          <w:rFonts w:eastAsia="Calibri"/>
          <w:kern w:val="0"/>
          <w:sz w:val="24"/>
          <w:szCs w:val="24"/>
          <w14:ligatures w14:val="none"/>
        </w:rPr>
        <w:t>fit</w:t>
      </w:r>
      <w:proofErr w:type="gramEnd"/>
      <w:r w:rsidRPr="00AD5414">
        <w:rPr>
          <w:rFonts w:eastAsia="Calibri"/>
          <w:kern w:val="0"/>
          <w:sz w:val="24"/>
          <w:szCs w:val="24"/>
          <w14:ligatures w14:val="none"/>
        </w:rPr>
        <w:t xml:space="preserve">. The models for number of saplings and number of understory trees were singular fits, so the random </w:t>
      </w:r>
      <w:proofErr w:type="gramStart"/>
      <w:r w:rsidRPr="00AD5414">
        <w:rPr>
          <w:rFonts w:eastAsia="Calibri"/>
          <w:kern w:val="0"/>
          <w:sz w:val="24"/>
          <w:szCs w:val="24"/>
          <w14:ligatures w14:val="none"/>
        </w:rPr>
        <w:t>intercept term</w:t>
      </w:r>
      <w:proofErr w:type="gramEnd"/>
      <w:r w:rsidRPr="00AD5414">
        <w:rPr>
          <w:rFonts w:eastAsia="Calibri"/>
          <w:kern w:val="0"/>
          <w:sz w:val="24"/>
          <w:szCs w:val="24"/>
          <w14:ligatures w14:val="none"/>
        </w:rPr>
        <w:t xml:space="preserve"> for park was dropped. For the mean percentage cover of ash seedlings, a linear mixed effects model with normally distributed residuals was used. The mean percentage cover was transformed using the function f(x)=ln(x+1) to satisfy the assumption of homogeneity of variances. For all models, the </w:t>
      </w:r>
      <w:r w:rsidR="00CC1A79">
        <w:rPr>
          <w:rFonts w:eastAsia="Calibri"/>
          <w:kern w:val="0"/>
          <w:sz w:val="24"/>
          <w:szCs w:val="24"/>
          <w14:ligatures w14:val="none"/>
        </w:rPr>
        <w:t>‘</w:t>
      </w:r>
      <w:r w:rsidRPr="00AD5414">
        <w:rPr>
          <w:rFonts w:eastAsia="Calibri"/>
          <w:kern w:val="0"/>
          <w:sz w:val="24"/>
          <w:szCs w:val="24"/>
          <w14:ligatures w14:val="none"/>
        </w:rPr>
        <w:t>Anova</w:t>
      </w:r>
      <w:r w:rsidR="00CC1A79">
        <w:rPr>
          <w:rFonts w:eastAsia="Calibri"/>
          <w:kern w:val="0"/>
          <w:sz w:val="24"/>
          <w:szCs w:val="24"/>
          <w14:ligatures w14:val="none"/>
        </w:rPr>
        <w:t>’</w:t>
      </w:r>
      <w:r w:rsidRPr="00AD5414">
        <w:rPr>
          <w:rFonts w:eastAsia="Calibri"/>
          <w:kern w:val="0"/>
          <w:sz w:val="24"/>
          <w:szCs w:val="24"/>
          <w14:ligatures w14:val="none"/>
        </w:rPr>
        <w:t xml:space="preserve"> function in the R package </w:t>
      </w:r>
      <w:r w:rsidR="00CC1A79">
        <w:rPr>
          <w:rFonts w:eastAsia="Calibri"/>
          <w:kern w:val="0"/>
          <w:sz w:val="24"/>
          <w:szCs w:val="24"/>
          <w14:ligatures w14:val="none"/>
        </w:rPr>
        <w:t>‘</w:t>
      </w:r>
      <w:r w:rsidRPr="00AD5414">
        <w:rPr>
          <w:rFonts w:eastAsia="Calibri"/>
          <w:kern w:val="0"/>
          <w:sz w:val="24"/>
          <w:szCs w:val="24"/>
          <w14:ligatures w14:val="none"/>
        </w:rPr>
        <w:t>car</w:t>
      </w:r>
      <w:r w:rsidR="00CC1A79">
        <w:rPr>
          <w:rFonts w:eastAsia="Calibri"/>
          <w:kern w:val="0"/>
          <w:sz w:val="24"/>
          <w:szCs w:val="24"/>
          <w14:ligatures w14:val="none"/>
        </w:rPr>
        <w:t>’</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{"citationID":"WyBhr1Ht","properties":{"formattedCitation":"(Fox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(Fox and Weisberg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was used to test for overall differences among hydrological classes, and Tukey contrasts were calculated using the R package ‘emmeans’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{"citationID":"jIP3mKBO","properties":{"formattedCitation":"(Lenth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(Lenth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
    <w:p w14:paraId="627C5D8C" w14:textId="6D23E675" w:rsidR="00AD5414" w:rsidRPr="00AD5414" w:rsidRDefault="00AD5414" w:rsidP="0005483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To test the hypothesis that ash tree diameter would be positively correlated with signs and symptoms of EAB attack, generalized linear mixed-effects models with binomial error structure and logit link functions were implemented using the package ‘lme4’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{"citationID":"w9fwDno5","properties":{"formattedCitation":"(Bates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(Bates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 binary (y/n) response variables tested were woodpecker predation marks, bark splitting, epicormic sprouts, basal sprouts, ash tree decline, and ash tree death. The fixed effect predictor variable was </w:t>
      </w:r>
      <w:proofErr w:type="gramStart"/>
      <w:r w:rsidRPr="00AD5414">
        <w:rPr>
          <w:rFonts w:eastAsia="Calibri"/>
          <w:kern w:val="0"/>
          <w:sz w:val="24"/>
          <w:szCs w:val="24"/>
          <w14:ligatures w14:val="none"/>
        </w:rPr>
        <w:t>tree</w:t>
      </w:r>
      <w:proofErr w:type="gramEnd"/>
      <w:r w:rsidRPr="00AD5414">
        <w:rPr>
          <w:rFonts w:eastAsia="Calibri"/>
          <w:kern w:val="0"/>
          <w:sz w:val="24"/>
          <w:szCs w:val="24"/>
          <w14:ligatures w14:val="none"/>
        </w:rPr>
        <w:t xml:space="preserve"> DBH. Plot was included as a random intercept to account for non-independence of trees in a plot. A Z-test was used to test the null hypothesis of no relationship between DBH and the EAB </w:t>
      </w:r>
      <w:proofErr w:type="gramStart"/>
      <w:r w:rsidRPr="00AD5414">
        <w:rPr>
          <w:rFonts w:eastAsia="Calibri"/>
          <w:kern w:val="0"/>
          <w:sz w:val="24"/>
          <w:szCs w:val="24"/>
          <w14:ligatures w14:val="none"/>
        </w:rPr>
        <w:t>symptom</w:t>
      </w:r>
      <w:proofErr w:type="gramEnd"/>
      <w:r w:rsidRPr="00AD5414">
        <w:rPr>
          <w:rFonts w:eastAsia="Calibri"/>
          <w:kern w:val="0"/>
          <w:sz w:val="24"/>
          <w:szCs w:val="24"/>
          <w14:ligatures w14:val="none"/>
        </w:rPr>
        <w:t>. For our analysis, understory and overstory ash trees were pooled, and any tree was excluded if it belonged to a plot where less than 10 trees were foun</w:t>
      </w:r>
      <w:r w:rsidR="009A7FD0">
        <w:rPr>
          <w:rFonts w:eastAsia="Calibri"/>
          <w:kern w:val="0"/>
          <w:sz w:val="24"/>
          <w:szCs w:val="24"/>
          <w14:ligatures w14:val="none"/>
        </w:rPr>
        <w:t>d,</w:t>
      </w:r>
      <w:r w:rsidRPr="00AD5414">
        <w:rPr>
          <w:rFonts w:eastAsia="Calibri"/>
          <w:kern w:val="0"/>
          <w:sz w:val="24"/>
          <w:szCs w:val="24"/>
          <w14:ligatures w14:val="none"/>
        </w:rPr>
        <w:t xml:space="preserve"> which yielded a sample size of 283 trees. </w:t>
      </w:r>
      <w:r w:rsidR="008B6515">
        <w:rPr>
          <w:rFonts w:eastAsia="Calibri"/>
          <w:kern w:val="0"/>
          <w:sz w:val="24"/>
          <w:szCs w:val="24"/>
          <w14:ligatures w14:val="none"/>
        </w:rPr>
        <w:t xml:space="preserve">This was so that </w:t>
      </w:r>
      <w:r w:rsidR="00A83DBD">
        <w:rPr>
          <w:rFonts w:eastAsia="Calibri"/>
          <w:kern w:val="0"/>
          <w:sz w:val="24"/>
          <w:szCs w:val="24"/>
          <w14:ligatures w14:val="none"/>
        </w:rPr>
        <w:t xml:space="preserve">we could account for </w:t>
      </w:r>
      <w:r w:rsidR="00F110B2">
        <w:rPr>
          <w:rFonts w:eastAsia="Calibri"/>
          <w:kern w:val="0"/>
          <w:sz w:val="24"/>
          <w:szCs w:val="24"/>
          <w14:ligatures w14:val="none"/>
        </w:rPr>
        <w:t xml:space="preserve">differences </w:t>
      </w:r>
      <w:r w:rsidR="001B32E5">
        <w:rPr>
          <w:rFonts w:eastAsia="Calibri"/>
          <w:kern w:val="0"/>
          <w:sz w:val="24"/>
          <w:szCs w:val="24"/>
          <w14:ligatures w14:val="none"/>
        </w:rPr>
        <w:t xml:space="preserve">in </w:t>
      </w:r>
      <w:r w:rsidR="006335DB">
        <w:rPr>
          <w:rFonts w:eastAsia="Calibri"/>
          <w:kern w:val="0"/>
          <w:sz w:val="24"/>
          <w:szCs w:val="24"/>
          <w14:ligatures w14:val="none"/>
        </w:rPr>
        <w:t xml:space="preserve">frequency of EAB symptoms based on </w:t>
      </w:r>
      <w:r w:rsidR="00085A8D">
        <w:rPr>
          <w:rFonts w:eastAsia="Calibri"/>
          <w:kern w:val="0"/>
          <w:sz w:val="24"/>
          <w:szCs w:val="24"/>
          <w14:ligatures w14:val="none"/>
        </w:rPr>
        <w:t xml:space="preserve">site conditions (which might vary by plot). </w:t>
      </w:r>
      <w:r w:rsidRPr="00AD5414">
        <w:rPr>
          <w:rFonts w:eastAsia="Calibri"/>
          <w:kern w:val="0"/>
          <w:sz w:val="24"/>
          <w:szCs w:val="24"/>
          <w14:ligatures w14:val="none"/>
        </w:rPr>
        <w:t>A cutoff of 5 trees in a plot was also tested and did not change the direction or significance of the results. To assess the accuracy of the models, trees were binned into increments of 1 cm diameter, and the proportion of trees in each bin showing the EAB symptom was calculated. A model was judged as a good fit if the model trendline passed through the proportions for each bin.</w:t>
      </w:r>
    </w:p>
    <w:p w14:paraId="581DC0EA" w14:textId="0B75C8BD"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lastRenderedPageBreak/>
        <w:t xml:space="preserve">To understand differences in </w:t>
      </w:r>
      <w:r w:rsidR="00F23278">
        <w:rPr>
          <w:rFonts w:eastAsia="Calibri"/>
          <w:kern w:val="0"/>
          <w:sz w:val="24"/>
          <w:szCs w:val="24"/>
          <w14:ligatures w14:val="none"/>
        </w:rPr>
        <w:t xml:space="preserve">plant communities in hydric forests, we </w:t>
      </w:r>
      <w:r w:rsidR="0091710A">
        <w:rPr>
          <w:rFonts w:eastAsia="Calibri"/>
          <w:kern w:val="0"/>
          <w:sz w:val="24"/>
          <w:szCs w:val="24"/>
          <w14:ligatures w14:val="none"/>
        </w:rPr>
        <w:t>calculated</w:t>
      </w:r>
      <w:r w:rsidR="00B13856">
        <w:rPr>
          <w:rFonts w:eastAsia="Calibri"/>
          <w:kern w:val="0"/>
          <w:sz w:val="24"/>
          <w:szCs w:val="24"/>
          <w14:ligatures w14:val="none"/>
        </w:rPr>
        <w:t xml:space="preserve"> each plot separately</w:t>
      </w:r>
      <w:r w:rsidR="00A81EC5">
        <w:rPr>
          <w:rFonts w:eastAsia="Calibri"/>
          <w:kern w:val="0"/>
          <w:sz w:val="24"/>
          <w:szCs w:val="24"/>
          <w14:ligatures w14:val="none"/>
        </w:rPr>
        <w:t>, rather than combining plots into transects. This was because som</w:t>
      </w:r>
      <w:r w:rsidR="000D7E1E">
        <w:rPr>
          <w:rFonts w:eastAsia="Calibri"/>
          <w:kern w:val="0"/>
          <w:sz w:val="24"/>
          <w:szCs w:val="24"/>
          <w14:ligatures w14:val="none"/>
        </w:rPr>
        <w:t xml:space="preserve">e transects had variation between plots in </w:t>
      </w:r>
      <w:proofErr w:type="gramStart"/>
      <w:r w:rsidR="000D7E1E">
        <w:rPr>
          <w:rFonts w:eastAsia="Calibri"/>
          <w:kern w:val="0"/>
          <w:sz w:val="24"/>
          <w:szCs w:val="24"/>
          <w14:ligatures w14:val="none"/>
        </w:rPr>
        <w:t>tree</w:t>
      </w:r>
      <w:proofErr w:type="gramEnd"/>
      <w:r w:rsidR="000D7E1E">
        <w:rPr>
          <w:rFonts w:eastAsia="Calibri"/>
          <w:kern w:val="0"/>
          <w:sz w:val="24"/>
          <w:szCs w:val="24"/>
          <w14:ligatures w14:val="none"/>
        </w:rPr>
        <w:t xml:space="preserve"> species composition.</w:t>
      </w:r>
      <w:r w:rsidR="0091710A">
        <w:rPr>
          <w:rFonts w:eastAsia="Calibri"/>
          <w:kern w:val="0"/>
          <w:sz w:val="24"/>
          <w:szCs w:val="24"/>
          <w14:ligatures w14:val="none"/>
        </w:rPr>
        <w:t xml:space="preserve"> T</w:t>
      </w:r>
      <w:r w:rsidRPr="00AD5414">
        <w:rPr>
          <w:rFonts w:eastAsia="Calibri"/>
          <w:kern w:val="0"/>
          <w:sz w:val="24"/>
          <w:szCs w:val="24"/>
          <w14:ligatures w14:val="none"/>
        </w:rPr>
        <w:t>ree species composition was visually assessed using nonmetric multidimensional scaling (NMDS)</w:t>
      </w:r>
      <w:r w:rsidR="00415D45">
        <w:rPr>
          <w:rFonts w:eastAsia="Calibri"/>
          <w:kern w:val="0"/>
          <w:sz w:val="24"/>
          <w:szCs w:val="24"/>
          <w14:ligatures w14:val="none"/>
        </w:rPr>
        <w:t xml:space="preserve"> with the function ‘metaMDS’ in the ‘vegan’ package</w:t>
      </w:r>
      <w:r w:rsidR="0028471D">
        <w:rPr>
          <w:rFonts w:eastAsia="Calibri"/>
          <w:kern w:val="0"/>
          <w:sz w:val="24"/>
          <w:szCs w:val="24"/>
          <w14:ligatures w14:val="none"/>
        </w:rPr>
        <w:t xml:space="preserve"> </w:t>
      </w:r>
      <w:r w:rsidR="0028471D">
        <w:rPr>
          <w:rFonts w:eastAsia="Calibri"/>
          <w:kern w:val="0"/>
          <w:sz w:val="24"/>
          <w:szCs w:val="24"/>
          <w14:ligatures w14:val="none"/>
        </w:rPr>
        <w:fldChar w:fldCharType="begin"/>
      </w:r>
      <w:r w:rsidR="0028471D">
        <w:rPr>
          <w:rFonts w:eastAsia="Calibri"/>
          <w:kern w:val="0"/>
          <w:sz w:val="24"/>
          <w:szCs w:val="24"/>
          <w14:ligatures w14:val="none"/>
        </w:rPr>
        <w:instrText xml:space="preserve"> ADDIN ZOTERO_ITEM CSL_CITATION {"citationID":"Yquw8zg1","properties":{"formattedCitation":"(Oksanen et al. 2024)","plainCitation":"(Oksanen et al. 2024)","noteIndex":0},"citationItems":[{"id":1167,"uris":["http://zotero.org/users/6631577/items/ZXK2SLBL"],"itemData":{"id":1167,"type":"software","genre":"R","title":"_vegan: Community Ecology Package_","URL":"https://CRAN.R-project.org/package=vegan","version":"2.6-6.1","author":[{"family":"Oksanen","given":"J."},{"family":"Simpson","given":"G"},{"family":"Blanchet","given":"F."},{"literal":"Kindt R, Legendre P, Minchin P,"},{"literal":"O'Hara R, Solymos P, Stevens M, Szoecs E, Wagner H, Barbour M,"},{"literal":"Bedward M, Bolker B, Borcard D, Carvalho G, Chirico M, De Caceres"},{"literal":"M, Durand S, Evangelista H, FitzJohn R, Friendly M, Furneaux B,"},{"literal":"Hannigan G, Hill M, Lahti L, McGlinn D, Ouellette M, Ribeiro"},{"literal":"Cunha E, Smith T, Stier A, Ter Braak C, Weedon J"}],"issued":{"date-parts":[["2024"]]}}}],"schema":"https://github.com/citation-style-language/schema/raw/master/csl-citation.json"} </w:instrText>
      </w:r>
      <w:r w:rsidR="0028471D">
        <w:rPr>
          <w:rFonts w:eastAsia="Calibri"/>
          <w:kern w:val="0"/>
          <w:sz w:val="24"/>
          <w:szCs w:val="24"/>
          <w14:ligatures w14:val="none"/>
        </w:rPr>
        <w:fldChar w:fldCharType="separate"/>
      </w:r>
      <w:r w:rsidR="0028471D" w:rsidRPr="0028471D">
        <w:rPr>
          <w:sz w:val="24"/>
        </w:rPr>
        <w:t>(Oksanen et al. 2024)</w:t>
      </w:r>
      <w:r w:rsidR="0028471D">
        <w:rPr>
          <w:rFonts w:eastAsia="Calibri"/>
          <w:kern w:val="0"/>
          <w:sz w:val="24"/>
          <w:szCs w:val="24"/>
          <w14:ligatures w14:val="none"/>
        </w:rPr>
        <w:fldChar w:fldCharType="end"/>
      </w:r>
      <w:r w:rsidRPr="00AD5414">
        <w:rPr>
          <w:rFonts w:eastAsia="Calibri"/>
          <w:kern w:val="0"/>
          <w:sz w:val="24"/>
          <w:szCs w:val="24"/>
          <w14:ligatures w14:val="none"/>
        </w:rPr>
        <w:t>. The Bray-Curtis dissimilarity between each of the 30 plots was calculated using the basal area (≥ 2.5 cm DBH) of each tree species. Tree species were included in the analysis if they had ≥ 10 trees observed. The white oaks (</w:t>
      </w:r>
      <w:r w:rsidRPr="00AD5414">
        <w:rPr>
          <w:rFonts w:eastAsia="Calibri"/>
          <w:i/>
          <w:iCs/>
          <w:kern w:val="0"/>
          <w:sz w:val="24"/>
          <w:szCs w:val="24"/>
          <w14:ligatures w14:val="none"/>
        </w:rPr>
        <w:t>Quercus alba</w:t>
      </w:r>
      <w:r w:rsidRPr="00AD5414">
        <w:rPr>
          <w:rFonts w:eastAsia="Calibri"/>
          <w:kern w:val="0"/>
          <w:sz w:val="24"/>
          <w:szCs w:val="24"/>
          <w14:ligatures w14:val="none"/>
        </w:rPr>
        <w:t xml:space="preserve">, </w:t>
      </w:r>
      <w:r w:rsidRPr="00AD5414">
        <w:rPr>
          <w:rFonts w:eastAsia="Calibri"/>
          <w:i/>
          <w:iCs/>
          <w:kern w:val="0"/>
          <w:sz w:val="24"/>
          <w:szCs w:val="24"/>
          <w14:ligatures w14:val="none"/>
        </w:rPr>
        <w:t>Q. bicolor</w:t>
      </w:r>
      <w:r w:rsidRPr="00AD5414">
        <w:rPr>
          <w:rFonts w:eastAsia="Calibri"/>
          <w:kern w:val="0"/>
          <w:sz w:val="24"/>
          <w:szCs w:val="24"/>
          <w14:ligatures w14:val="none"/>
        </w:rPr>
        <w:t xml:space="preserve">, and </w:t>
      </w:r>
      <w:r w:rsidRPr="00AD5414">
        <w:rPr>
          <w:rFonts w:eastAsia="Calibri"/>
          <w:i/>
          <w:iCs/>
          <w:kern w:val="0"/>
          <w:sz w:val="24"/>
          <w:szCs w:val="24"/>
          <w14:ligatures w14:val="none"/>
        </w:rPr>
        <w:t>Q. macrocarpa</w:t>
      </w:r>
      <w:r w:rsidRPr="00AD5414">
        <w:rPr>
          <w:rFonts w:eastAsia="Calibri"/>
          <w:kern w:val="0"/>
          <w:sz w:val="24"/>
          <w:szCs w:val="24"/>
          <w14:ligatures w14:val="none"/>
        </w:rPr>
        <w:t>), red oaks (</w:t>
      </w:r>
      <w:r w:rsidRPr="00AD5414">
        <w:rPr>
          <w:rFonts w:eastAsia="Calibri"/>
          <w:i/>
          <w:iCs/>
          <w:kern w:val="0"/>
          <w:sz w:val="24"/>
          <w:szCs w:val="24"/>
          <w14:ligatures w14:val="none"/>
        </w:rPr>
        <w:t>Q. rubra</w:t>
      </w:r>
      <w:r w:rsidRPr="00AD5414">
        <w:rPr>
          <w:rFonts w:eastAsia="Calibri"/>
          <w:kern w:val="0"/>
          <w:sz w:val="24"/>
          <w:szCs w:val="24"/>
          <w14:ligatures w14:val="none"/>
        </w:rPr>
        <w:t xml:space="preserve"> and </w:t>
      </w:r>
      <w:r w:rsidRPr="00AD5414">
        <w:rPr>
          <w:rFonts w:eastAsia="Calibri"/>
          <w:i/>
          <w:iCs/>
          <w:kern w:val="0"/>
          <w:sz w:val="24"/>
          <w:szCs w:val="24"/>
          <w14:ligatures w14:val="none"/>
        </w:rPr>
        <w:t>Q. palustris</w:t>
      </w:r>
      <w:r w:rsidRPr="00AD5414">
        <w:rPr>
          <w:rFonts w:eastAsia="Calibri"/>
          <w:kern w:val="0"/>
          <w:sz w:val="24"/>
          <w:szCs w:val="24"/>
          <w14:ligatures w14:val="none"/>
        </w:rPr>
        <w:t>), poplars (</w:t>
      </w:r>
      <w:r w:rsidRPr="00AD5414">
        <w:rPr>
          <w:rFonts w:eastAsia="Calibri"/>
          <w:i/>
          <w:iCs/>
          <w:kern w:val="0"/>
          <w:sz w:val="24"/>
          <w:szCs w:val="24"/>
          <w14:ligatures w14:val="none"/>
        </w:rPr>
        <w:t>Populus deltoides</w:t>
      </w:r>
      <w:r w:rsidRPr="00AD5414">
        <w:rPr>
          <w:rFonts w:eastAsia="Calibri"/>
          <w:kern w:val="0"/>
          <w:sz w:val="24"/>
          <w:szCs w:val="24"/>
          <w14:ligatures w14:val="none"/>
        </w:rPr>
        <w:t xml:space="preserve"> and </w:t>
      </w:r>
      <w:r w:rsidRPr="00AD5414">
        <w:rPr>
          <w:rFonts w:eastAsia="Calibri"/>
          <w:i/>
          <w:iCs/>
          <w:kern w:val="0"/>
          <w:sz w:val="24"/>
          <w:szCs w:val="24"/>
          <w14:ligatures w14:val="none"/>
        </w:rPr>
        <w:t>P. grandidentata</w:t>
      </w:r>
      <w:r w:rsidRPr="00AD5414">
        <w:rPr>
          <w:rFonts w:eastAsia="Calibri"/>
          <w:kern w:val="0"/>
          <w:sz w:val="24"/>
          <w:szCs w:val="24"/>
          <w14:ligatures w14:val="none"/>
        </w:rPr>
        <w:t>), and elms (</w:t>
      </w:r>
      <w:r w:rsidRPr="00AD5414">
        <w:rPr>
          <w:rFonts w:eastAsia="Calibri"/>
          <w:i/>
          <w:iCs/>
          <w:kern w:val="0"/>
          <w:sz w:val="24"/>
          <w:szCs w:val="24"/>
          <w14:ligatures w14:val="none"/>
        </w:rPr>
        <w:t>Ulmus</w:t>
      </w:r>
      <w:r w:rsidRPr="00AD5414">
        <w:rPr>
          <w:rFonts w:eastAsia="Calibri"/>
          <w:kern w:val="0"/>
          <w:sz w:val="24"/>
          <w:szCs w:val="24"/>
          <w14:ligatures w14:val="none"/>
        </w:rPr>
        <w:t xml:space="preserve"> sp.) were not identified to species level for the NMDS analysis.</w:t>
      </w:r>
    </w:p>
    <w:p w14:paraId="087EB0EB" w14:textId="77777777" w:rsidR="00AD5414" w:rsidRPr="00AD5414" w:rsidRDefault="00AD5414" w:rsidP="00AD5414">
      <w:pPr>
        <w:spacing w:line="480" w:lineRule="auto"/>
        <w:rPr>
          <w:rFonts w:eastAsia="Calibri"/>
          <w:kern w:val="0"/>
          <w:sz w:val="24"/>
          <w:szCs w:val="24"/>
          <w14:ligatures w14:val="none"/>
        </w:rPr>
      </w:pPr>
    </w:p>
    <w:p w14:paraId="7F55EE06"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Results</w:t>
      </w:r>
    </w:p>
    <w:p w14:paraId="1E996766" w14:textId="7755A9B2"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In our survey of the 37 transects, we found 2981 ash seedlings, 1037 ash saplings, 276 living and 54 dead standing understory ash trees, and 7 living and 2 dead standing canopy (&gt;10 cm DBH) ash trees. The basal area of living ash trees (≥ 2.5 cm DBH) at the transect level ranged between 0 and 2.60 m</w:t>
      </w:r>
      <w:r w:rsidRPr="00AD5414">
        <w:rPr>
          <w:rFonts w:eastAsia="Calibri"/>
          <w:kern w:val="0"/>
          <w:sz w:val="24"/>
          <w:szCs w:val="24"/>
          <w:vertAlign w:val="superscript"/>
          <w14:ligatures w14:val="none"/>
        </w:rPr>
        <w:t>2</w:t>
      </w:r>
      <w:r w:rsidRPr="00AD5414">
        <w:rPr>
          <w:rFonts w:eastAsia="Calibri"/>
          <w:kern w:val="0"/>
          <w:sz w:val="24"/>
          <w:szCs w:val="24"/>
          <w14:ligatures w14:val="none"/>
        </w:rPr>
        <w:t>/ha but averaged only 0.24 m</w:t>
      </w:r>
      <w:r w:rsidRPr="00AD5414">
        <w:rPr>
          <w:rFonts w:eastAsia="Calibri"/>
          <w:kern w:val="0"/>
          <w:sz w:val="24"/>
          <w:szCs w:val="24"/>
          <w:vertAlign w:val="superscript"/>
          <w14:ligatures w14:val="none"/>
        </w:rPr>
        <w:t>2</w:t>
      </w:r>
      <w:r w:rsidRPr="00AD5414">
        <w:rPr>
          <w:rFonts w:eastAsia="Calibri"/>
          <w:kern w:val="0"/>
          <w:sz w:val="24"/>
          <w:szCs w:val="24"/>
          <w14:ligatures w14:val="none"/>
        </w:rPr>
        <w:t>/ha. Ash seedlings were observed in 36 of the transects, but none had cotyledons. Only four ash trees were found producing seeds in the 18 m radius plots, including a 2.9 cm DBH green ash and three black ash trees ranging from 6.</w:t>
      </w:r>
      <w:r w:rsidR="00874BA5">
        <w:rPr>
          <w:rFonts w:eastAsia="Calibri"/>
          <w:kern w:val="0"/>
          <w:sz w:val="24"/>
          <w:szCs w:val="24"/>
          <w14:ligatures w14:val="none"/>
        </w:rPr>
        <w:t>6</w:t>
      </w:r>
      <w:r w:rsidRPr="00AD5414">
        <w:rPr>
          <w:rFonts w:eastAsia="Calibri"/>
          <w:kern w:val="0"/>
          <w:sz w:val="24"/>
          <w:szCs w:val="24"/>
          <w14:ligatures w14:val="none"/>
        </w:rPr>
        <w:t xml:space="preserve"> to 11.5 cm DBH. EAB adults were trapped at most parks, but in low densities (Fig</w:t>
      </w:r>
      <w:r w:rsidR="007F678D">
        <w:rPr>
          <w:rFonts w:eastAsia="Calibri"/>
          <w:kern w:val="0"/>
          <w:sz w:val="24"/>
          <w:szCs w:val="24"/>
          <w14:ligatures w14:val="none"/>
        </w:rPr>
        <w:t>. A.</w:t>
      </w:r>
      <w:r w:rsidRPr="00AD5414">
        <w:rPr>
          <w:rFonts w:eastAsia="Calibri"/>
          <w:kern w:val="0"/>
          <w:sz w:val="24"/>
          <w:szCs w:val="24"/>
          <w14:ligatures w14:val="none"/>
        </w:rPr>
        <w:t xml:space="preserve">3). Three introduced biological control agents were recovered, </w:t>
      </w:r>
      <w:r w:rsidRPr="00AD5414">
        <w:rPr>
          <w:rFonts w:eastAsia="Calibri"/>
          <w:i/>
          <w:iCs/>
          <w:kern w:val="0"/>
          <w:sz w:val="24"/>
          <w:szCs w:val="24"/>
          <w14:ligatures w14:val="none"/>
        </w:rPr>
        <w:t>Spathius galinae</w:t>
      </w:r>
      <w:r w:rsidRPr="00AD5414">
        <w:rPr>
          <w:rFonts w:eastAsia="Calibri"/>
          <w:kern w:val="0"/>
          <w:sz w:val="24"/>
          <w:szCs w:val="24"/>
          <w14:ligatures w14:val="none"/>
        </w:rPr>
        <w:t xml:space="preserve"> (3 individuals collected), </w:t>
      </w:r>
      <w:r w:rsidRPr="00AD5414">
        <w:rPr>
          <w:rFonts w:eastAsia="Calibri"/>
          <w:i/>
          <w:iCs/>
          <w:kern w:val="0"/>
          <w:sz w:val="24"/>
          <w:szCs w:val="24"/>
          <w14:ligatures w14:val="none"/>
        </w:rPr>
        <w:t>Oobius agrili</w:t>
      </w:r>
      <w:r w:rsidRPr="00AD5414">
        <w:rPr>
          <w:rFonts w:eastAsia="Calibri"/>
          <w:kern w:val="0"/>
          <w:sz w:val="24"/>
          <w:szCs w:val="24"/>
          <w14:ligatures w14:val="none"/>
        </w:rPr>
        <w:t xml:space="preserve"> (2 individuals), and </w:t>
      </w:r>
      <w:r w:rsidRPr="00AD5414">
        <w:rPr>
          <w:rFonts w:eastAsia="Calibri"/>
          <w:i/>
          <w:iCs/>
          <w:kern w:val="0"/>
          <w:sz w:val="24"/>
          <w:szCs w:val="24"/>
          <w14:ligatures w14:val="none"/>
        </w:rPr>
        <w:t>Tetrastichus planipennisi</w:t>
      </w:r>
      <w:r w:rsidRPr="00AD5414">
        <w:rPr>
          <w:rFonts w:eastAsia="Calibri"/>
          <w:kern w:val="0"/>
          <w:sz w:val="24"/>
          <w:szCs w:val="24"/>
          <w14:ligatures w14:val="none"/>
        </w:rPr>
        <w:t xml:space="preserve"> (2 individuals). </w:t>
      </w:r>
      <w:r w:rsidR="00C61A3F">
        <w:rPr>
          <w:rFonts w:eastAsia="Calibri"/>
          <w:kern w:val="0"/>
          <w:sz w:val="24"/>
          <w:szCs w:val="24"/>
          <w14:ligatures w14:val="none"/>
        </w:rPr>
        <w:t>P</w:t>
      </w:r>
      <w:r w:rsidRPr="00AD5414">
        <w:rPr>
          <w:rFonts w:eastAsia="Calibri"/>
          <w:kern w:val="0"/>
          <w:sz w:val="24"/>
          <w:szCs w:val="24"/>
          <w14:ligatures w14:val="none"/>
        </w:rPr>
        <w:t xml:space="preserve">arasitoids </w:t>
      </w:r>
      <w:r w:rsidR="00C61A3F">
        <w:rPr>
          <w:rFonts w:eastAsia="Calibri"/>
          <w:kern w:val="0"/>
          <w:sz w:val="24"/>
          <w:szCs w:val="24"/>
          <w14:ligatures w14:val="none"/>
        </w:rPr>
        <w:t xml:space="preserve">introduced for EAB biocontrol </w:t>
      </w:r>
      <w:r w:rsidRPr="00AD5414">
        <w:rPr>
          <w:rFonts w:eastAsia="Calibri"/>
          <w:kern w:val="0"/>
          <w:sz w:val="24"/>
          <w:szCs w:val="24"/>
          <w14:ligatures w14:val="none"/>
        </w:rPr>
        <w:t xml:space="preserve">comprised 0.46% (7/1537) of the Hymenoptera </w:t>
      </w:r>
      <w:r w:rsidRPr="00AD5414">
        <w:rPr>
          <w:rFonts w:eastAsia="Calibri"/>
          <w:kern w:val="0"/>
          <w:sz w:val="24"/>
          <w:szCs w:val="24"/>
          <w14:ligatures w14:val="none"/>
        </w:rPr>
        <w:lastRenderedPageBreak/>
        <w:t>caught in pan traps.</w:t>
      </w:r>
      <w:r w:rsidRPr="00AD5414">
        <w:rPr>
          <w:rFonts w:eastAsia="Calibri"/>
          <w:kern w:val="0"/>
          <w:sz w:val="24"/>
          <w:szCs w:val="24"/>
          <w14:ligatures w14:val="none"/>
        </w:rPr>
        <w:br/>
      </w:r>
    </w:p>
    <w:p w14:paraId="43787069" w14:textId="77777777" w:rsidR="00C61A3F" w:rsidRDefault="00AD5414" w:rsidP="00C61A3F">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Abundance of ash among forest types</w:t>
      </w:r>
    </w:p>
    <w:p w14:paraId="3D7D7B41" w14:textId="16228F68"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The average density of ash seedlings ranged from 0-54,000 stems/ha (0-5.4 stems/m</w:t>
      </w:r>
      <w:r w:rsidRPr="00AD5414">
        <w:rPr>
          <w:rFonts w:eastAsia="Calibri"/>
          <w:kern w:val="0"/>
          <w:sz w:val="24"/>
          <w:szCs w:val="24"/>
          <w:vertAlign w:val="superscript"/>
          <w14:ligatures w14:val="none"/>
        </w:rPr>
        <w:t>2</w:t>
      </w:r>
      <w:r w:rsidRPr="00AD5414">
        <w:rPr>
          <w:rFonts w:eastAsia="Calibri"/>
          <w:kern w:val="0"/>
          <w:sz w:val="24"/>
          <w:szCs w:val="24"/>
          <w14:ligatures w14:val="none"/>
        </w:rPr>
        <w:t>), with an average of 16,500 stems/ha (1.</w:t>
      </w:r>
      <w:r w:rsidR="00C61A3F">
        <w:rPr>
          <w:rFonts w:eastAsia="Calibri"/>
          <w:kern w:val="0"/>
          <w:sz w:val="24"/>
          <w:szCs w:val="24"/>
          <w14:ligatures w14:val="none"/>
        </w:rPr>
        <w:t>7</w:t>
      </w:r>
      <w:r w:rsidRPr="00AD5414">
        <w:rPr>
          <w:rFonts w:eastAsia="Calibri"/>
          <w:kern w:val="0"/>
          <w:sz w:val="24"/>
          <w:szCs w:val="24"/>
          <w14:ligatures w14:val="none"/>
        </w:rPr>
        <w:t xml:space="preserve"> stems/m</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Of these ash seedlings, approximately half were in the shorter size class (0-25 cm tall) while the other half were in the taller size class (25-137 cm tall) (Table </w:t>
      </w:r>
      <w:r w:rsidR="006B4862">
        <w:rPr>
          <w:rFonts w:eastAsia="Calibri"/>
          <w:kern w:val="0"/>
          <w:sz w:val="24"/>
          <w:szCs w:val="24"/>
          <w14:ligatures w14:val="none"/>
        </w:rPr>
        <w:t>1.</w:t>
      </w:r>
      <w:r w:rsidRPr="00AD5414">
        <w:rPr>
          <w:rFonts w:eastAsia="Calibri"/>
          <w:kern w:val="0"/>
          <w:sz w:val="24"/>
          <w:szCs w:val="24"/>
          <w14:ligatures w14:val="none"/>
        </w:rPr>
        <w:t>1). Percentage cover of ash seedlings averaged 10.7% of the forest floor across all 37 transects. Ash seedling densities and percentage cover were lowest in hydric transects, relative to mesic and xeric transects (Fig</w:t>
      </w:r>
      <w:r w:rsidR="007F678D">
        <w:rPr>
          <w:rFonts w:eastAsia="Calibri"/>
          <w:kern w:val="0"/>
          <w:sz w:val="24"/>
          <w:szCs w:val="24"/>
          <w14:ligatures w14:val="none"/>
        </w:rPr>
        <w:t>.</w:t>
      </w:r>
      <w:r w:rsidRPr="00AD5414">
        <w:rPr>
          <w:rFonts w:eastAsia="Calibri"/>
          <w:kern w:val="0"/>
          <w:sz w:val="24"/>
          <w:szCs w:val="24"/>
          <w14:ligatures w14:val="none"/>
        </w:rPr>
        <w:t xml:space="preserve"> </w:t>
      </w:r>
      <w:r w:rsidR="007F678D">
        <w:rPr>
          <w:rFonts w:eastAsia="Calibri"/>
          <w:kern w:val="0"/>
          <w:sz w:val="24"/>
          <w:szCs w:val="24"/>
          <w14:ligatures w14:val="none"/>
        </w:rPr>
        <w:t>1.</w:t>
      </w:r>
      <w:r w:rsidRPr="00AD5414">
        <w:rPr>
          <w:rFonts w:eastAsia="Calibri"/>
          <w:kern w:val="0"/>
          <w:sz w:val="24"/>
          <w:szCs w:val="24"/>
          <w14:ligatures w14:val="none"/>
        </w:rPr>
        <w:t>2A; short seedlings model: χ</w:t>
      </w:r>
      <w:r w:rsidRPr="00AD5414">
        <w:rPr>
          <w:rFonts w:eastAsia="Calibri"/>
          <w:kern w:val="0"/>
          <w:sz w:val="24"/>
          <w:szCs w:val="24"/>
          <w:vertAlign w:val="superscript"/>
          <w14:ligatures w14:val="none"/>
        </w:rPr>
        <w:t>2</w:t>
      </w:r>
      <w:r w:rsidRPr="00AD5414">
        <w:rPr>
          <w:rFonts w:eastAsia="Calibri"/>
          <w:kern w:val="0"/>
          <w:sz w:val="24"/>
          <w:szCs w:val="24"/>
          <w14:ligatures w14:val="none"/>
        </w:rPr>
        <w:t>=12.6322, 2 df, p=0.002; tall seedlings model: χ</w:t>
      </w:r>
      <w:r w:rsidRPr="00AD5414">
        <w:rPr>
          <w:rFonts w:eastAsia="Calibri"/>
          <w:kern w:val="0"/>
          <w:sz w:val="24"/>
          <w:szCs w:val="24"/>
          <w:vertAlign w:val="superscript"/>
          <w14:ligatures w14:val="none"/>
        </w:rPr>
        <w:t>2</w:t>
      </w:r>
      <w:r w:rsidRPr="00AD5414">
        <w:rPr>
          <w:rFonts w:eastAsia="Calibri"/>
          <w:kern w:val="0"/>
          <w:sz w:val="24"/>
          <w:szCs w:val="24"/>
          <w14:ligatures w14:val="none"/>
        </w:rPr>
        <w:t>=19.123, p&lt;0.001, percentage cover model: χ</w:t>
      </w:r>
      <w:r w:rsidRPr="00AD5414">
        <w:rPr>
          <w:rFonts w:eastAsia="Calibri"/>
          <w:kern w:val="0"/>
          <w:sz w:val="24"/>
          <w:szCs w:val="24"/>
          <w:vertAlign w:val="superscript"/>
          <w14:ligatures w14:val="none"/>
        </w:rPr>
        <w:t>2</w:t>
      </w:r>
      <w:r w:rsidRPr="00AD5414">
        <w:rPr>
          <w:rFonts w:eastAsia="Calibri"/>
          <w:kern w:val="0"/>
          <w:sz w:val="24"/>
          <w:szCs w:val="24"/>
          <w14:ligatures w14:val="none"/>
        </w:rPr>
        <w:t>=17.721, p&lt;0.001). The density of ash saplings (&gt;137 cm tall and &lt;2.5 cm DBH) was similar among hydrological classes (χ</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=0.26, p=0.88) (Fig. </w:t>
      </w:r>
      <w:r w:rsidR="007F678D">
        <w:rPr>
          <w:rFonts w:eastAsia="Calibri"/>
          <w:kern w:val="0"/>
          <w:sz w:val="24"/>
          <w:szCs w:val="24"/>
          <w14:ligatures w14:val="none"/>
        </w:rPr>
        <w:t>1.</w:t>
      </w:r>
      <w:r w:rsidRPr="00AD5414">
        <w:rPr>
          <w:rFonts w:eastAsia="Calibri"/>
          <w:kern w:val="0"/>
          <w:sz w:val="24"/>
          <w:szCs w:val="24"/>
          <w14:ligatures w14:val="none"/>
        </w:rPr>
        <w:t xml:space="preserve">2B). A total of 330 understory (2.5-10 cm DBH) ash trees were found, and of these, 276 were living (canopy condition 1-4), while 54 were dead and standing. Hydric transects had more understory ash trees than xeric transects and marginally more understory ash trees than mesic </w:t>
      </w:r>
      <w:proofErr w:type="gramStart"/>
      <w:r w:rsidRPr="00AD5414">
        <w:rPr>
          <w:rFonts w:eastAsia="Calibri"/>
          <w:kern w:val="0"/>
          <w:sz w:val="24"/>
          <w:szCs w:val="24"/>
          <w14:ligatures w14:val="none"/>
        </w:rPr>
        <w:t>transects</w:t>
      </w:r>
      <w:proofErr w:type="gramEnd"/>
      <w:r w:rsidRPr="00AD5414">
        <w:rPr>
          <w:rFonts w:eastAsia="Calibri"/>
          <w:kern w:val="0"/>
          <w:sz w:val="24"/>
          <w:szCs w:val="24"/>
          <w14:ligatures w14:val="none"/>
        </w:rPr>
        <w:t xml:space="preserve"> (Fig. </w:t>
      </w:r>
      <w:r w:rsidR="007F678D">
        <w:rPr>
          <w:rFonts w:eastAsia="Calibri"/>
          <w:kern w:val="0"/>
          <w:sz w:val="24"/>
          <w:szCs w:val="24"/>
          <w14:ligatures w14:val="none"/>
        </w:rPr>
        <w:t>1.</w:t>
      </w:r>
      <w:r w:rsidRPr="00AD5414">
        <w:rPr>
          <w:rFonts w:eastAsia="Calibri"/>
          <w:kern w:val="0"/>
          <w:sz w:val="24"/>
          <w:szCs w:val="24"/>
          <w14:ligatures w14:val="none"/>
        </w:rPr>
        <w:t>2C; χ</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=14.6, p=0.001). Of the 330 understory ash trees, 131 were identified as being green, white, or pumpkin ash, while 178 were identified as black ash, and 21 were unidentified </w:t>
      </w:r>
      <w:r w:rsidRPr="00AD5414">
        <w:rPr>
          <w:rFonts w:eastAsia="Calibri"/>
          <w:i/>
          <w:iCs/>
          <w:kern w:val="0"/>
          <w:sz w:val="24"/>
          <w:szCs w:val="24"/>
          <w14:ligatures w14:val="none"/>
        </w:rPr>
        <w:t>Fraxinus</w:t>
      </w:r>
      <w:r w:rsidRPr="00AD5414">
        <w:rPr>
          <w:rFonts w:eastAsia="Calibri"/>
          <w:kern w:val="0"/>
          <w:sz w:val="24"/>
          <w:szCs w:val="24"/>
          <w14:ligatures w14:val="none"/>
        </w:rPr>
        <w:t xml:space="preserve"> (Figure </w:t>
      </w:r>
      <w:r w:rsidR="007F678D">
        <w:rPr>
          <w:rFonts w:eastAsia="Calibri"/>
          <w:kern w:val="0"/>
          <w:sz w:val="24"/>
          <w:szCs w:val="24"/>
          <w14:ligatures w14:val="none"/>
        </w:rPr>
        <w:t>A.</w:t>
      </w:r>
      <w:r w:rsidRPr="00AD5414">
        <w:rPr>
          <w:rFonts w:eastAsia="Calibri"/>
          <w:kern w:val="0"/>
          <w:sz w:val="24"/>
          <w:szCs w:val="24"/>
          <w14:ligatures w14:val="none"/>
        </w:rPr>
        <w:t xml:space="preserve">1). Only 9 canopy ash trees (≥ 10 cm DBH) were found across all plots, of which 7 trees were living. Living canopy ash trees within the plots ranged in diameter from 10.3-12.4 cm DBH. </w:t>
      </w:r>
    </w:p>
    <w:p w14:paraId="11EE3419" w14:textId="77777777" w:rsidR="00AD5414" w:rsidRPr="00AD5414" w:rsidRDefault="00AD5414" w:rsidP="00AD5414">
      <w:pPr>
        <w:spacing w:line="480" w:lineRule="auto"/>
        <w:rPr>
          <w:rFonts w:eastAsia="Calibri"/>
          <w:kern w:val="0"/>
          <w:sz w:val="24"/>
          <w:szCs w:val="24"/>
          <w14:ligatures w14:val="none"/>
        </w:rPr>
      </w:pPr>
    </w:p>
    <w:p w14:paraId="7A51617E"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noProof/>
          <w:kern w:val="0"/>
          <w:sz w:val="24"/>
          <w:szCs w:val="24"/>
          <w14:ligatures w14:val="none"/>
        </w:rPr>
        <w:lastRenderedPageBreak/>
        <w:drawing>
          <wp:inline distT="0" distB="0" distL="0" distR="0" wp14:anchorId="6C79A70A" wp14:editId="59864709">
            <wp:extent cx="4467225" cy="4914900"/>
            <wp:effectExtent l="0" t="0" r="9525" b="0"/>
            <wp:docPr id="270237354" name="Graphic 1" descr="There are four scatter graphs. Each graph has hydroclass in the x axis (hydric, mesic, xeric). Graph A is density of ash seedlings, showing that more seedlings were found in mesic and xeric forests. Graph B is density of ash saplings, showing no differences between hydroclasses. Graph C is density of understory ash trees, showing higher numbers of ash understory trees in hydric forests. Graph D is basal area of ash, which generally shows more basal area of ash in hydric forests (but was not tested statis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37354" name="Graphic 1" descr="There are four scatter graphs. Each graph has hydroclass in the x axis (hydric, mesic, xeric). Graph A is density of ash seedlings, showing that more seedlings were found in mesic and xeric forests. Graph B is density of ash saplings, showing no differences between hydroclasses. Graph C is density of understory ash trees, showing higher numbers of ash understory trees in hydric forests. Graph D is basal area of ash, which generally shows more basal area of ash in hydric forests (but was not tested statistically)."/>
                    <pic:cNvPicPr/>
                  </pic:nvPicPr>
                  <pic:blipFill>
                    <a:blip r:embed="rId10">
                      <a:extLst>
                        <a:ext uri="{96DAC541-7B7A-43D3-8B79-37D633B846F1}">
                          <asvg:svgBlip xmlns:asvg="http://schemas.microsoft.com/office/drawing/2016/SVG/main" r:embed="rId11"/>
                        </a:ext>
                      </a:extLst>
                    </a:blip>
                    <a:stretch>
                      <a:fillRect/>
                    </a:stretch>
                  </pic:blipFill>
                  <pic:spPr>
                    <a:xfrm>
                      <a:off x="0" y="0"/>
                      <a:ext cx="4467225" cy="4914900"/>
                    </a:xfrm>
                    <a:prstGeom prst="rect">
                      <a:avLst/>
                    </a:prstGeom>
                  </pic:spPr>
                </pic:pic>
              </a:graphicData>
            </a:graphic>
          </wp:inline>
        </w:drawing>
      </w:r>
    </w:p>
    <w:p w14:paraId="1F162ABE" w14:textId="77777777" w:rsidR="00AD5414" w:rsidRPr="00AD5414" w:rsidRDefault="00AD5414" w:rsidP="00AD5414">
      <w:pPr>
        <w:spacing w:after="200"/>
        <w:rPr>
          <w:rFonts w:eastAsia="Calibri"/>
          <w:b/>
          <w:bCs/>
          <w:iCs/>
          <w:kern w:val="0"/>
          <w:sz w:val="24"/>
          <w:szCs w:val="18"/>
          <w14:ligatures w14:val="none"/>
        </w:rPr>
      </w:pPr>
      <w:bookmarkStart w:id="7" w:name="_Toc213432483"/>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2</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Ash occurrence in 37 transects in the Upper Huron River Watershed in southeast Michigan. The x-axis represents the soil hydrological class of the transect. Each data point represents a transect. Lowercase letters above bars indicate statistically significant differences at α=0.05. A) Mean density of ash seedlings (all ash with height &lt; 1.37 m; short and tall seedling categories were combined for the graph), B) mean density of ash saplings (height ≥ 1.37 m and DBH &lt; 2.5 cm), C) mean density of living understory ash trees (2.5 cm ≤ DBH &lt; 10 cm), D) mean basal area of all living ash trees (DBH ≥ 2.5 cm). The basal area of living ash trees was not statistically investigated due to low occurrence.</w:t>
      </w:r>
      <w:bookmarkEnd w:id="7"/>
    </w:p>
    <w:p w14:paraId="30727A30" w14:textId="77777777" w:rsidR="00AD5414" w:rsidRPr="00AD5414" w:rsidRDefault="00AD5414" w:rsidP="00AD5414">
      <w:pPr>
        <w:spacing w:line="480" w:lineRule="auto"/>
        <w:rPr>
          <w:rFonts w:eastAsia="Calibri"/>
          <w:kern w:val="0"/>
          <w:sz w:val="24"/>
          <w:szCs w:val="24"/>
          <w:u w:val="single"/>
          <w14:ligatures w14:val="none"/>
        </w:rPr>
      </w:pPr>
    </w:p>
    <w:p w14:paraId="32C66200" w14:textId="77777777" w:rsidR="00AD5414" w:rsidRPr="00AD5414" w:rsidRDefault="00AD5414" w:rsidP="00AD5414">
      <w:pPr>
        <w:spacing w:line="480" w:lineRule="auto"/>
        <w:rPr>
          <w:rFonts w:eastAsia="Calibri"/>
          <w:kern w:val="0"/>
          <w:sz w:val="24"/>
          <w:szCs w:val="24"/>
          <w:u w:val="single"/>
          <w14:ligatures w14:val="none"/>
        </w:rPr>
      </w:pPr>
    </w:p>
    <w:p w14:paraId="7FAA5650" w14:textId="77777777" w:rsidR="00AD5414" w:rsidRDefault="00AD5414" w:rsidP="00AD5414">
      <w:pPr>
        <w:spacing w:line="480" w:lineRule="auto"/>
        <w:rPr>
          <w:rFonts w:eastAsia="Calibri"/>
          <w:kern w:val="0"/>
          <w:sz w:val="24"/>
          <w:szCs w:val="24"/>
          <w:u w:val="single"/>
          <w14:ligatures w14:val="none"/>
        </w:rPr>
      </w:pPr>
    </w:p>
    <w:p w14:paraId="0F2D5746" w14:textId="77777777" w:rsidR="006B4862" w:rsidRPr="00AD5414" w:rsidRDefault="006B4862" w:rsidP="00AD5414">
      <w:pPr>
        <w:spacing w:line="480" w:lineRule="auto"/>
        <w:rPr>
          <w:rFonts w:eastAsia="Calibri"/>
          <w:kern w:val="0"/>
          <w:sz w:val="24"/>
          <w:szCs w:val="24"/>
          <w:u w:val="single"/>
          <w14:ligatures w14:val="none"/>
        </w:rPr>
      </w:pPr>
    </w:p>
    <w:p w14:paraId="44BE43BB" w14:textId="0973B287" w:rsidR="00AD5414" w:rsidRPr="00AD5414" w:rsidRDefault="00AD5414" w:rsidP="00AD5414">
      <w:pPr>
        <w:spacing w:after="200"/>
        <w:rPr>
          <w:rFonts w:eastAsia="Calibri"/>
          <w:iCs/>
          <w:kern w:val="0"/>
          <w:sz w:val="24"/>
          <w:szCs w:val="18"/>
          <w14:ligatures w14:val="none"/>
        </w:rPr>
      </w:pPr>
      <w:bookmarkStart w:id="8" w:name="_Toc213432433"/>
      <w:r w:rsidRPr="00AD5414">
        <w:rPr>
          <w:rFonts w:eastAsia="Calibri"/>
          <w:b/>
          <w:bCs/>
          <w:iCs/>
          <w:kern w:val="0"/>
          <w:sz w:val="24"/>
          <w:szCs w:val="18"/>
          <w14:ligatures w14:val="none"/>
        </w:rPr>
        <w:lastRenderedPageBreak/>
        <w:t xml:space="preserve">Table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Table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Density (± standard error) of living ash (</w:t>
      </w:r>
      <w:r w:rsidRPr="00AD5414">
        <w:rPr>
          <w:rFonts w:eastAsia="Calibri"/>
          <w:i/>
          <w:iCs/>
          <w:kern w:val="0"/>
          <w:sz w:val="24"/>
          <w:szCs w:val="18"/>
          <w14:ligatures w14:val="none"/>
        </w:rPr>
        <w:t>Fraxinus</w:t>
      </w:r>
      <w:r w:rsidRPr="00AD5414">
        <w:rPr>
          <w:rFonts w:eastAsia="Calibri"/>
          <w:kern w:val="0"/>
          <w:sz w:val="24"/>
          <w:szCs w:val="18"/>
          <w14:ligatures w14:val="none"/>
        </w:rPr>
        <w:t xml:space="preserve"> spp.</w:t>
      </w:r>
      <w:r w:rsidRPr="00AD5414">
        <w:rPr>
          <w:rFonts w:eastAsia="Calibri"/>
          <w:iCs/>
          <w:kern w:val="0"/>
          <w:sz w:val="24"/>
          <w:szCs w:val="18"/>
          <w14:ligatures w14:val="none"/>
        </w:rPr>
        <w:t>) regeneration in hydric (</w:t>
      </w:r>
      <w:r w:rsidRPr="00AD5414">
        <w:rPr>
          <w:rFonts w:eastAsia="Calibri"/>
          <w:i/>
          <w:kern w:val="0"/>
          <w:sz w:val="24"/>
          <w:szCs w:val="18"/>
          <w14:ligatures w14:val="none"/>
        </w:rPr>
        <w:t>n</w:t>
      </w:r>
      <w:r w:rsidRPr="00AD5414">
        <w:rPr>
          <w:rFonts w:eastAsia="Calibri"/>
          <w:iCs/>
          <w:kern w:val="0"/>
          <w:sz w:val="24"/>
          <w:szCs w:val="18"/>
          <w14:ligatures w14:val="none"/>
        </w:rPr>
        <w:t>=10), mesic (</w:t>
      </w:r>
      <w:r w:rsidRPr="00AD5414">
        <w:rPr>
          <w:rFonts w:eastAsia="Calibri"/>
          <w:i/>
          <w:kern w:val="0"/>
          <w:sz w:val="24"/>
          <w:szCs w:val="18"/>
          <w14:ligatures w14:val="none"/>
        </w:rPr>
        <w:t>n</w:t>
      </w:r>
      <w:r w:rsidRPr="00AD5414">
        <w:rPr>
          <w:rFonts w:eastAsia="Calibri"/>
          <w:iCs/>
          <w:kern w:val="0"/>
          <w:sz w:val="24"/>
          <w:szCs w:val="18"/>
          <w14:ligatures w14:val="none"/>
        </w:rPr>
        <w:t>=8), and xeric (</w:t>
      </w:r>
      <w:r w:rsidRPr="00AD5414">
        <w:rPr>
          <w:rFonts w:eastAsia="Calibri"/>
          <w:i/>
          <w:kern w:val="0"/>
          <w:sz w:val="24"/>
          <w:szCs w:val="18"/>
          <w14:ligatures w14:val="none"/>
        </w:rPr>
        <w:t>n</w:t>
      </w:r>
      <w:r w:rsidRPr="00AD5414">
        <w:rPr>
          <w:rFonts w:eastAsia="Calibri"/>
          <w:iCs/>
          <w:kern w:val="0"/>
          <w:sz w:val="24"/>
          <w:szCs w:val="18"/>
          <w14:ligatures w14:val="none"/>
        </w:rPr>
        <w:t>=19) transects in the Upper Huron River Watershed in southeast Michigan, USA. Data were collected during the growing season in 2024-2025.</w:t>
      </w:r>
      <w:bookmarkEnd w:id="8"/>
      <w:r w:rsidR="00691EDA">
        <w:rPr>
          <w:rFonts w:eastAsia="Calibri"/>
          <w:iCs/>
          <w:kern w:val="0"/>
          <w:sz w:val="24"/>
          <w:szCs w:val="18"/>
          <w14:ligatures w14:val="none"/>
        </w:rPr>
        <w:t xml:space="preserve"> Table columns are size class (including short seedlings, tall seedlings, saplings, understory trees, and canopy trees</w:t>
      </w:r>
      <w:r w:rsidR="000A3A89">
        <w:rPr>
          <w:rFonts w:eastAsia="Calibri"/>
          <w:iCs/>
          <w:kern w:val="0"/>
          <w:sz w:val="24"/>
          <w:szCs w:val="18"/>
          <w14:ligatures w14:val="none"/>
        </w:rPr>
        <w:t>, hydrology class (including hydric, mesic, xeric, and combined), and ash per hectare.</w:t>
      </w:r>
    </w:p>
    <w:p w14:paraId="523942C3" w14:textId="77777777" w:rsidR="00AD5414" w:rsidRPr="00AD5414" w:rsidRDefault="00AD5414" w:rsidP="00AD5414">
      <w:pPr>
        <w:rPr>
          <w:rFonts w:eastAsia="Calibri"/>
          <w:kern w:val="0"/>
          <w:sz w:val="24"/>
          <w:szCs w:val="24"/>
          <w14:ligatures w14:val="none"/>
        </w:rPr>
      </w:pPr>
    </w:p>
    <w:tbl>
      <w:tblPr>
        <w:tblStyle w:val="Aaronsinsectlabels1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492"/>
        <w:gridCol w:w="2312"/>
        <w:gridCol w:w="1701"/>
      </w:tblGrid>
      <w:tr w:rsidR="00AD5414" w:rsidRPr="00AD5414" w14:paraId="365D2B42" w14:textId="77777777" w:rsidTr="00A3077D">
        <w:tc>
          <w:tcPr>
            <w:tcW w:w="4492" w:type="dxa"/>
            <w:tcBorders>
              <w:top w:val="single" w:sz="4" w:space="0" w:color="auto"/>
              <w:bottom w:val="single" w:sz="4" w:space="0" w:color="auto"/>
            </w:tcBorders>
          </w:tcPr>
          <w:p w14:paraId="79C306E8" w14:textId="77777777" w:rsidR="00AD5414" w:rsidRPr="00AD5414" w:rsidRDefault="00AD5414" w:rsidP="00AD5414">
            <w:pPr>
              <w:rPr>
                <w:rFonts w:eastAsia="Calibri"/>
                <w:sz w:val="24"/>
              </w:rPr>
            </w:pPr>
            <w:r w:rsidRPr="00AD5414">
              <w:rPr>
                <w:rFonts w:eastAsia="Calibri"/>
                <w:sz w:val="24"/>
              </w:rPr>
              <w:t>Size class</w:t>
            </w:r>
          </w:p>
        </w:tc>
        <w:tc>
          <w:tcPr>
            <w:tcW w:w="2312" w:type="dxa"/>
            <w:tcBorders>
              <w:top w:val="single" w:sz="4" w:space="0" w:color="auto"/>
              <w:bottom w:val="single" w:sz="4" w:space="0" w:color="auto"/>
            </w:tcBorders>
          </w:tcPr>
          <w:p w14:paraId="49ECEAD7" w14:textId="77777777" w:rsidR="00AD5414" w:rsidRPr="00AD5414" w:rsidRDefault="00AD5414" w:rsidP="00AD5414">
            <w:pPr>
              <w:rPr>
                <w:rFonts w:eastAsia="Calibri"/>
                <w:sz w:val="24"/>
              </w:rPr>
            </w:pPr>
            <w:r w:rsidRPr="00AD5414">
              <w:rPr>
                <w:rFonts w:eastAsia="Calibri"/>
                <w:sz w:val="24"/>
              </w:rPr>
              <w:t>Hydrology class</w:t>
            </w:r>
          </w:p>
        </w:tc>
        <w:tc>
          <w:tcPr>
            <w:tcW w:w="1701" w:type="dxa"/>
            <w:tcBorders>
              <w:top w:val="single" w:sz="4" w:space="0" w:color="auto"/>
              <w:bottom w:val="single" w:sz="4" w:space="0" w:color="auto"/>
            </w:tcBorders>
          </w:tcPr>
          <w:p w14:paraId="20FA1DFD" w14:textId="77777777" w:rsidR="00AD5414" w:rsidRPr="00AD5414" w:rsidRDefault="00AD5414" w:rsidP="00AD5414">
            <w:pPr>
              <w:rPr>
                <w:rFonts w:eastAsia="Calibri"/>
                <w:sz w:val="24"/>
              </w:rPr>
            </w:pPr>
            <w:r w:rsidRPr="00AD5414">
              <w:rPr>
                <w:rFonts w:eastAsia="Calibri"/>
                <w:sz w:val="24"/>
              </w:rPr>
              <w:t xml:space="preserve">       Ash ha</w:t>
            </w:r>
            <w:r w:rsidRPr="00AD5414">
              <w:rPr>
                <w:rFonts w:eastAsia="Calibri"/>
                <w:sz w:val="24"/>
                <w:vertAlign w:val="superscript"/>
              </w:rPr>
              <w:t>-1</w:t>
            </w:r>
          </w:p>
        </w:tc>
      </w:tr>
      <w:tr w:rsidR="00AD5414" w:rsidRPr="00AD5414" w14:paraId="71892981" w14:textId="77777777" w:rsidTr="00A3077D">
        <w:tc>
          <w:tcPr>
            <w:tcW w:w="4492" w:type="dxa"/>
            <w:tcBorders>
              <w:top w:val="single" w:sz="4" w:space="0" w:color="auto"/>
              <w:bottom w:val="nil"/>
            </w:tcBorders>
          </w:tcPr>
          <w:p w14:paraId="2F514D3B" w14:textId="77777777" w:rsidR="00AD5414" w:rsidRPr="00AD5414" w:rsidRDefault="00AD5414" w:rsidP="00AD5414">
            <w:pPr>
              <w:rPr>
                <w:rFonts w:eastAsia="Calibri"/>
                <w:sz w:val="24"/>
              </w:rPr>
            </w:pPr>
            <w:r w:rsidRPr="00AD5414">
              <w:rPr>
                <w:rFonts w:eastAsia="Calibri"/>
                <w:sz w:val="24"/>
              </w:rPr>
              <w:t>Short seedlings (&lt;25 cm tall)</w:t>
            </w:r>
          </w:p>
        </w:tc>
        <w:tc>
          <w:tcPr>
            <w:tcW w:w="2312" w:type="dxa"/>
            <w:tcBorders>
              <w:top w:val="single" w:sz="4" w:space="0" w:color="auto"/>
              <w:bottom w:val="nil"/>
            </w:tcBorders>
          </w:tcPr>
          <w:p w14:paraId="5D0CAA7F" w14:textId="77777777" w:rsidR="00AD5414" w:rsidRPr="00AD5414" w:rsidRDefault="00AD5414" w:rsidP="00AD5414">
            <w:pPr>
              <w:rPr>
                <w:rFonts w:eastAsia="Calibri"/>
                <w:sz w:val="24"/>
              </w:rPr>
            </w:pPr>
            <w:r w:rsidRPr="00AD5414">
              <w:rPr>
                <w:rFonts w:eastAsia="Calibri"/>
                <w:sz w:val="24"/>
              </w:rPr>
              <w:t>Hydric</w:t>
            </w:r>
          </w:p>
        </w:tc>
        <w:tc>
          <w:tcPr>
            <w:tcW w:w="1701" w:type="dxa"/>
            <w:tcBorders>
              <w:top w:val="single" w:sz="4" w:space="0" w:color="auto"/>
              <w:bottom w:val="nil"/>
            </w:tcBorders>
          </w:tcPr>
          <w:p w14:paraId="49F5B0B7" w14:textId="77777777" w:rsidR="00AD5414" w:rsidRPr="00AD5414" w:rsidRDefault="00AD5414" w:rsidP="00AD5414">
            <w:pPr>
              <w:rPr>
                <w:rFonts w:eastAsia="Calibri"/>
                <w:sz w:val="24"/>
              </w:rPr>
            </w:pPr>
            <w:r w:rsidRPr="00AD5414">
              <w:rPr>
                <w:rFonts w:eastAsia="Calibri"/>
                <w:sz w:val="24"/>
              </w:rPr>
              <w:t xml:space="preserve">   1,334 ± 952</w:t>
            </w:r>
          </w:p>
        </w:tc>
      </w:tr>
      <w:tr w:rsidR="00AD5414" w:rsidRPr="00AD5414" w14:paraId="2A4B3370" w14:textId="77777777" w:rsidTr="00A3077D">
        <w:tc>
          <w:tcPr>
            <w:tcW w:w="4492" w:type="dxa"/>
            <w:tcBorders>
              <w:top w:val="nil"/>
              <w:bottom w:val="nil"/>
            </w:tcBorders>
          </w:tcPr>
          <w:p w14:paraId="360A2F94" w14:textId="77777777" w:rsidR="00AD5414" w:rsidRPr="00AD5414" w:rsidRDefault="00AD5414" w:rsidP="00AD5414">
            <w:pPr>
              <w:rPr>
                <w:rFonts w:eastAsia="Calibri"/>
                <w:sz w:val="24"/>
              </w:rPr>
            </w:pPr>
          </w:p>
        </w:tc>
        <w:tc>
          <w:tcPr>
            <w:tcW w:w="2312" w:type="dxa"/>
            <w:tcBorders>
              <w:top w:val="nil"/>
              <w:bottom w:val="nil"/>
            </w:tcBorders>
          </w:tcPr>
          <w:p w14:paraId="3FD00207" w14:textId="77777777" w:rsidR="00AD5414" w:rsidRPr="00AD5414" w:rsidRDefault="00AD5414" w:rsidP="00AD5414">
            <w:pPr>
              <w:rPr>
                <w:rFonts w:eastAsia="Calibri"/>
                <w:sz w:val="24"/>
              </w:rPr>
            </w:pPr>
            <w:r w:rsidRPr="00AD5414">
              <w:rPr>
                <w:rFonts w:eastAsia="Calibri"/>
                <w:sz w:val="24"/>
              </w:rPr>
              <w:t>Mesic</w:t>
            </w:r>
          </w:p>
        </w:tc>
        <w:tc>
          <w:tcPr>
            <w:tcW w:w="1701" w:type="dxa"/>
            <w:tcBorders>
              <w:top w:val="nil"/>
              <w:bottom w:val="nil"/>
            </w:tcBorders>
          </w:tcPr>
          <w:p w14:paraId="29EAA867" w14:textId="77777777" w:rsidR="00AD5414" w:rsidRPr="00AD5414" w:rsidRDefault="00AD5414" w:rsidP="00AD5414">
            <w:pPr>
              <w:rPr>
                <w:rFonts w:eastAsia="Calibri"/>
                <w:sz w:val="24"/>
              </w:rPr>
            </w:pPr>
            <w:r w:rsidRPr="00AD5414">
              <w:rPr>
                <w:rFonts w:eastAsia="Calibri"/>
                <w:sz w:val="24"/>
              </w:rPr>
              <w:t xml:space="preserve"> 15,420 ± 4,920</w:t>
            </w:r>
          </w:p>
        </w:tc>
      </w:tr>
      <w:tr w:rsidR="00AD5414" w:rsidRPr="00AD5414" w14:paraId="20B45EB9" w14:textId="77777777" w:rsidTr="00A3077D">
        <w:tc>
          <w:tcPr>
            <w:tcW w:w="4492" w:type="dxa"/>
            <w:tcBorders>
              <w:top w:val="nil"/>
              <w:bottom w:val="nil"/>
            </w:tcBorders>
          </w:tcPr>
          <w:p w14:paraId="2201161F" w14:textId="77777777" w:rsidR="00AD5414" w:rsidRPr="00AD5414" w:rsidRDefault="00AD5414" w:rsidP="00AD5414">
            <w:pPr>
              <w:rPr>
                <w:rFonts w:eastAsia="Calibri"/>
                <w:sz w:val="24"/>
              </w:rPr>
            </w:pPr>
          </w:p>
        </w:tc>
        <w:tc>
          <w:tcPr>
            <w:tcW w:w="2312" w:type="dxa"/>
            <w:tcBorders>
              <w:top w:val="nil"/>
              <w:bottom w:val="nil"/>
            </w:tcBorders>
          </w:tcPr>
          <w:p w14:paraId="1EBA7336" w14:textId="77777777" w:rsidR="00AD5414" w:rsidRPr="00AD5414" w:rsidRDefault="00AD5414" w:rsidP="00AD5414">
            <w:pPr>
              <w:rPr>
                <w:rFonts w:eastAsia="Calibri"/>
                <w:sz w:val="24"/>
              </w:rPr>
            </w:pPr>
            <w:r w:rsidRPr="00AD5414">
              <w:rPr>
                <w:rFonts w:eastAsia="Calibri"/>
                <w:sz w:val="24"/>
              </w:rPr>
              <w:t>Xeric</w:t>
            </w:r>
          </w:p>
        </w:tc>
        <w:tc>
          <w:tcPr>
            <w:tcW w:w="1701" w:type="dxa"/>
            <w:tcBorders>
              <w:top w:val="nil"/>
              <w:bottom w:val="nil"/>
            </w:tcBorders>
          </w:tcPr>
          <w:p w14:paraId="71E2B12F" w14:textId="77777777" w:rsidR="00AD5414" w:rsidRPr="00AD5414" w:rsidRDefault="00AD5414" w:rsidP="00AD5414">
            <w:pPr>
              <w:rPr>
                <w:rFonts w:eastAsia="Calibri"/>
                <w:sz w:val="24"/>
              </w:rPr>
            </w:pPr>
            <w:r w:rsidRPr="00AD5414">
              <w:rPr>
                <w:rFonts w:eastAsia="Calibri"/>
                <w:sz w:val="24"/>
              </w:rPr>
              <w:t xml:space="preserve">   9,895 ± 2,458</w:t>
            </w:r>
          </w:p>
        </w:tc>
      </w:tr>
      <w:tr w:rsidR="00AD5414" w:rsidRPr="00AD5414" w14:paraId="74C99BAC" w14:textId="77777777" w:rsidTr="00A3077D">
        <w:tc>
          <w:tcPr>
            <w:tcW w:w="4492" w:type="dxa"/>
            <w:tcBorders>
              <w:top w:val="nil"/>
              <w:bottom w:val="nil"/>
            </w:tcBorders>
          </w:tcPr>
          <w:p w14:paraId="42A2A26B" w14:textId="77777777" w:rsidR="00AD5414" w:rsidRPr="00AD5414" w:rsidRDefault="00AD5414" w:rsidP="00AD5414">
            <w:pPr>
              <w:rPr>
                <w:rFonts w:eastAsia="Calibri"/>
                <w:sz w:val="24"/>
              </w:rPr>
            </w:pPr>
          </w:p>
        </w:tc>
        <w:tc>
          <w:tcPr>
            <w:tcW w:w="2312" w:type="dxa"/>
            <w:tcBorders>
              <w:top w:val="nil"/>
              <w:bottom w:val="nil"/>
            </w:tcBorders>
          </w:tcPr>
          <w:p w14:paraId="743DBA16" w14:textId="77777777" w:rsidR="00AD5414" w:rsidRPr="00AD5414" w:rsidRDefault="00AD5414" w:rsidP="00AD5414">
            <w:pPr>
              <w:rPr>
                <w:rFonts w:eastAsia="Calibri"/>
                <w:sz w:val="24"/>
              </w:rPr>
            </w:pPr>
            <w:r w:rsidRPr="00AD5414">
              <w:rPr>
                <w:rFonts w:eastAsia="Calibri"/>
                <w:sz w:val="24"/>
              </w:rPr>
              <w:t>Combined</w:t>
            </w:r>
          </w:p>
        </w:tc>
        <w:tc>
          <w:tcPr>
            <w:tcW w:w="1701" w:type="dxa"/>
            <w:tcBorders>
              <w:top w:val="nil"/>
              <w:bottom w:val="nil"/>
            </w:tcBorders>
          </w:tcPr>
          <w:p w14:paraId="7F18C850" w14:textId="77777777" w:rsidR="00AD5414" w:rsidRPr="00AD5414" w:rsidRDefault="00AD5414" w:rsidP="00AD5414">
            <w:pPr>
              <w:rPr>
                <w:rFonts w:eastAsia="Calibri"/>
                <w:sz w:val="24"/>
              </w:rPr>
            </w:pPr>
            <w:r w:rsidRPr="00AD5414">
              <w:rPr>
                <w:rFonts w:eastAsia="Calibri"/>
                <w:sz w:val="24"/>
              </w:rPr>
              <w:t xml:space="preserve">   8,776 ± 1,824</w:t>
            </w:r>
          </w:p>
        </w:tc>
      </w:tr>
      <w:tr w:rsidR="00AD5414" w:rsidRPr="00AD5414" w14:paraId="661C81F2" w14:textId="77777777" w:rsidTr="00A3077D">
        <w:tc>
          <w:tcPr>
            <w:tcW w:w="4492" w:type="dxa"/>
            <w:tcBorders>
              <w:top w:val="nil"/>
              <w:bottom w:val="nil"/>
            </w:tcBorders>
          </w:tcPr>
          <w:p w14:paraId="75660400" w14:textId="77777777" w:rsidR="00AD5414" w:rsidRPr="00AD5414" w:rsidRDefault="00AD5414" w:rsidP="00AD5414">
            <w:pPr>
              <w:rPr>
                <w:rFonts w:eastAsia="Calibri"/>
                <w:sz w:val="24"/>
              </w:rPr>
            </w:pPr>
          </w:p>
        </w:tc>
        <w:tc>
          <w:tcPr>
            <w:tcW w:w="2312" w:type="dxa"/>
            <w:tcBorders>
              <w:top w:val="nil"/>
              <w:bottom w:val="nil"/>
            </w:tcBorders>
          </w:tcPr>
          <w:p w14:paraId="65B47134" w14:textId="77777777" w:rsidR="00AD5414" w:rsidRPr="00AD5414" w:rsidRDefault="00AD5414" w:rsidP="00AD5414">
            <w:pPr>
              <w:rPr>
                <w:rFonts w:eastAsia="Calibri"/>
                <w:sz w:val="24"/>
              </w:rPr>
            </w:pPr>
          </w:p>
        </w:tc>
        <w:tc>
          <w:tcPr>
            <w:tcW w:w="1701" w:type="dxa"/>
            <w:tcBorders>
              <w:top w:val="nil"/>
              <w:bottom w:val="nil"/>
            </w:tcBorders>
          </w:tcPr>
          <w:p w14:paraId="5667C5CF" w14:textId="77777777" w:rsidR="00AD5414" w:rsidRPr="00AD5414" w:rsidRDefault="00AD5414" w:rsidP="00AD5414">
            <w:pPr>
              <w:rPr>
                <w:rFonts w:eastAsia="Calibri"/>
                <w:sz w:val="24"/>
              </w:rPr>
            </w:pPr>
          </w:p>
        </w:tc>
      </w:tr>
      <w:tr w:rsidR="00AD5414" w:rsidRPr="00AD5414" w14:paraId="1508DE0E" w14:textId="77777777" w:rsidTr="00A3077D">
        <w:tc>
          <w:tcPr>
            <w:tcW w:w="4492" w:type="dxa"/>
            <w:tcBorders>
              <w:top w:val="nil"/>
            </w:tcBorders>
          </w:tcPr>
          <w:p w14:paraId="6EB20265" w14:textId="77777777" w:rsidR="00AD5414" w:rsidRPr="00AD5414" w:rsidRDefault="00AD5414" w:rsidP="00AD5414">
            <w:pPr>
              <w:rPr>
                <w:rFonts w:eastAsia="Calibri"/>
                <w:sz w:val="24"/>
              </w:rPr>
            </w:pPr>
            <w:r w:rsidRPr="00AD5414">
              <w:rPr>
                <w:rFonts w:eastAsia="Calibri"/>
                <w:sz w:val="24"/>
              </w:rPr>
              <w:t>Tall seedlings (25-137 cm tall)</w:t>
            </w:r>
          </w:p>
        </w:tc>
        <w:tc>
          <w:tcPr>
            <w:tcW w:w="2312" w:type="dxa"/>
            <w:tcBorders>
              <w:top w:val="nil"/>
            </w:tcBorders>
          </w:tcPr>
          <w:p w14:paraId="3E12C298" w14:textId="77777777" w:rsidR="00AD5414" w:rsidRPr="00AD5414" w:rsidRDefault="00AD5414" w:rsidP="00AD5414">
            <w:pPr>
              <w:rPr>
                <w:rFonts w:eastAsia="Calibri"/>
                <w:sz w:val="24"/>
              </w:rPr>
            </w:pPr>
            <w:r w:rsidRPr="00AD5414">
              <w:rPr>
                <w:rFonts w:eastAsia="Calibri"/>
                <w:sz w:val="24"/>
              </w:rPr>
              <w:t>Hydric</w:t>
            </w:r>
          </w:p>
        </w:tc>
        <w:tc>
          <w:tcPr>
            <w:tcW w:w="1701" w:type="dxa"/>
            <w:tcBorders>
              <w:top w:val="nil"/>
            </w:tcBorders>
          </w:tcPr>
          <w:p w14:paraId="70C01C41" w14:textId="77777777" w:rsidR="00AD5414" w:rsidRPr="00AD5414" w:rsidRDefault="00AD5414" w:rsidP="00AD5414">
            <w:pPr>
              <w:rPr>
                <w:rFonts w:eastAsia="Calibri"/>
                <w:sz w:val="24"/>
              </w:rPr>
            </w:pPr>
            <w:r w:rsidRPr="00AD5414">
              <w:rPr>
                <w:rFonts w:eastAsia="Calibri"/>
                <w:sz w:val="24"/>
              </w:rPr>
              <w:t xml:space="preserve">   2,381 ± 994</w:t>
            </w:r>
          </w:p>
        </w:tc>
      </w:tr>
      <w:tr w:rsidR="00AD5414" w:rsidRPr="00AD5414" w14:paraId="1342D4CE" w14:textId="77777777" w:rsidTr="00A3077D">
        <w:tc>
          <w:tcPr>
            <w:tcW w:w="4492" w:type="dxa"/>
            <w:tcBorders>
              <w:top w:val="nil"/>
            </w:tcBorders>
          </w:tcPr>
          <w:p w14:paraId="103B7D0E" w14:textId="77777777" w:rsidR="00AD5414" w:rsidRPr="00AD5414" w:rsidRDefault="00AD5414" w:rsidP="00AD5414">
            <w:pPr>
              <w:rPr>
                <w:rFonts w:eastAsia="Calibri"/>
                <w:sz w:val="24"/>
              </w:rPr>
            </w:pPr>
          </w:p>
        </w:tc>
        <w:tc>
          <w:tcPr>
            <w:tcW w:w="2312" w:type="dxa"/>
            <w:tcBorders>
              <w:top w:val="nil"/>
            </w:tcBorders>
          </w:tcPr>
          <w:p w14:paraId="55393DE1" w14:textId="77777777" w:rsidR="00AD5414" w:rsidRPr="00AD5414" w:rsidRDefault="00AD5414" w:rsidP="00AD5414">
            <w:pPr>
              <w:rPr>
                <w:rFonts w:eastAsia="Calibri"/>
                <w:sz w:val="24"/>
              </w:rPr>
            </w:pPr>
            <w:r w:rsidRPr="00AD5414">
              <w:rPr>
                <w:rFonts w:eastAsia="Calibri"/>
                <w:sz w:val="24"/>
              </w:rPr>
              <w:t>Mesic</w:t>
            </w:r>
          </w:p>
        </w:tc>
        <w:tc>
          <w:tcPr>
            <w:tcW w:w="1701" w:type="dxa"/>
            <w:tcBorders>
              <w:top w:val="nil"/>
            </w:tcBorders>
          </w:tcPr>
          <w:p w14:paraId="1007B8A2" w14:textId="77777777" w:rsidR="00AD5414" w:rsidRPr="00AD5414" w:rsidRDefault="00AD5414" w:rsidP="00AD5414">
            <w:pPr>
              <w:rPr>
                <w:rFonts w:eastAsia="Calibri"/>
                <w:sz w:val="24"/>
              </w:rPr>
            </w:pPr>
            <w:r w:rsidRPr="00AD5414">
              <w:rPr>
                <w:rFonts w:eastAsia="Calibri"/>
                <w:sz w:val="24"/>
              </w:rPr>
              <w:t xml:space="preserve"> 13,085 ± 2,563</w:t>
            </w:r>
          </w:p>
        </w:tc>
      </w:tr>
      <w:tr w:rsidR="00AD5414" w:rsidRPr="00AD5414" w14:paraId="6BBD9473" w14:textId="77777777" w:rsidTr="00A3077D">
        <w:tc>
          <w:tcPr>
            <w:tcW w:w="4492" w:type="dxa"/>
            <w:tcBorders>
              <w:top w:val="nil"/>
            </w:tcBorders>
          </w:tcPr>
          <w:p w14:paraId="05EA8DEC" w14:textId="77777777" w:rsidR="00AD5414" w:rsidRPr="00AD5414" w:rsidRDefault="00AD5414" w:rsidP="00AD5414">
            <w:pPr>
              <w:rPr>
                <w:rFonts w:eastAsia="Calibri"/>
                <w:sz w:val="24"/>
              </w:rPr>
            </w:pPr>
          </w:p>
        </w:tc>
        <w:tc>
          <w:tcPr>
            <w:tcW w:w="2312" w:type="dxa"/>
            <w:tcBorders>
              <w:top w:val="nil"/>
            </w:tcBorders>
          </w:tcPr>
          <w:p w14:paraId="12535B39" w14:textId="77777777" w:rsidR="00AD5414" w:rsidRPr="00AD5414" w:rsidRDefault="00AD5414" w:rsidP="00AD5414">
            <w:pPr>
              <w:rPr>
                <w:rFonts w:eastAsia="Calibri"/>
                <w:sz w:val="24"/>
              </w:rPr>
            </w:pPr>
            <w:r w:rsidRPr="00AD5414">
              <w:rPr>
                <w:rFonts w:eastAsia="Calibri"/>
                <w:sz w:val="24"/>
              </w:rPr>
              <w:t>Xeric</w:t>
            </w:r>
          </w:p>
        </w:tc>
        <w:tc>
          <w:tcPr>
            <w:tcW w:w="1701" w:type="dxa"/>
            <w:tcBorders>
              <w:top w:val="nil"/>
            </w:tcBorders>
          </w:tcPr>
          <w:p w14:paraId="22DF4DEF" w14:textId="77777777" w:rsidR="00AD5414" w:rsidRPr="00AD5414" w:rsidRDefault="00AD5414" w:rsidP="00AD5414">
            <w:pPr>
              <w:rPr>
                <w:rFonts w:eastAsia="Calibri"/>
                <w:sz w:val="24"/>
              </w:rPr>
            </w:pPr>
            <w:r w:rsidRPr="00AD5414">
              <w:rPr>
                <w:rFonts w:eastAsia="Calibri"/>
                <w:sz w:val="24"/>
              </w:rPr>
              <w:t xml:space="preserve">   8,351 ± 1,625</w:t>
            </w:r>
          </w:p>
        </w:tc>
      </w:tr>
      <w:tr w:rsidR="00AD5414" w:rsidRPr="00AD5414" w14:paraId="49FBF49F" w14:textId="77777777" w:rsidTr="00A3077D">
        <w:tc>
          <w:tcPr>
            <w:tcW w:w="4492" w:type="dxa"/>
            <w:tcBorders>
              <w:top w:val="nil"/>
            </w:tcBorders>
          </w:tcPr>
          <w:p w14:paraId="62F4FCAE" w14:textId="77777777" w:rsidR="00AD5414" w:rsidRPr="00AD5414" w:rsidRDefault="00AD5414" w:rsidP="00AD5414">
            <w:pPr>
              <w:rPr>
                <w:rFonts w:eastAsia="Calibri"/>
                <w:sz w:val="24"/>
              </w:rPr>
            </w:pPr>
          </w:p>
        </w:tc>
        <w:tc>
          <w:tcPr>
            <w:tcW w:w="2312" w:type="dxa"/>
            <w:tcBorders>
              <w:top w:val="nil"/>
            </w:tcBorders>
          </w:tcPr>
          <w:p w14:paraId="6B8E979E" w14:textId="77777777" w:rsidR="00AD5414" w:rsidRPr="00AD5414" w:rsidRDefault="00AD5414" w:rsidP="00AD5414">
            <w:pPr>
              <w:rPr>
                <w:rFonts w:eastAsia="Calibri"/>
                <w:sz w:val="24"/>
              </w:rPr>
            </w:pPr>
            <w:r w:rsidRPr="00AD5414">
              <w:rPr>
                <w:rFonts w:eastAsia="Calibri"/>
                <w:sz w:val="24"/>
              </w:rPr>
              <w:t>Combined</w:t>
            </w:r>
          </w:p>
        </w:tc>
        <w:tc>
          <w:tcPr>
            <w:tcW w:w="1701" w:type="dxa"/>
            <w:tcBorders>
              <w:top w:val="nil"/>
            </w:tcBorders>
          </w:tcPr>
          <w:p w14:paraId="585B84A1" w14:textId="77777777" w:rsidR="00AD5414" w:rsidRPr="00AD5414" w:rsidRDefault="00AD5414" w:rsidP="00AD5414">
            <w:pPr>
              <w:rPr>
                <w:rFonts w:eastAsia="Calibri"/>
                <w:sz w:val="24"/>
              </w:rPr>
            </w:pPr>
            <w:r w:rsidRPr="00AD5414">
              <w:rPr>
                <w:rFonts w:eastAsia="Calibri"/>
                <w:sz w:val="24"/>
              </w:rPr>
              <w:t xml:space="preserve">   7,761 ± 1,189</w:t>
            </w:r>
          </w:p>
        </w:tc>
      </w:tr>
      <w:tr w:rsidR="00AD5414" w:rsidRPr="00AD5414" w14:paraId="652C5845" w14:textId="77777777" w:rsidTr="00A3077D">
        <w:tc>
          <w:tcPr>
            <w:tcW w:w="4492" w:type="dxa"/>
            <w:tcBorders>
              <w:top w:val="nil"/>
            </w:tcBorders>
          </w:tcPr>
          <w:p w14:paraId="61E45353" w14:textId="77777777" w:rsidR="00AD5414" w:rsidRPr="00AD5414" w:rsidRDefault="00AD5414" w:rsidP="00AD5414">
            <w:pPr>
              <w:rPr>
                <w:rFonts w:eastAsia="Calibri"/>
                <w:sz w:val="24"/>
              </w:rPr>
            </w:pPr>
          </w:p>
        </w:tc>
        <w:tc>
          <w:tcPr>
            <w:tcW w:w="2312" w:type="dxa"/>
            <w:tcBorders>
              <w:top w:val="nil"/>
            </w:tcBorders>
          </w:tcPr>
          <w:p w14:paraId="0F5D6FA5" w14:textId="77777777" w:rsidR="00AD5414" w:rsidRPr="00AD5414" w:rsidRDefault="00AD5414" w:rsidP="00AD5414">
            <w:pPr>
              <w:rPr>
                <w:rFonts w:eastAsia="Calibri"/>
                <w:sz w:val="24"/>
              </w:rPr>
            </w:pPr>
          </w:p>
        </w:tc>
        <w:tc>
          <w:tcPr>
            <w:tcW w:w="1701" w:type="dxa"/>
            <w:tcBorders>
              <w:top w:val="nil"/>
            </w:tcBorders>
          </w:tcPr>
          <w:p w14:paraId="0E90D447" w14:textId="77777777" w:rsidR="00AD5414" w:rsidRPr="00AD5414" w:rsidRDefault="00AD5414" w:rsidP="00AD5414">
            <w:pPr>
              <w:rPr>
                <w:rFonts w:eastAsia="Calibri"/>
                <w:sz w:val="24"/>
              </w:rPr>
            </w:pPr>
          </w:p>
        </w:tc>
      </w:tr>
      <w:tr w:rsidR="00AD5414" w:rsidRPr="00AD5414" w14:paraId="0C44CE25" w14:textId="77777777" w:rsidTr="00A3077D">
        <w:tc>
          <w:tcPr>
            <w:tcW w:w="4492" w:type="dxa"/>
          </w:tcPr>
          <w:p w14:paraId="71433CE9" w14:textId="77777777" w:rsidR="00AD5414" w:rsidRPr="00AD5414" w:rsidRDefault="00AD5414" w:rsidP="00AD5414">
            <w:pPr>
              <w:rPr>
                <w:rFonts w:eastAsia="Calibri"/>
                <w:sz w:val="24"/>
              </w:rPr>
            </w:pPr>
            <w:r w:rsidRPr="00AD5414">
              <w:rPr>
                <w:rFonts w:eastAsia="Calibri"/>
                <w:sz w:val="24"/>
              </w:rPr>
              <w:t>Saplings (&gt;137 cm tall and &lt;2.5 cm DBH)</w:t>
            </w:r>
          </w:p>
        </w:tc>
        <w:tc>
          <w:tcPr>
            <w:tcW w:w="2312" w:type="dxa"/>
          </w:tcPr>
          <w:p w14:paraId="3B849B6C" w14:textId="77777777" w:rsidR="00AD5414" w:rsidRPr="00AD5414" w:rsidRDefault="00AD5414" w:rsidP="00AD5414">
            <w:pPr>
              <w:rPr>
                <w:rFonts w:eastAsia="Calibri"/>
                <w:sz w:val="24"/>
              </w:rPr>
            </w:pPr>
            <w:r w:rsidRPr="00AD5414">
              <w:rPr>
                <w:rFonts w:eastAsia="Calibri"/>
                <w:sz w:val="24"/>
              </w:rPr>
              <w:t>Hydric</w:t>
            </w:r>
          </w:p>
        </w:tc>
        <w:tc>
          <w:tcPr>
            <w:tcW w:w="1701" w:type="dxa"/>
          </w:tcPr>
          <w:p w14:paraId="694B63E9" w14:textId="77777777" w:rsidR="00AD5414" w:rsidRPr="00AD5414" w:rsidRDefault="00AD5414" w:rsidP="00AD5414">
            <w:pPr>
              <w:rPr>
                <w:rFonts w:eastAsia="Calibri"/>
                <w:sz w:val="24"/>
              </w:rPr>
            </w:pPr>
            <w:r w:rsidRPr="00AD5414">
              <w:rPr>
                <w:rFonts w:eastAsia="Calibri"/>
                <w:sz w:val="24"/>
              </w:rPr>
              <w:t xml:space="preserve">      360 ± 79</w:t>
            </w:r>
          </w:p>
        </w:tc>
      </w:tr>
      <w:tr w:rsidR="00AD5414" w:rsidRPr="00AD5414" w14:paraId="0BD1BDD1" w14:textId="77777777" w:rsidTr="00A3077D">
        <w:tc>
          <w:tcPr>
            <w:tcW w:w="4492" w:type="dxa"/>
          </w:tcPr>
          <w:p w14:paraId="46A51584" w14:textId="77777777" w:rsidR="00AD5414" w:rsidRPr="00AD5414" w:rsidRDefault="00AD5414" w:rsidP="00AD5414">
            <w:pPr>
              <w:rPr>
                <w:rFonts w:eastAsia="Calibri"/>
                <w:sz w:val="24"/>
              </w:rPr>
            </w:pPr>
          </w:p>
        </w:tc>
        <w:tc>
          <w:tcPr>
            <w:tcW w:w="2312" w:type="dxa"/>
          </w:tcPr>
          <w:p w14:paraId="46374C02" w14:textId="77777777" w:rsidR="00AD5414" w:rsidRPr="00AD5414" w:rsidRDefault="00AD5414" w:rsidP="00AD5414">
            <w:pPr>
              <w:rPr>
                <w:rFonts w:eastAsia="Calibri"/>
                <w:sz w:val="24"/>
              </w:rPr>
            </w:pPr>
            <w:r w:rsidRPr="00AD5414">
              <w:rPr>
                <w:rFonts w:eastAsia="Calibri"/>
                <w:sz w:val="24"/>
              </w:rPr>
              <w:t>Mesic</w:t>
            </w:r>
          </w:p>
        </w:tc>
        <w:tc>
          <w:tcPr>
            <w:tcW w:w="1701" w:type="dxa"/>
          </w:tcPr>
          <w:p w14:paraId="526BC783" w14:textId="77777777" w:rsidR="00AD5414" w:rsidRPr="00AD5414" w:rsidRDefault="00AD5414" w:rsidP="00AD5414">
            <w:pPr>
              <w:rPr>
                <w:rFonts w:eastAsia="Calibri"/>
                <w:sz w:val="24"/>
              </w:rPr>
            </w:pPr>
            <w:r w:rsidRPr="00AD5414">
              <w:rPr>
                <w:rFonts w:eastAsia="Calibri"/>
                <w:sz w:val="24"/>
              </w:rPr>
              <w:t xml:space="preserve">      472 ± 205</w:t>
            </w:r>
          </w:p>
        </w:tc>
      </w:tr>
      <w:tr w:rsidR="00AD5414" w:rsidRPr="00AD5414" w14:paraId="07ECD112" w14:textId="77777777" w:rsidTr="00A3077D">
        <w:tc>
          <w:tcPr>
            <w:tcW w:w="4492" w:type="dxa"/>
          </w:tcPr>
          <w:p w14:paraId="086BAA82" w14:textId="77777777" w:rsidR="00AD5414" w:rsidRPr="00AD5414" w:rsidRDefault="00AD5414" w:rsidP="00AD5414">
            <w:pPr>
              <w:rPr>
                <w:rFonts w:eastAsia="Calibri"/>
                <w:sz w:val="24"/>
              </w:rPr>
            </w:pPr>
          </w:p>
        </w:tc>
        <w:tc>
          <w:tcPr>
            <w:tcW w:w="2312" w:type="dxa"/>
          </w:tcPr>
          <w:p w14:paraId="2578FDD1" w14:textId="77777777" w:rsidR="00AD5414" w:rsidRPr="00AD5414" w:rsidRDefault="00AD5414" w:rsidP="00AD5414">
            <w:pPr>
              <w:rPr>
                <w:rFonts w:eastAsia="Calibri"/>
                <w:sz w:val="24"/>
              </w:rPr>
            </w:pPr>
            <w:r w:rsidRPr="00AD5414">
              <w:rPr>
                <w:rFonts w:eastAsia="Calibri"/>
                <w:sz w:val="24"/>
              </w:rPr>
              <w:t>Xeric</w:t>
            </w:r>
          </w:p>
        </w:tc>
        <w:tc>
          <w:tcPr>
            <w:tcW w:w="1701" w:type="dxa"/>
          </w:tcPr>
          <w:p w14:paraId="2DAE046F" w14:textId="77777777" w:rsidR="00AD5414" w:rsidRPr="00AD5414" w:rsidRDefault="00AD5414" w:rsidP="00AD5414">
            <w:pPr>
              <w:rPr>
                <w:rFonts w:eastAsia="Calibri"/>
                <w:sz w:val="24"/>
              </w:rPr>
            </w:pPr>
            <w:r w:rsidRPr="00AD5414">
              <w:rPr>
                <w:rFonts w:eastAsia="Calibri"/>
                <w:sz w:val="24"/>
              </w:rPr>
              <w:t xml:space="preserve">      517 ± 286</w:t>
            </w:r>
          </w:p>
        </w:tc>
      </w:tr>
      <w:tr w:rsidR="00AD5414" w:rsidRPr="00AD5414" w14:paraId="38E824DB" w14:textId="77777777" w:rsidTr="00A3077D">
        <w:tc>
          <w:tcPr>
            <w:tcW w:w="4492" w:type="dxa"/>
          </w:tcPr>
          <w:p w14:paraId="231D629A" w14:textId="77777777" w:rsidR="00AD5414" w:rsidRPr="00AD5414" w:rsidRDefault="00AD5414" w:rsidP="00AD5414">
            <w:pPr>
              <w:rPr>
                <w:rFonts w:eastAsia="Calibri"/>
                <w:sz w:val="24"/>
              </w:rPr>
            </w:pPr>
          </w:p>
        </w:tc>
        <w:tc>
          <w:tcPr>
            <w:tcW w:w="2312" w:type="dxa"/>
          </w:tcPr>
          <w:p w14:paraId="395C773A" w14:textId="77777777" w:rsidR="00AD5414" w:rsidRPr="00AD5414" w:rsidRDefault="00AD5414" w:rsidP="00AD5414">
            <w:pPr>
              <w:rPr>
                <w:rFonts w:eastAsia="Calibri"/>
                <w:sz w:val="24"/>
              </w:rPr>
            </w:pPr>
            <w:r w:rsidRPr="00AD5414">
              <w:rPr>
                <w:rFonts w:eastAsia="Calibri"/>
                <w:sz w:val="24"/>
              </w:rPr>
              <w:t>Combined</w:t>
            </w:r>
          </w:p>
        </w:tc>
        <w:tc>
          <w:tcPr>
            <w:tcW w:w="1701" w:type="dxa"/>
          </w:tcPr>
          <w:p w14:paraId="2B56B846" w14:textId="77777777" w:rsidR="00AD5414" w:rsidRPr="00AD5414" w:rsidRDefault="00AD5414" w:rsidP="00AD5414">
            <w:pPr>
              <w:rPr>
                <w:rFonts w:eastAsia="Calibri"/>
                <w:sz w:val="24"/>
              </w:rPr>
            </w:pPr>
            <w:r w:rsidRPr="00AD5414">
              <w:rPr>
                <w:rFonts w:eastAsia="Calibri"/>
                <w:sz w:val="24"/>
              </w:rPr>
              <w:t xml:space="preserve">      465 ± 152</w:t>
            </w:r>
          </w:p>
        </w:tc>
      </w:tr>
      <w:tr w:rsidR="00AD5414" w:rsidRPr="00AD5414" w14:paraId="6AB2B8BD" w14:textId="77777777" w:rsidTr="00A3077D">
        <w:tc>
          <w:tcPr>
            <w:tcW w:w="4492" w:type="dxa"/>
          </w:tcPr>
          <w:p w14:paraId="3CDAADB7" w14:textId="77777777" w:rsidR="00AD5414" w:rsidRPr="00AD5414" w:rsidRDefault="00AD5414" w:rsidP="00AD5414">
            <w:pPr>
              <w:rPr>
                <w:rFonts w:eastAsia="Calibri"/>
                <w:sz w:val="24"/>
              </w:rPr>
            </w:pPr>
          </w:p>
        </w:tc>
        <w:tc>
          <w:tcPr>
            <w:tcW w:w="2312" w:type="dxa"/>
          </w:tcPr>
          <w:p w14:paraId="2C471C40" w14:textId="77777777" w:rsidR="00AD5414" w:rsidRPr="00AD5414" w:rsidRDefault="00AD5414" w:rsidP="00AD5414">
            <w:pPr>
              <w:rPr>
                <w:rFonts w:eastAsia="Calibri"/>
                <w:sz w:val="24"/>
              </w:rPr>
            </w:pPr>
          </w:p>
        </w:tc>
        <w:tc>
          <w:tcPr>
            <w:tcW w:w="1701" w:type="dxa"/>
          </w:tcPr>
          <w:p w14:paraId="3F1383C3" w14:textId="77777777" w:rsidR="00AD5414" w:rsidRPr="00AD5414" w:rsidRDefault="00AD5414" w:rsidP="00AD5414">
            <w:pPr>
              <w:rPr>
                <w:rFonts w:eastAsia="Calibri"/>
                <w:sz w:val="24"/>
              </w:rPr>
            </w:pPr>
          </w:p>
        </w:tc>
      </w:tr>
      <w:tr w:rsidR="00AD5414" w:rsidRPr="00AD5414" w14:paraId="2F7EF0EC" w14:textId="77777777" w:rsidTr="00A3077D">
        <w:tc>
          <w:tcPr>
            <w:tcW w:w="4492" w:type="dxa"/>
          </w:tcPr>
          <w:p w14:paraId="65660FE3" w14:textId="77777777" w:rsidR="00AD5414" w:rsidRPr="00AD5414" w:rsidRDefault="00AD5414" w:rsidP="00AD5414">
            <w:pPr>
              <w:rPr>
                <w:rFonts w:eastAsia="Calibri"/>
                <w:sz w:val="24"/>
              </w:rPr>
            </w:pPr>
            <w:r w:rsidRPr="00AD5414">
              <w:rPr>
                <w:rFonts w:eastAsia="Calibri"/>
                <w:sz w:val="24"/>
              </w:rPr>
              <w:t>Understory trees (2.5 – 10 cm DBH)</w:t>
            </w:r>
          </w:p>
        </w:tc>
        <w:tc>
          <w:tcPr>
            <w:tcW w:w="2312" w:type="dxa"/>
          </w:tcPr>
          <w:p w14:paraId="177C6084" w14:textId="77777777" w:rsidR="00AD5414" w:rsidRPr="00AD5414" w:rsidRDefault="00AD5414" w:rsidP="00AD5414">
            <w:pPr>
              <w:rPr>
                <w:rFonts w:eastAsia="Calibri"/>
                <w:sz w:val="24"/>
              </w:rPr>
            </w:pPr>
            <w:r w:rsidRPr="00AD5414">
              <w:rPr>
                <w:rFonts w:eastAsia="Calibri"/>
                <w:sz w:val="24"/>
              </w:rPr>
              <w:t>Hydric</w:t>
            </w:r>
          </w:p>
        </w:tc>
        <w:tc>
          <w:tcPr>
            <w:tcW w:w="1701" w:type="dxa"/>
          </w:tcPr>
          <w:p w14:paraId="198F74C2" w14:textId="77777777" w:rsidR="00AD5414" w:rsidRPr="00AD5414" w:rsidRDefault="00AD5414" w:rsidP="00AD5414">
            <w:pPr>
              <w:rPr>
                <w:rFonts w:eastAsia="Calibri"/>
                <w:sz w:val="24"/>
              </w:rPr>
            </w:pPr>
            <w:r w:rsidRPr="00AD5414">
              <w:rPr>
                <w:rFonts w:eastAsia="Calibri"/>
                <w:sz w:val="24"/>
              </w:rPr>
              <w:t xml:space="preserve">      401 ± 145</w:t>
            </w:r>
          </w:p>
        </w:tc>
      </w:tr>
      <w:tr w:rsidR="00AD5414" w:rsidRPr="00AD5414" w14:paraId="7800B837" w14:textId="77777777" w:rsidTr="00A3077D">
        <w:tc>
          <w:tcPr>
            <w:tcW w:w="4492" w:type="dxa"/>
          </w:tcPr>
          <w:p w14:paraId="33ED5B49" w14:textId="77777777" w:rsidR="00AD5414" w:rsidRPr="00AD5414" w:rsidRDefault="00AD5414" w:rsidP="00AD5414">
            <w:pPr>
              <w:rPr>
                <w:rFonts w:eastAsia="Calibri"/>
                <w:sz w:val="24"/>
              </w:rPr>
            </w:pPr>
          </w:p>
        </w:tc>
        <w:tc>
          <w:tcPr>
            <w:tcW w:w="2312" w:type="dxa"/>
          </w:tcPr>
          <w:p w14:paraId="33D3D949" w14:textId="77777777" w:rsidR="00AD5414" w:rsidRPr="00AD5414" w:rsidRDefault="00AD5414" w:rsidP="00AD5414">
            <w:pPr>
              <w:rPr>
                <w:rFonts w:eastAsia="Calibri"/>
                <w:sz w:val="24"/>
              </w:rPr>
            </w:pPr>
            <w:r w:rsidRPr="00AD5414">
              <w:rPr>
                <w:rFonts w:eastAsia="Calibri"/>
                <w:sz w:val="24"/>
              </w:rPr>
              <w:t>Mesic</w:t>
            </w:r>
          </w:p>
        </w:tc>
        <w:tc>
          <w:tcPr>
            <w:tcW w:w="1701" w:type="dxa"/>
          </w:tcPr>
          <w:p w14:paraId="61439039" w14:textId="77777777" w:rsidR="00AD5414" w:rsidRPr="00AD5414" w:rsidRDefault="00AD5414" w:rsidP="00AD5414">
            <w:pPr>
              <w:rPr>
                <w:rFonts w:eastAsia="Calibri"/>
                <w:sz w:val="24"/>
              </w:rPr>
            </w:pPr>
            <w:r w:rsidRPr="00AD5414">
              <w:rPr>
                <w:rFonts w:eastAsia="Calibri"/>
                <w:sz w:val="24"/>
              </w:rPr>
              <w:t xml:space="preserve">        37 ± 31</w:t>
            </w:r>
          </w:p>
        </w:tc>
      </w:tr>
      <w:tr w:rsidR="00AD5414" w:rsidRPr="00AD5414" w14:paraId="0C1BABF8" w14:textId="77777777" w:rsidTr="00A3077D">
        <w:tc>
          <w:tcPr>
            <w:tcW w:w="4492" w:type="dxa"/>
          </w:tcPr>
          <w:p w14:paraId="4EA80A32" w14:textId="77777777" w:rsidR="00AD5414" w:rsidRPr="00AD5414" w:rsidRDefault="00AD5414" w:rsidP="00AD5414">
            <w:pPr>
              <w:rPr>
                <w:rFonts w:eastAsia="Calibri"/>
                <w:sz w:val="24"/>
              </w:rPr>
            </w:pPr>
          </w:p>
        </w:tc>
        <w:tc>
          <w:tcPr>
            <w:tcW w:w="2312" w:type="dxa"/>
          </w:tcPr>
          <w:p w14:paraId="1F9BEF84" w14:textId="77777777" w:rsidR="00AD5414" w:rsidRPr="00AD5414" w:rsidRDefault="00AD5414" w:rsidP="00AD5414">
            <w:pPr>
              <w:rPr>
                <w:rFonts w:eastAsia="Calibri"/>
                <w:sz w:val="24"/>
              </w:rPr>
            </w:pPr>
            <w:r w:rsidRPr="00AD5414">
              <w:rPr>
                <w:rFonts w:eastAsia="Calibri"/>
                <w:sz w:val="24"/>
              </w:rPr>
              <w:t>Xeric</w:t>
            </w:r>
          </w:p>
        </w:tc>
        <w:tc>
          <w:tcPr>
            <w:tcW w:w="1701" w:type="dxa"/>
          </w:tcPr>
          <w:p w14:paraId="3C405C24" w14:textId="77777777" w:rsidR="00AD5414" w:rsidRPr="00AD5414" w:rsidRDefault="00AD5414" w:rsidP="00AD5414">
            <w:pPr>
              <w:rPr>
                <w:rFonts w:eastAsia="Calibri"/>
                <w:sz w:val="24"/>
              </w:rPr>
            </w:pPr>
            <w:r w:rsidRPr="00AD5414">
              <w:rPr>
                <w:rFonts w:eastAsia="Calibri"/>
                <w:sz w:val="24"/>
              </w:rPr>
              <w:t xml:space="preserve">        14 ± 7</w:t>
            </w:r>
          </w:p>
        </w:tc>
      </w:tr>
      <w:tr w:rsidR="00AD5414" w:rsidRPr="00AD5414" w14:paraId="5C5B2CB8" w14:textId="77777777" w:rsidTr="00A3077D">
        <w:tc>
          <w:tcPr>
            <w:tcW w:w="4492" w:type="dxa"/>
          </w:tcPr>
          <w:p w14:paraId="1CA1093C" w14:textId="77777777" w:rsidR="00AD5414" w:rsidRPr="00AD5414" w:rsidRDefault="00AD5414" w:rsidP="00AD5414">
            <w:pPr>
              <w:rPr>
                <w:rFonts w:eastAsia="Calibri"/>
                <w:sz w:val="24"/>
              </w:rPr>
            </w:pPr>
          </w:p>
        </w:tc>
        <w:tc>
          <w:tcPr>
            <w:tcW w:w="2312" w:type="dxa"/>
          </w:tcPr>
          <w:p w14:paraId="68EC08DA" w14:textId="77777777" w:rsidR="00AD5414" w:rsidRPr="00AD5414" w:rsidRDefault="00AD5414" w:rsidP="00AD5414">
            <w:pPr>
              <w:rPr>
                <w:rFonts w:eastAsia="Calibri"/>
                <w:sz w:val="24"/>
              </w:rPr>
            </w:pPr>
            <w:r w:rsidRPr="00AD5414">
              <w:rPr>
                <w:rFonts w:eastAsia="Calibri"/>
                <w:sz w:val="24"/>
              </w:rPr>
              <w:t>Combined</w:t>
            </w:r>
          </w:p>
        </w:tc>
        <w:tc>
          <w:tcPr>
            <w:tcW w:w="1701" w:type="dxa"/>
          </w:tcPr>
          <w:p w14:paraId="421C8D07" w14:textId="77777777" w:rsidR="00AD5414" w:rsidRPr="00AD5414" w:rsidRDefault="00AD5414" w:rsidP="00AD5414">
            <w:pPr>
              <w:rPr>
                <w:rFonts w:eastAsia="Calibri"/>
                <w:sz w:val="24"/>
              </w:rPr>
            </w:pPr>
            <w:r w:rsidRPr="00AD5414">
              <w:rPr>
                <w:rFonts w:eastAsia="Calibri"/>
                <w:sz w:val="24"/>
              </w:rPr>
              <w:t xml:space="preserve">      124 ± 48</w:t>
            </w:r>
          </w:p>
        </w:tc>
      </w:tr>
      <w:tr w:rsidR="00AD5414" w:rsidRPr="00AD5414" w14:paraId="196F1B64" w14:textId="77777777" w:rsidTr="00A3077D">
        <w:tc>
          <w:tcPr>
            <w:tcW w:w="4492" w:type="dxa"/>
          </w:tcPr>
          <w:p w14:paraId="30CF6D41" w14:textId="77777777" w:rsidR="00AD5414" w:rsidRPr="00AD5414" w:rsidRDefault="00AD5414" w:rsidP="00AD5414">
            <w:pPr>
              <w:rPr>
                <w:rFonts w:eastAsia="Calibri"/>
                <w:sz w:val="24"/>
              </w:rPr>
            </w:pPr>
          </w:p>
        </w:tc>
        <w:tc>
          <w:tcPr>
            <w:tcW w:w="2312" w:type="dxa"/>
          </w:tcPr>
          <w:p w14:paraId="209F2B5C" w14:textId="77777777" w:rsidR="00AD5414" w:rsidRPr="00AD5414" w:rsidRDefault="00AD5414" w:rsidP="00AD5414">
            <w:pPr>
              <w:rPr>
                <w:rFonts w:eastAsia="Calibri"/>
                <w:sz w:val="24"/>
              </w:rPr>
            </w:pPr>
          </w:p>
        </w:tc>
        <w:tc>
          <w:tcPr>
            <w:tcW w:w="1701" w:type="dxa"/>
          </w:tcPr>
          <w:p w14:paraId="154F2C9C" w14:textId="77777777" w:rsidR="00AD5414" w:rsidRPr="00AD5414" w:rsidRDefault="00AD5414" w:rsidP="00AD5414">
            <w:pPr>
              <w:rPr>
                <w:rFonts w:eastAsia="Calibri"/>
                <w:sz w:val="24"/>
              </w:rPr>
            </w:pPr>
          </w:p>
        </w:tc>
      </w:tr>
      <w:tr w:rsidR="00AD5414" w:rsidRPr="00AD5414" w14:paraId="1D7DF913" w14:textId="77777777" w:rsidTr="00A3077D">
        <w:tc>
          <w:tcPr>
            <w:tcW w:w="4492" w:type="dxa"/>
          </w:tcPr>
          <w:p w14:paraId="567A8014" w14:textId="77777777" w:rsidR="00AD5414" w:rsidRPr="00AD5414" w:rsidRDefault="00AD5414" w:rsidP="00AD5414">
            <w:pPr>
              <w:rPr>
                <w:rFonts w:eastAsia="Calibri"/>
                <w:sz w:val="24"/>
              </w:rPr>
            </w:pPr>
            <w:r w:rsidRPr="00AD5414">
              <w:rPr>
                <w:rFonts w:eastAsia="Calibri"/>
                <w:sz w:val="24"/>
              </w:rPr>
              <w:t>Canopy trees (&gt;10 cm DBH)</w:t>
            </w:r>
          </w:p>
        </w:tc>
        <w:tc>
          <w:tcPr>
            <w:tcW w:w="2312" w:type="dxa"/>
          </w:tcPr>
          <w:p w14:paraId="3490544F" w14:textId="77777777" w:rsidR="00AD5414" w:rsidRPr="00AD5414" w:rsidRDefault="00AD5414" w:rsidP="00AD5414">
            <w:pPr>
              <w:rPr>
                <w:rFonts w:eastAsia="Calibri"/>
                <w:sz w:val="24"/>
              </w:rPr>
            </w:pPr>
            <w:r w:rsidRPr="00AD5414">
              <w:rPr>
                <w:rFonts w:eastAsia="Calibri"/>
                <w:sz w:val="24"/>
              </w:rPr>
              <w:t>Hydric</w:t>
            </w:r>
          </w:p>
        </w:tc>
        <w:tc>
          <w:tcPr>
            <w:tcW w:w="1701" w:type="dxa"/>
          </w:tcPr>
          <w:p w14:paraId="1FFF3AC2" w14:textId="77777777" w:rsidR="00AD5414" w:rsidRPr="00AD5414" w:rsidRDefault="00AD5414" w:rsidP="00AD5414">
            <w:pPr>
              <w:rPr>
                <w:rFonts w:eastAsia="Calibri"/>
                <w:sz w:val="24"/>
              </w:rPr>
            </w:pPr>
            <w:r w:rsidRPr="00AD5414">
              <w:rPr>
                <w:rFonts w:eastAsia="Calibri"/>
                <w:sz w:val="24"/>
              </w:rPr>
              <w:t xml:space="preserve">          2 ± 2</w:t>
            </w:r>
          </w:p>
        </w:tc>
      </w:tr>
      <w:tr w:rsidR="00AD5414" w:rsidRPr="00AD5414" w14:paraId="2028A200" w14:textId="77777777" w:rsidTr="00A3077D">
        <w:tc>
          <w:tcPr>
            <w:tcW w:w="4492" w:type="dxa"/>
          </w:tcPr>
          <w:p w14:paraId="04C90428" w14:textId="77777777" w:rsidR="00AD5414" w:rsidRPr="00AD5414" w:rsidRDefault="00AD5414" w:rsidP="00AD5414">
            <w:pPr>
              <w:rPr>
                <w:rFonts w:eastAsia="Calibri"/>
                <w:sz w:val="24"/>
              </w:rPr>
            </w:pPr>
          </w:p>
        </w:tc>
        <w:tc>
          <w:tcPr>
            <w:tcW w:w="2312" w:type="dxa"/>
          </w:tcPr>
          <w:p w14:paraId="2EB11320" w14:textId="77777777" w:rsidR="00AD5414" w:rsidRPr="00AD5414" w:rsidRDefault="00AD5414" w:rsidP="00AD5414">
            <w:pPr>
              <w:rPr>
                <w:rFonts w:eastAsia="Calibri"/>
                <w:sz w:val="24"/>
              </w:rPr>
            </w:pPr>
            <w:r w:rsidRPr="00AD5414">
              <w:rPr>
                <w:rFonts w:eastAsia="Calibri"/>
                <w:sz w:val="24"/>
              </w:rPr>
              <w:t>Mesic</w:t>
            </w:r>
          </w:p>
        </w:tc>
        <w:tc>
          <w:tcPr>
            <w:tcW w:w="1701" w:type="dxa"/>
          </w:tcPr>
          <w:p w14:paraId="5A378CFD" w14:textId="77777777" w:rsidR="00AD5414" w:rsidRPr="00AD5414" w:rsidRDefault="00AD5414" w:rsidP="00AD5414">
            <w:pPr>
              <w:rPr>
                <w:rFonts w:eastAsia="Calibri"/>
                <w:sz w:val="24"/>
              </w:rPr>
            </w:pPr>
            <w:r w:rsidRPr="00AD5414">
              <w:rPr>
                <w:rFonts w:eastAsia="Calibri"/>
                <w:sz w:val="24"/>
              </w:rPr>
              <w:t xml:space="preserve">          0</w:t>
            </w:r>
          </w:p>
        </w:tc>
      </w:tr>
      <w:tr w:rsidR="00AD5414" w:rsidRPr="00AD5414" w14:paraId="589E37AB" w14:textId="77777777" w:rsidTr="00A3077D">
        <w:tc>
          <w:tcPr>
            <w:tcW w:w="4492" w:type="dxa"/>
          </w:tcPr>
          <w:p w14:paraId="51DB968B" w14:textId="77777777" w:rsidR="00AD5414" w:rsidRPr="00AD5414" w:rsidRDefault="00AD5414" w:rsidP="00AD5414">
            <w:pPr>
              <w:rPr>
                <w:rFonts w:eastAsia="Calibri"/>
                <w:sz w:val="24"/>
              </w:rPr>
            </w:pPr>
          </w:p>
        </w:tc>
        <w:tc>
          <w:tcPr>
            <w:tcW w:w="2312" w:type="dxa"/>
          </w:tcPr>
          <w:p w14:paraId="702B2357" w14:textId="77777777" w:rsidR="00AD5414" w:rsidRPr="00AD5414" w:rsidRDefault="00AD5414" w:rsidP="00AD5414">
            <w:pPr>
              <w:rPr>
                <w:rFonts w:eastAsia="Calibri"/>
                <w:sz w:val="24"/>
              </w:rPr>
            </w:pPr>
            <w:r w:rsidRPr="00AD5414">
              <w:rPr>
                <w:rFonts w:eastAsia="Calibri"/>
                <w:sz w:val="24"/>
              </w:rPr>
              <w:t>Xeric</w:t>
            </w:r>
          </w:p>
        </w:tc>
        <w:tc>
          <w:tcPr>
            <w:tcW w:w="1701" w:type="dxa"/>
          </w:tcPr>
          <w:p w14:paraId="41F7C06F" w14:textId="77777777" w:rsidR="00AD5414" w:rsidRPr="00AD5414" w:rsidRDefault="00AD5414" w:rsidP="00AD5414">
            <w:pPr>
              <w:rPr>
                <w:rFonts w:eastAsia="Calibri"/>
                <w:sz w:val="24"/>
              </w:rPr>
            </w:pPr>
            <w:r w:rsidRPr="00AD5414">
              <w:rPr>
                <w:rFonts w:eastAsia="Calibri"/>
                <w:sz w:val="24"/>
              </w:rPr>
              <w:t xml:space="preserve">          0</w:t>
            </w:r>
          </w:p>
        </w:tc>
      </w:tr>
      <w:tr w:rsidR="00AD5414" w:rsidRPr="00AD5414" w14:paraId="2045D8D9" w14:textId="77777777" w:rsidTr="00A3077D">
        <w:tc>
          <w:tcPr>
            <w:tcW w:w="4492" w:type="dxa"/>
          </w:tcPr>
          <w:p w14:paraId="48CA70B0" w14:textId="77777777" w:rsidR="00AD5414" w:rsidRPr="00AD5414" w:rsidRDefault="00AD5414" w:rsidP="00AD5414">
            <w:pPr>
              <w:rPr>
                <w:rFonts w:eastAsia="Calibri"/>
                <w:sz w:val="24"/>
              </w:rPr>
            </w:pPr>
          </w:p>
        </w:tc>
        <w:tc>
          <w:tcPr>
            <w:tcW w:w="2312" w:type="dxa"/>
          </w:tcPr>
          <w:p w14:paraId="1951FA6A" w14:textId="77777777" w:rsidR="00AD5414" w:rsidRPr="00AD5414" w:rsidRDefault="00AD5414" w:rsidP="00AD5414">
            <w:pPr>
              <w:rPr>
                <w:rFonts w:eastAsia="Calibri"/>
                <w:sz w:val="24"/>
              </w:rPr>
            </w:pPr>
            <w:r w:rsidRPr="00AD5414">
              <w:rPr>
                <w:rFonts w:eastAsia="Calibri"/>
                <w:sz w:val="24"/>
              </w:rPr>
              <w:t>Combined</w:t>
            </w:r>
          </w:p>
        </w:tc>
        <w:tc>
          <w:tcPr>
            <w:tcW w:w="1701" w:type="dxa"/>
          </w:tcPr>
          <w:p w14:paraId="79006C40" w14:textId="77777777" w:rsidR="00AD5414" w:rsidRPr="00AD5414" w:rsidRDefault="00AD5414" w:rsidP="00AD5414">
            <w:pPr>
              <w:rPr>
                <w:rFonts w:eastAsia="Calibri"/>
                <w:sz w:val="24"/>
              </w:rPr>
            </w:pPr>
            <w:r w:rsidRPr="00AD5414">
              <w:rPr>
                <w:rFonts w:eastAsia="Calibri"/>
                <w:sz w:val="24"/>
              </w:rPr>
              <w:t xml:space="preserve">          0</w:t>
            </w:r>
          </w:p>
        </w:tc>
      </w:tr>
    </w:tbl>
    <w:p w14:paraId="329CD194" w14:textId="77777777" w:rsidR="00AD5414" w:rsidRPr="00AD5414" w:rsidRDefault="00AD5414" w:rsidP="00AD5414">
      <w:pPr>
        <w:spacing w:line="480" w:lineRule="auto"/>
        <w:rPr>
          <w:rFonts w:eastAsia="Calibri"/>
          <w:kern w:val="0"/>
          <w:sz w:val="24"/>
          <w:szCs w:val="24"/>
          <w:u w:val="single"/>
          <w14:ligatures w14:val="none"/>
        </w:rPr>
      </w:pPr>
    </w:p>
    <w:p w14:paraId="4520DEF3" w14:textId="77777777" w:rsidR="00AD5414" w:rsidRPr="00AD5414" w:rsidRDefault="00AD5414" w:rsidP="00AD5414">
      <w:pPr>
        <w:spacing w:line="480" w:lineRule="auto"/>
        <w:rPr>
          <w:rFonts w:eastAsia="Calibri"/>
          <w:kern w:val="0"/>
          <w:sz w:val="24"/>
          <w:szCs w:val="24"/>
          <w:u w:val="single"/>
          <w14:ligatures w14:val="none"/>
        </w:rPr>
      </w:pPr>
    </w:p>
    <w:p w14:paraId="1915F55C"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Signs and symptoms of EAB</w:t>
      </w:r>
    </w:p>
    <w:p w14:paraId="7A727F2B" w14:textId="239E1A47"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Of the symptoms of EAB, bark splitting was the most common and was found on 193 (57%) ash trees (DBH ≥ 2.5 cm). Epicormic sprouts were found on 122 (36%) ash trees. Basal sprouts were found on 54 (16%) ash trees, while woodpecker predation marks were found on 46 (14%) ash trees. Out of a total of 338 trees, 229 (68%) were classified as canopy condition 1, 33 (10%) had canopy condition 2, 13 (4%) had canopy condition 3, 7 (2%) had canopy condition 4, </w:t>
      </w:r>
      <w:r w:rsidRPr="00AD5414">
        <w:rPr>
          <w:rFonts w:eastAsia="Calibri"/>
          <w:kern w:val="0"/>
          <w:sz w:val="24"/>
          <w:szCs w:val="24"/>
          <w14:ligatures w14:val="none"/>
        </w:rPr>
        <w:lastRenderedPageBreak/>
        <w:t>and 55 (16%) had canopy condition 5. The D-shaped emergence holes from EAB were observed rarely, with only 8 trees (2%) recorded with visible exit holes.</w:t>
      </w:r>
    </w:p>
    <w:p w14:paraId="3FF33CAD" w14:textId="05826EDD"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The presence of woodpecker predation marks was positively correlated with tree diameter (DBH), with a 1 cm increase in DBH increasing the odds of woodpecker marks by a factor of 1.24 (Z=2.46, p=0.013) (Fig</w:t>
      </w:r>
      <w:r w:rsidR="007F678D">
        <w:rPr>
          <w:rFonts w:eastAsia="Calibri"/>
          <w:kern w:val="0"/>
          <w:sz w:val="24"/>
          <w:szCs w:val="24"/>
          <w14:ligatures w14:val="none"/>
        </w:rPr>
        <w:t>.</w:t>
      </w:r>
      <w:r w:rsidRPr="00AD5414">
        <w:rPr>
          <w:rFonts w:eastAsia="Calibri"/>
          <w:kern w:val="0"/>
          <w:sz w:val="24"/>
          <w:szCs w:val="24"/>
          <w14:ligatures w14:val="none"/>
        </w:rPr>
        <w:t xml:space="preserve"> </w:t>
      </w:r>
      <w:r w:rsidR="007F678D">
        <w:rPr>
          <w:rFonts w:eastAsia="Calibri"/>
          <w:kern w:val="0"/>
          <w:sz w:val="24"/>
          <w:szCs w:val="24"/>
          <w14:ligatures w14:val="none"/>
        </w:rPr>
        <w:t>1.</w:t>
      </w:r>
      <w:r w:rsidRPr="00AD5414">
        <w:rPr>
          <w:rFonts w:eastAsia="Calibri"/>
          <w:kern w:val="0"/>
          <w:sz w:val="24"/>
          <w:szCs w:val="24"/>
          <w14:ligatures w14:val="none"/>
        </w:rPr>
        <w:t xml:space="preserve">3A). Similarly, presence of epicormic sprouts was positively correlated with DBH, with a 1 cm increase in DBH increasing the odds of epicormic sprouts by a factor of 1.31 (Z=3.49, p&lt;0.001) (Figure </w:t>
      </w:r>
      <w:r w:rsidR="007F678D">
        <w:rPr>
          <w:rFonts w:eastAsia="Calibri"/>
          <w:kern w:val="0"/>
          <w:sz w:val="24"/>
          <w:szCs w:val="24"/>
          <w14:ligatures w14:val="none"/>
        </w:rPr>
        <w:t>1.</w:t>
      </w:r>
      <w:r w:rsidRPr="00AD5414">
        <w:rPr>
          <w:rFonts w:eastAsia="Calibri"/>
          <w:kern w:val="0"/>
          <w:sz w:val="24"/>
          <w:szCs w:val="24"/>
          <w14:ligatures w14:val="none"/>
        </w:rPr>
        <w:t xml:space="preserve">3C). The presence of canopy decline was positively correlated with DBH, such that a 1 cm increase in DBH increased the odds of canopy decline by a factor of 1.22 (Z=2.89, p=0.004) (Figure </w:t>
      </w:r>
      <w:r w:rsidR="007F678D">
        <w:rPr>
          <w:rFonts w:eastAsia="Calibri"/>
          <w:kern w:val="0"/>
          <w:sz w:val="24"/>
          <w:szCs w:val="24"/>
          <w14:ligatures w14:val="none"/>
        </w:rPr>
        <w:t>1.</w:t>
      </w:r>
      <w:r w:rsidRPr="00AD5414">
        <w:rPr>
          <w:rFonts w:eastAsia="Calibri"/>
          <w:kern w:val="0"/>
          <w:sz w:val="24"/>
          <w:szCs w:val="24"/>
          <w14:ligatures w14:val="none"/>
        </w:rPr>
        <w:t xml:space="preserve">3F). Even though canopy decline was positively correlated with DBH, 57% of ash larger than 5 cm DBH had healthy canopies (i.e., canopy condition 1). No relationships were observed between DBH and bark splitting (Z=1.64, p=0.102), presence of basal sprouts (Z=1.16, p=0.245), and tree death (Z=0.21, p=0.831) (Figure </w:t>
      </w:r>
      <w:r w:rsidR="007F678D">
        <w:rPr>
          <w:rFonts w:eastAsia="Calibri"/>
          <w:kern w:val="0"/>
          <w:sz w:val="24"/>
          <w:szCs w:val="24"/>
          <w14:ligatures w14:val="none"/>
        </w:rPr>
        <w:t>1.</w:t>
      </w:r>
      <w:r w:rsidRPr="00AD5414">
        <w:rPr>
          <w:rFonts w:eastAsia="Calibri"/>
          <w:kern w:val="0"/>
          <w:sz w:val="24"/>
          <w:szCs w:val="24"/>
          <w14:ligatures w14:val="none"/>
        </w:rPr>
        <w:t xml:space="preserve">3B, D, and E). </w:t>
      </w:r>
    </w:p>
    <w:p w14:paraId="716B9468" w14:textId="77777777" w:rsidR="00AD5414" w:rsidRPr="00AD5414" w:rsidRDefault="00AD5414" w:rsidP="00AD5414">
      <w:pPr>
        <w:spacing w:line="480" w:lineRule="auto"/>
        <w:rPr>
          <w:rFonts w:eastAsia="Calibri"/>
          <w:kern w:val="0"/>
          <w:sz w:val="24"/>
          <w:szCs w:val="24"/>
          <w14:ligatures w14:val="none"/>
        </w:rPr>
      </w:pPr>
    </w:p>
    <w:p w14:paraId="472958A2"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lastRenderedPageBreak/>
        <w:drawing>
          <wp:inline distT="0" distB="0" distL="0" distR="0" wp14:anchorId="283A4699" wp14:editId="5AD08B98">
            <wp:extent cx="5358809" cy="6251944"/>
            <wp:effectExtent l="0" t="0" r="0" b="0"/>
            <wp:docPr id="1525689370" name="Graphic 1" descr="There are six graphs in the figure. Each graph shows how the probability of an EAB symptom changes with tree diameter. The x axis of each graph ranges from 2.5 to 12.5 cm diameter. The y axis of each graph ranges from 0 to 1. There are many black dots plotted at y=0 and y=1, indicating absence and presence of a symptom, respectfully. There is also a trendline on each graph, which is a logistic regression trendline. The six graphs are woodpecker predation marks, bark splitting, epicormic sprouts, basal sprouts, tree death, and canopy dec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9370" name="Graphic 1" descr="There are six graphs in the figure. Each graph shows how the probability of an EAB symptom changes with tree diameter. The x axis of each graph ranges from 2.5 to 12.5 cm diameter. The y axis of each graph ranges from 0 to 1. There are many black dots plotted at y=0 and y=1, indicating absence and presence of a symptom, respectfully. There is also a trendline on each graph, which is a logistic regression trendline. The six graphs are woodpecker predation marks, bark splitting, epicormic sprouts, basal sprouts, tree death, and canopy decline. "/>
                    <pic:cNvPicPr/>
                  </pic:nvPicPr>
                  <pic:blipFill>
                    <a:blip r:embed="rId12">
                      <a:extLst>
                        <a:ext uri="{96DAC541-7B7A-43D3-8B79-37D633B846F1}">
                          <asvg:svgBlip xmlns:asvg="http://schemas.microsoft.com/office/drawing/2016/SVG/main" r:embed="rId13"/>
                        </a:ext>
                      </a:extLst>
                    </a:blip>
                    <a:stretch>
                      <a:fillRect/>
                    </a:stretch>
                  </pic:blipFill>
                  <pic:spPr>
                    <a:xfrm>
                      <a:off x="0" y="0"/>
                      <a:ext cx="5366998" cy="6261498"/>
                    </a:xfrm>
                    <a:prstGeom prst="rect">
                      <a:avLst/>
                    </a:prstGeom>
                  </pic:spPr>
                </pic:pic>
              </a:graphicData>
            </a:graphic>
          </wp:inline>
        </w:drawing>
      </w:r>
    </w:p>
    <w:p w14:paraId="183A2CA0" w14:textId="3F36D44C" w:rsidR="00AD5414" w:rsidRPr="00AD5414" w:rsidRDefault="00AD5414" w:rsidP="00AD5414">
      <w:pPr>
        <w:spacing w:after="200"/>
        <w:rPr>
          <w:rFonts w:eastAsia="Calibri"/>
          <w:iCs/>
          <w:kern w:val="0"/>
          <w:sz w:val="24"/>
          <w:szCs w:val="18"/>
          <w14:ligatures w14:val="none"/>
        </w:rPr>
      </w:pPr>
      <w:bookmarkStart w:id="9" w:name="_Toc213432484"/>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3</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The presence or absence of symptoms of EAB plotted against tree diameter at breast height (DBH) for 283 ash trees. Trees were included in the analysis if they belonged to a forest plot containing at least 10 trees. Grey circles are individual trees, which are plotted as y=1 for presence or y=0 for absence (points were vertically jittered slightly). Black line shows the overall fitted model, disregarding each specific random intercept for each plot. See Figure </w:t>
      </w:r>
      <w:r w:rsidR="00445EC3">
        <w:rPr>
          <w:rFonts w:eastAsia="Calibri"/>
          <w:iCs/>
          <w:kern w:val="0"/>
          <w:sz w:val="24"/>
          <w:szCs w:val="18"/>
          <w14:ligatures w14:val="none"/>
        </w:rPr>
        <w:t>A.</w:t>
      </w:r>
      <w:r w:rsidRPr="00AD5414">
        <w:rPr>
          <w:rFonts w:eastAsia="Calibri"/>
          <w:iCs/>
          <w:kern w:val="0"/>
          <w:sz w:val="24"/>
          <w:szCs w:val="18"/>
          <w14:ligatures w14:val="none"/>
        </w:rPr>
        <w:t>4 for plots including each random intercept. Asterisk next to the lines for woodpecker predation marks, epicormic sprouts, and canopy decline indicate a slope significantly different from zero. Red triangles show the proportion of trees that have the symptom within a DBH bin. For E, tree death is defined as having a canopy condition of 5. For F, canopy decline is defined as having a canopy condition between 2-5 (minor to complete defoliation).</w:t>
      </w:r>
      <w:bookmarkEnd w:id="9"/>
      <w:r w:rsidRPr="00AD5414">
        <w:rPr>
          <w:rFonts w:eastAsia="Calibri"/>
          <w:iCs/>
          <w:kern w:val="0"/>
          <w:sz w:val="24"/>
          <w:szCs w:val="18"/>
          <w14:ligatures w14:val="none"/>
        </w:rPr>
        <w:t xml:space="preserve"> </w:t>
      </w:r>
    </w:p>
    <w:p w14:paraId="0ACEAD93" w14:textId="77777777" w:rsidR="00AD5414" w:rsidRPr="00AD5414" w:rsidRDefault="00AD5414" w:rsidP="00AD5414">
      <w:pPr>
        <w:spacing w:line="480" w:lineRule="auto"/>
        <w:rPr>
          <w:rFonts w:eastAsia="Calibri"/>
          <w:kern w:val="0"/>
          <w:sz w:val="24"/>
          <w:szCs w:val="24"/>
          <w14:ligatures w14:val="none"/>
        </w:rPr>
      </w:pPr>
    </w:p>
    <w:p w14:paraId="35E5A3C4" w14:textId="77777777" w:rsidR="00AD5414" w:rsidRPr="00AD5414" w:rsidRDefault="00AD5414" w:rsidP="00AD5414">
      <w:pPr>
        <w:spacing w:line="480" w:lineRule="auto"/>
        <w:rPr>
          <w:rFonts w:eastAsia="Calibri"/>
          <w:kern w:val="0"/>
          <w:sz w:val="24"/>
          <w:szCs w:val="24"/>
          <w14:ligatures w14:val="none"/>
        </w:rPr>
      </w:pPr>
    </w:p>
    <w:p w14:paraId="45C854FE"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Plant communities in hydric stands</w:t>
      </w:r>
    </w:p>
    <w:p w14:paraId="3171765B" w14:textId="2845388A"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We identified 810 living canopy trees comprising 18 genera across the 10 hydric transects (Table </w:t>
      </w:r>
      <w:r w:rsidR="006B4862">
        <w:rPr>
          <w:rFonts w:eastAsia="Calibri"/>
          <w:kern w:val="0"/>
          <w:sz w:val="24"/>
          <w:szCs w:val="24"/>
          <w14:ligatures w14:val="none"/>
        </w:rPr>
        <w:t>1.</w:t>
      </w:r>
      <w:r w:rsidRPr="00AD5414">
        <w:rPr>
          <w:rFonts w:eastAsia="Calibri"/>
          <w:kern w:val="0"/>
          <w:sz w:val="24"/>
          <w:szCs w:val="24"/>
          <w14:ligatures w14:val="none"/>
        </w:rPr>
        <w:t>2). The most common species in the canopy (≥ 12.5 cm DBH) was silver maple (</w:t>
      </w:r>
      <w:r w:rsidRPr="00AD5414">
        <w:rPr>
          <w:rFonts w:eastAsia="Calibri"/>
          <w:i/>
          <w:iCs/>
          <w:kern w:val="0"/>
          <w:sz w:val="24"/>
          <w:szCs w:val="24"/>
          <w14:ligatures w14:val="none"/>
        </w:rPr>
        <w:t>Acer saccharinum</w:t>
      </w:r>
      <w:r w:rsidRPr="00AD5414">
        <w:rPr>
          <w:rFonts w:eastAsia="Calibri"/>
          <w:kern w:val="0"/>
          <w:sz w:val="24"/>
          <w:szCs w:val="24"/>
          <w14:ligatures w14:val="none"/>
        </w:rPr>
        <w:t xml:space="preserve"> L.), followed by elm (</w:t>
      </w:r>
      <w:r w:rsidRPr="00AD5414">
        <w:rPr>
          <w:rFonts w:eastAsia="Calibri"/>
          <w:i/>
          <w:iCs/>
          <w:kern w:val="0"/>
          <w:sz w:val="24"/>
          <w:szCs w:val="24"/>
          <w14:ligatures w14:val="none"/>
        </w:rPr>
        <w:t>Ulmus</w:t>
      </w:r>
      <w:r w:rsidRPr="00AD5414">
        <w:rPr>
          <w:rFonts w:eastAsia="Calibri"/>
          <w:kern w:val="0"/>
          <w:sz w:val="24"/>
          <w:szCs w:val="24"/>
          <w14:ligatures w14:val="none"/>
        </w:rPr>
        <w:t xml:space="preserve"> sp.), and basswood (</w:t>
      </w:r>
      <w:r w:rsidRPr="00AD5414">
        <w:rPr>
          <w:rFonts w:eastAsia="Calibri"/>
          <w:i/>
          <w:iCs/>
          <w:kern w:val="0"/>
          <w:sz w:val="24"/>
          <w:szCs w:val="24"/>
          <w14:ligatures w14:val="none"/>
        </w:rPr>
        <w:t xml:space="preserve">Tilia americana </w:t>
      </w:r>
      <w:r w:rsidRPr="00AD5414">
        <w:rPr>
          <w:rFonts w:eastAsia="Calibri"/>
          <w:kern w:val="0"/>
          <w:sz w:val="24"/>
          <w:szCs w:val="24"/>
          <w14:ligatures w14:val="none"/>
        </w:rPr>
        <w:t>L.). In the understory (2.5 ≤ DBH &lt; 12.5 cm), 638 living trees were found, of which the most common species were musclewood (</w:t>
      </w:r>
      <w:r w:rsidRPr="00AD5414">
        <w:rPr>
          <w:rFonts w:eastAsia="Calibri"/>
          <w:i/>
          <w:iCs/>
          <w:kern w:val="0"/>
          <w:sz w:val="24"/>
          <w:szCs w:val="24"/>
          <w14:ligatures w14:val="none"/>
        </w:rPr>
        <w:t>Carpinus caroliniana</w:t>
      </w:r>
      <w:r w:rsidRPr="00AD5414">
        <w:rPr>
          <w:rFonts w:eastAsia="Calibri"/>
          <w:kern w:val="0"/>
          <w:sz w:val="24"/>
          <w:szCs w:val="24"/>
          <w14:ligatures w14:val="none"/>
        </w:rPr>
        <w:t xml:space="preserve"> Walter), black ash (</w:t>
      </w:r>
      <w:r w:rsidRPr="00AD5414">
        <w:rPr>
          <w:rFonts w:eastAsia="Calibri"/>
          <w:i/>
          <w:iCs/>
          <w:kern w:val="0"/>
          <w:sz w:val="24"/>
          <w:szCs w:val="24"/>
          <w14:ligatures w14:val="none"/>
        </w:rPr>
        <w:t>Fraxinus nigra</w:t>
      </w:r>
      <w:r w:rsidRPr="00AD5414">
        <w:rPr>
          <w:rFonts w:eastAsia="Calibri"/>
          <w:kern w:val="0"/>
          <w:sz w:val="24"/>
          <w:szCs w:val="24"/>
          <w14:ligatures w14:val="none"/>
        </w:rPr>
        <w:t>), and green ash (</w:t>
      </w:r>
      <w:r w:rsidRPr="00AD5414">
        <w:rPr>
          <w:rFonts w:eastAsia="Calibri"/>
          <w:i/>
          <w:iCs/>
          <w:kern w:val="0"/>
          <w:sz w:val="24"/>
          <w:szCs w:val="24"/>
          <w14:ligatures w14:val="none"/>
        </w:rPr>
        <w:t>Fraxinus pennsylvanica</w:t>
      </w:r>
      <w:r w:rsidRPr="00AD5414">
        <w:rPr>
          <w:rFonts w:eastAsia="Calibri"/>
          <w:kern w:val="0"/>
          <w:sz w:val="24"/>
          <w:szCs w:val="24"/>
          <w14:ligatures w14:val="none"/>
        </w:rPr>
        <w:t xml:space="preserve">, possibly with some </w:t>
      </w:r>
      <w:r w:rsidRPr="00AD5414">
        <w:rPr>
          <w:rFonts w:eastAsia="Calibri"/>
          <w:i/>
          <w:iCs/>
          <w:kern w:val="0"/>
          <w:sz w:val="24"/>
          <w:szCs w:val="24"/>
          <w14:ligatures w14:val="none"/>
        </w:rPr>
        <w:t>F. americana</w:t>
      </w:r>
      <w:r w:rsidRPr="00AD5414">
        <w:rPr>
          <w:rFonts w:eastAsia="Calibri"/>
          <w:kern w:val="0"/>
          <w:sz w:val="24"/>
          <w:szCs w:val="24"/>
          <w14:ligatures w14:val="none"/>
        </w:rPr>
        <w:t xml:space="preserve"> and </w:t>
      </w:r>
      <w:r w:rsidRPr="00AD5414">
        <w:rPr>
          <w:rFonts w:eastAsia="Calibri"/>
          <w:i/>
          <w:iCs/>
          <w:kern w:val="0"/>
          <w:sz w:val="24"/>
          <w:szCs w:val="24"/>
          <w14:ligatures w14:val="none"/>
        </w:rPr>
        <w:t>F. profunda</w:t>
      </w:r>
      <w:r w:rsidRPr="00AD5414">
        <w:rPr>
          <w:rFonts w:eastAsia="Calibri"/>
          <w:kern w:val="0"/>
          <w:sz w:val="24"/>
          <w:szCs w:val="24"/>
          <w14:ligatures w14:val="none"/>
        </w:rPr>
        <w:t>). The basal area of living trees in the canopy and understory averaged 21.1 m</w:t>
      </w:r>
      <w:r w:rsidRPr="00AD5414">
        <w:rPr>
          <w:rFonts w:eastAsia="Calibri"/>
          <w:kern w:val="0"/>
          <w:sz w:val="24"/>
          <w:szCs w:val="24"/>
          <w:vertAlign w:val="superscript"/>
          <w14:ligatures w14:val="none"/>
        </w:rPr>
        <w:t>2</w:t>
      </w:r>
      <w:r w:rsidRPr="00AD5414">
        <w:rPr>
          <w:rFonts w:eastAsia="Calibri"/>
          <w:kern w:val="0"/>
          <w:sz w:val="24"/>
          <w:szCs w:val="24"/>
          <w14:ligatures w14:val="none"/>
        </w:rPr>
        <w:t>/ha and 2.8 m</w:t>
      </w:r>
      <w:r w:rsidRPr="00AD5414">
        <w:rPr>
          <w:rFonts w:eastAsia="Calibri"/>
          <w:kern w:val="0"/>
          <w:sz w:val="24"/>
          <w:szCs w:val="24"/>
          <w:vertAlign w:val="superscript"/>
          <w14:ligatures w14:val="none"/>
        </w:rPr>
        <w:t>2</w:t>
      </w:r>
      <w:r w:rsidRPr="00AD5414">
        <w:rPr>
          <w:rFonts w:eastAsia="Calibri"/>
          <w:kern w:val="0"/>
          <w:sz w:val="24"/>
          <w:szCs w:val="24"/>
          <w14:ligatures w14:val="none"/>
        </w:rPr>
        <w:t>/ha, respectively</w:t>
      </w:r>
      <w:r w:rsidR="00C61A3F">
        <w:rPr>
          <w:rFonts w:eastAsia="Calibri"/>
          <w:kern w:val="0"/>
          <w:sz w:val="24"/>
          <w:szCs w:val="24"/>
          <w14:ligatures w14:val="none"/>
        </w:rPr>
        <w:t>, not counting shrub species</w:t>
      </w:r>
      <w:r w:rsidRPr="00AD5414">
        <w:rPr>
          <w:rFonts w:eastAsia="Calibri"/>
          <w:kern w:val="0"/>
          <w:sz w:val="24"/>
          <w:szCs w:val="24"/>
          <w14:ligatures w14:val="none"/>
        </w:rPr>
        <w:t>. Of the ground-level cover types estimated in hydric plots, graminoids and skunk cabbage had the highest percentage cover (Table 1.3). The invasive shrubs glossy buckthorn (</w:t>
      </w:r>
      <w:r w:rsidRPr="00AD5414">
        <w:rPr>
          <w:rFonts w:eastAsia="Calibri"/>
          <w:i/>
          <w:iCs/>
          <w:kern w:val="0"/>
          <w:sz w:val="24"/>
          <w:szCs w:val="24"/>
          <w14:ligatures w14:val="none"/>
        </w:rPr>
        <w:t>Frangula alnus</w:t>
      </w:r>
      <w:r w:rsidRPr="00AD5414">
        <w:rPr>
          <w:rFonts w:eastAsia="Calibri"/>
          <w:kern w:val="0"/>
          <w:sz w:val="24"/>
          <w:szCs w:val="24"/>
          <w14:ligatures w14:val="none"/>
        </w:rPr>
        <w:t xml:space="preserve"> Miller) and autumn olive (</w:t>
      </w:r>
      <w:r w:rsidRPr="00AD5414">
        <w:rPr>
          <w:rFonts w:eastAsia="Calibri"/>
          <w:i/>
          <w:iCs/>
          <w:kern w:val="0"/>
          <w:sz w:val="24"/>
          <w:szCs w:val="24"/>
          <w14:ligatures w14:val="none"/>
        </w:rPr>
        <w:t>Elaeagnus umbellata</w:t>
      </w:r>
      <w:r w:rsidRPr="00AD5414">
        <w:rPr>
          <w:rFonts w:eastAsia="Calibri"/>
          <w:kern w:val="0"/>
          <w:sz w:val="24"/>
          <w:szCs w:val="24"/>
          <w14:ligatures w14:val="none"/>
        </w:rPr>
        <w:t xml:space="preserve"> Thunb.) were present, but with lower percentage cover  than the native shrubs spicebush and winterberry. The NMDS ordination (Fig</w:t>
      </w:r>
      <w:r w:rsidR="007F678D">
        <w:rPr>
          <w:rFonts w:eastAsia="Calibri"/>
          <w:kern w:val="0"/>
          <w:sz w:val="24"/>
          <w:szCs w:val="24"/>
          <w14:ligatures w14:val="none"/>
        </w:rPr>
        <w:t>. 1.</w:t>
      </w:r>
      <w:r w:rsidRPr="00AD5414">
        <w:rPr>
          <w:rFonts w:eastAsia="Calibri"/>
          <w:kern w:val="0"/>
          <w:sz w:val="24"/>
          <w:szCs w:val="24"/>
          <w14:ligatures w14:val="none"/>
        </w:rPr>
        <w:t>5) indicates a grouping of sample plots with high basal area of silver maple on the left side of the graph. Meanwhile, the upper center of the graph contains plots with species such as sugar maple (</w:t>
      </w:r>
      <w:r w:rsidRPr="00AD5414">
        <w:rPr>
          <w:rFonts w:eastAsia="Calibri"/>
          <w:i/>
          <w:iCs/>
          <w:kern w:val="0"/>
          <w:sz w:val="24"/>
          <w:szCs w:val="24"/>
          <w14:ligatures w14:val="none"/>
        </w:rPr>
        <w:t>Acer saccharum</w:t>
      </w:r>
      <w:r w:rsidRPr="00AD5414">
        <w:rPr>
          <w:rFonts w:eastAsia="Calibri"/>
          <w:kern w:val="0"/>
          <w:sz w:val="24"/>
          <w:szCs w:val="24"/>
          <w14:ligatures w14:val="none"/>
        </w:rPr>
        <w:t xml:space="preserve"> Marshall). On the lower right side of the graph are plots with high basal area of yellow birch (</w:t>
      </w:r>
      <w:r w:rsidRPr="00AD5414">
        <w:rPr>
          <w:rFonts w:eastAsia="Calibri"/>
          <w:i/>
          <w:iCs/>
          <w:kern w:val="0"/>
          <w:sz w:val="24"/>
          <w:szCs w:val="24"/>
          <w14:ligatures w14:val="none"/>
        </w:rPr>
        <w:t xml:space="preserve">Betula alleghaniensis </w:t>
      </w:r>
      <w:r w:rsidRPr="00AD5414">
        <w:rPr>
          <w:rFonts w:eastAsia="Calibri"/>
          <w:kern w:val="0"/>
          <w:sz w:val="24"/>
          <w:szCs w:val="24"/>
          <w14:ligatures w14:val="none"/>
        </w:rPr>
        <w:t>Britt.) and/or tamarack (</w:t>
      </w:r>
      <w:r w:rsidRPr="00AD5414">
        <w:rPr>
          <w:rFonts w:eastAsia="Calibri"/>
          <w:i/>
          <w:iCs/>
          <w:kern w:val="0"/>
          <w:sz w:val="24"/>
          <w:szCs w:val="24"/>
          <w14:ligatures w14:val="none"/>
        </w:rPr>
        <w:t xml:space="preserve">Larix laricina </w:t>
      </w:r>
      <w:r w:rsidRPr="00AD5414">
        <w:rPr>
          <w:rFonts w:eastAsia="Calibri"/>
          <w:kern w:val="0"/>
          <w:sz w:val="24"/>
          <w:szCs w:val="24"/>
          <w14:ligatures w14:val="none"/>
        </w:rPr>
        <w:t>(Du Roi) K. Koch). The plots with high basal area of green ash tended to be in the forests with silver maple, whereas the plots with high basal area of black ash tended to be in forests with tamarack and/or yellow birch, although black and green ash also co-occurred in some plots.</w:t>
      </w:r>
    </w:p>
    <w:p w14:paraId="68D651FB" w14:textId="77777777" w:rsidR="00AD5414" w:rsidRPr="00AD5414" w:rsidRDefault="00AD5414" w:rsidP="00AD5414">
      <w:pPr>
        <w:spacing w:line="480" w:lineRule="auto"/>
        <w:rPr>
          <w:rFonts w:eastAsia="Calibri"/>
          <w:kern w:val="0"/>
          <w:sz w:val="24"/>
          <w:szCs w:val="24"/>
          <w14:ligatures w14:val="none"/>
        </w:rPr>
      </w:pPr>
    </w:p>
    <w:p w14:paraId="0113EA9F" w14:textId="77777777" w:rsidR="00AD5414" w:rsidRPr="00AD5414" w:rsidRDefault="00AD5414" w:rsidP="00AD5414">
      <w:pPr>
        <w:spacing w:line="480" w:lineRule="auto"/>
        <w:rPr>
          <w:rFonts w:eastAsia="Calibri"/>
          <w:b/>
          <w:bCs/>
          <w:kern w:val="0"/>
          <w:sz w:val="24"/>
          <w:szCs w:val="24"/>
          <w14:ligatures w14:val="none"/>
        </w:rPr>
      </w:pPr>
    </w:p>
    <w:p w14:paraId="741C8078" w14:textId="7CF4FB0D" w:rsidR="00AD5414" w:rsidRPr="00AD5414" w:rsidRDefault="00AD5414" w:rsidP="00AD5414">
      <w:pPr>
        <w:spacing w:after="200"/>
        <w:rPr>
          <w:rFonts w:eastAsia="Calibri"/>
          <w:iCs/>
          <w:kern w:val="0"/>
          <w:sz w:val="24"/>
          <w:szCs w:val="18"/>
          <w14:ligatures w14:val="none"/>
        </w:rPr>
      </w:pPr>
      <w:bookmarkStart w:id="10" w:name="_Toc213432434"/>
      <w:r w:rsidRPr="00AD5414">
        <w:rPr>
          <w:rFonts w:eastAsia="Calibri"/>
          <w:b/>
          <w:bCs/>
          <w:iCs/>
          <w:kern w:val="0"/>
          <w:sz w:val="24"/>
          <w:szCs w:val="18"/>
          <w14:ligatures w14:val="none"/>
        </w:rPr>
        <w:t xml:space="preserve">Table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Table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2</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Relative density</w:t>
      </w:r>
      <w:r w:rsidR="00226831">
        <w:rPr>
          <w:rFonts w:eastAsia="Calibri"/>
          <w:iCs/>
          <w:kern w:val="0"/>
          <w:sz w:val="24"/>
          <w:szCs w:val="18"/>
          <w14:ligatures w14:val="none"/>
        </w:rPr>
        <w:t xml:space="preserve"> (%)</w:t>
      </w:r>
      <w:r w:rsidRPr="00AD5414">
        <w:rPr>
          <w:rFonts w:eastAsia="Calibri"/>
          <w:iCs/>
          <w:kern w:val="0"/>
          <w:sz w:val="24"/>
          <w:szCs w:val="18"/>
          <w14:ligatures w14:val="none"/>
        </w:rPr>
        <w:t xml:space="preserve"> and relative dominance</w:t>
      </w:r>
      <w:r w:rsidR="00226831">
        <w:rPr>
          <w:rFonts w:eastAsia="Calibri"/>
          <w:iCs/>
          <w:kern w:val="0"/>
          <w:sz w:val="24"/>
          <w:szCs w:val="18"/>
          <w14:ligatures w14:val="none"/>
        </w:rPr>
        <w:t xml:space="preserve"> (%)</w:t>
      </w:r>
      <w:r w:rsidRPr="00AD5414">
        <w:rPr>
          <w:rFonts w:eastAsia="Calibri"/>
          <w:iCs/>
          <w:kern w:val="0"/>
          <w:sz w:val="24"/>
          <w:szCs w:val="18"/>
          <w14:ligatures w14:val="none"/>
        </w:rPr>
        <w:t xml:space="preserve"> of canopy (≥12.5 cm DBH) and understory (2.5-12.5 cm DBH) tree genera found in the 10 hydric transects (30 plots) in 2024-2025. Only living trees were counted. A total of 810 living canopy trees were counted in the main </w:t>
      </w:r>
      <w:proofErr w:type="gramStart"/>
      <w:r w:rsidRPr="00AD5414">
        <w:rPr>
          <w:rFonts w:eastAsia="Calibri"/>
          <w:iCs/>
          <w:kern w:val="0"/>
          <w:sz w:val="24"/>
          <w:szCs w:val="18"/>
          <w14:ligatures w14:val="none"/>
        </w:rPr>
        <w:t>plots</w:t>
      </w:r>
      <w:proofErr w:type="gramEnd"/>
      <w:r w:rsidRPr="00AD5414">
        <w:rPr>
          <w:rFonts w:eastAsia="Calibri"/>
          <w:iCs/>
          <w:kern w:val="0"/>
          <w:sz w:val="24"/>
          <w:szCs w:val="18"/>
          <w14:ligatures w14:val="none"/>
        </w:rPr>
        <w:t xml:space="preserve"> and 638 living understory trees were counted in the subplots. Shrub species were not counted.</w:t>
      </w:r>
      <w:bookmarkEnd w:id="10"/>
      <w:r w:rsidR="00226831">
        <w:rPr>
          <w:rFonts w:eastAsia="Calibri"/>
          <w:iCs/>
          <w:kern w:val="0"/>
          <w:sz w:val="24"/>
          <w:szCs w:val="18"/>
          <w14:ligatures w14:val="none"/>
        </w:rPr>
        <w:t xml:space="preserve"> The first column lists the genus of tree</w:t>
      </w:r>
      <w:r w:rsidR="007F1B23">
        <w:rPr>
          <w:rFonts w:eastAsia="Calibri"/>
          <w:iCs/>
          <w:kern w:val="0"/>
          <w:sz w:val="24"/>
          <w:szCs w:val="18"/>
          <w14:ligatures w14:val="none"/>
        </w:rPr>
        <w:t>.</w:t>
      </w:r>
    </w:p>
    <w:tbl>
      <w:tblPr>
        <w:tblW w:w="0" w:type="auto"/>
        <w:tblInd w:w="-30" w:type="dxa"/>
        <w:tblBorders>
          <w:top w:val="single" w:sz="4" w:space="0" w:color="auto"/>
          <w:bottom w:val="single" w:sz="4" w:space="0" w:color="auto"/>
        </w:tblBorders>
        <w:tblLayout w:type="fixed"/>
        <w:tblLook w:val="0000" w:firstRow="0" w:lastRow="0" w:firstColumn="0" w:lastColumn="0" w:noHBand="0" w:noVBand="0"/>
      </w:tblPr>
      <w:tblGrid>
        <w:gridCol w:w="1306"/>
        <w:gridCol w:w="1418"/>
        <w:gridCol w:w="992"/>
        <w:gridCol w:w="1417"/>
        <w:gridCol w:w="1084"/>
      </w:tblGrid>
      <w:tr w:rsidR="00AD5414" w:rsidRPr="00AD5414" w14:paraId="22179362" w14:textId="77777777" w:rsidTr="00A3077D">
        <w:trPr>
          <w:trHeight w:val="305"/>
        </w:trPr>
        <w:tc>
          <w:tcPr>
            <w:tcW w:w="1306" w:type="dxa"/>
            <w:tcBorders>
              <w:top w:val="single" w:sz="4" w:space="0" w:color="auto"/>
              <w:bottom w:val="single" w:sz="4" w:space="0" w:color="auto"/>
            </w:tcBorders>
          </w:tcPr>
          <w:p w14:paraId="047969F8" w14:textId="77777777" w:rsidR="00AD5414" w:rsidRPr="00AD5414" w:rsidRDefault="00AD5414" w:rsidP="00AD5414">
            <w:pPr>
              <w:rPr>
                <w:rFonts w:eastAsia="Calibri"/>
                <w:kern w:val="0"/>
                <w:sz w:val="24"/>
                <w:szCs w:val="24"/>
                <w14:ligatures w14:val="none"/>
              </w:rPr>
            </w:pPr>
          </w:p>
        </w:tc>
        <w:tc>
          <w:tcPr>
            <w:tcW w:w="2410" w:type="dxa"/>
            <w:gridSpan w:val="2"/>
            <w:tcBorders>
              <w:top w:val="single" w:sz="4" w:space="0" w:color="auto"/>
              <w:bottom w:val="single" w:sz="4" w:space="0" w:color="auto"/>
            </w:tcBorders>
          </w:tcPr>
          <w:p w14:paraId="40E2FD2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Relative density, %</w:t>
            </w:r>
          </w:p>
        </w:tc>
        <w:tc>
          <w:tcPr>
            <w:tcW w:w="2501" w:type="dxa"/>
            <w:gridSpan w:val="2"/>
            <w:tcBorders>
              <w:top w:val="single" w:sz="4" w:space="0" w:color="auto"/>
              <w:bottom w:val="single" w:sz="4" w:space="0" w:color="auto"/>
            </w:tcBorders>
          </w:tcPr>
          <w:p w14:paraId="5F17760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Relative dominance, %</w:t>
            </w:r>
          </w:p>
        </w:tc>
      </w:tr>
      <w:tr w:rsidR="00AD5414" w:rsidRPr="00AD5414" w14:paraId="02E84102" w14:textId="77777777" w:rsidTr="00A3077D">
        <w:trPr>
          <w:trHeight w:val="305"/>
        </w:trPr>
        <w:tc>
          <w:tcPr>
            <w:tcW w:w="1306" w:type="dxa"/>
            <w:tcBorders>
              <w:top w:val="single" w:sz="4" w:space="0" w:color="auto"/>
              <w:bottom w:val="single" w:sz="4" w:space="0" w:color="auto"/>
            </w:tcBorders>
          </w:tcPr>
          <w:p w14:paraId="7D7DC9D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Genus</w:t>
            </w:r>
          </w:p>
        </w:tc>
        <w:tc>
          <w:tcPr>
            <w:tcW w:w="1418" w:type="dxa"/>
            <w:tcBorders>
              <w:top w:val="single" w:sz="4" w:space="0" w:color="auto"/>
              <w:bottom w:val="single" w:sz="4" w:space="0" w:color="auto"/>
            </w:tcBorders>
          </w:tcPr>
          <w:p w14:paraId="5DB5935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Understory</w:t>
            </w:r>
          </w:p>
        </w:tc>
        <w:tc>
          <w:tcPr>
            <w:tcW w:w="992" w:type="dxa"/>
            <w:tcBorders>
              <w:top w:val="single" w:sz="4" w:space="0" w:color="auto"/>
              <w:bottom w:val="single" w:sz="4" w:space="0" w:color="auto"/>
            </w:tcBorders>
          </w:tcPr>
          <w:p w14:paraId="19E1BCF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Canopy</w:t>
            </w:r>
          </w:p>
        </w:tc>
        <w:tc>
          <w:tcPr>
            <w:tcW w:w="1417" w:type="dxa"/>
            <w:tcBorders>
              <w:top w:val="single" w:sz="4" w:space="0" w:color="auto"/>
              <w:bottom w:val="single" w:sz="4" w:space="0" w:color="auto"/>
            </w:tcBorders>
          </w:tcPr>
          <w:p w14:paraId="041BBD4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Understory</w:t>
            </w:r>
          </w:p>
        </w:tc>
        <w:tc>
          <w:tcPr>
            <w:tcW w:w="1084" w:type="dxa"/>
            <w:tcBorders>
              <w:top w:val="single" w:sz="4" w:space="0" w:color="auto"/>
              <w:bottom w:val="single" w:sz="4" w:space="0" w:color="auto"/>
            </w:tcBorders>
          </w:tcPr>
          <w:p w14:paraId="373838C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Canopy</w:t>
            </w:r>
          </w:p>
        </w:tc>
      </w:tr>
      <w:tr w:rsidR="00AD5414" w:rsidRPr="00AD5414" w14:paraId="17B68B04" w14:textId="77777777" w:rsidTr="00A3077D">
        <w:trPr>
          <w:trHeight w:val="305"/>
        </w:trPr>
        <w:tc>
          <w:tcPr>
            <w:tcW w:w="1306" w:type="dxa"/>
            <w:tcBorders>
              <w:top w:val="single" w:sz="4" w:space="0" w:color="auto"/>
            </w:tcBorders>
          </w:tcPr>
          <w:p w14:paraId="23129B1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Acer</w:t>
            </w:r>
          </w:p>
        </w:tc>
        <w:tc>
          <w:tcPr>
            <w:tcW w:w="1418" w:type="dxa"/>
            <w:tcBorders>
              <w:top w:val="single" w:sz="4" w:space="0" w:color="auto"/>
            </w:tcBorders>
          </w:tcPr>
          <w:p w14:paraId="1BD5293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10.5</w:t>
            </w:r>
          </w:p>
        </w:tc>
        <w:tc>
          <w:tcPr>
            <w:tcW w:w="992" w:type="dxa"/>
            <w:tcBorders>
              <w:top w:val="single" w:sz="4" w:space="0" w:color="auto"/>
            </w:tcBorders>
          </w:tcPr>
          <w:p w14:paraId="5B99E0C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42.3</w:t>
            </w:r>
          </w:p>
        </w:tc>
        <w:tc>
          <w:tcPr>
            <w:tcW w:w="1417" w:type="dxa"/>
            <w:tcBorders>
              <w:top w:val="single" w:sz="4" w:space="0" w:color="auto"/>
            </w:tcBorders>
          </w:tcPr>
          <w:p w14:paraId="3950A03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18.7</w:t>
            </w:r>
          </w:p>
        </w:tc>
        <w:tc>
          <w:tcPr>
            <w:tcW w:w="1084" w:type="dxa"/>
            <w:tcBorders>
              <w:top w:val="single" w:sz="4" w:space="0" w:color="auto"/>
            </w:tcBorders>
          </w:tcPr>
          <w:p w14:paraId="6520004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63.5</w:t>
            </w:r>
          </w:p>
        </w:tc>
      </w:tr>
      <w:tr w:rsidR="00AD5414" w:rsidRPr="00AD5414" w14:paraId="278578F0" w14:textId="77777777" w:rsidTr="00A3077D">
        <w:trPr>
          <w:trHeight w:val="305"/>
        </w:trPr>
        <w:tc>
          <w:tcPr>
            <w:tcW w:w="1306" w:type="dxa"/>
          </w:tcPr>
          <w:p w14:paraId="50FFE44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Betula</w:t>
            </w:r>
          </w:p>
        </w:tc>
        <w:tc>
          <w:tcPr>
            <w:tcW w:w="1418" w:type="dxa"/>
          </w:tcPr>
          <w:p w14:paraId="03E5711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992" w:type="dxa"/>
          </w:tcPr>
          <w:p w14:paraId="1430CF3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3.8</w:t>
            </w:r>
          </w:p>
        </w:tc>
        <w:tc>
          <w:tcPr>
            <w:tcW w:w="1417" w:type="dxa"/>
          </w:tcPr>
          <w:p w14:paraId="2F89F92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0.7</w:t>
            </w:r>
          </w:p>
        </w:tc>
        <w:tc>
          <w:tcPr>
            <w:tcW w:w="1084" w:type="dxa"/>
          </w:tcPr>
          <w:p w14:paraId="5B27F8E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2.3</w:t>
            </w:r>
          </w:p>
        </w:tc>
      </w:tr>
      <w:tr w:rsidR="00AD5414" w:rsidRPr="00AD5414" w14:paraId="389C92DD" w14:textId="77777777" w:rsidTr="00A3077D">
        <w:trPr>
          <w:trHeight w:val="305"/>
        </w:trPr>
        <w:tc>
          <w:tcPr>
            <w:tcW w:w="1306" w:type="dxa"/>
          </w:tcPr>
          <w:p w14:paraId="467D44B0"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Carpinus</w:t>
            </w:r>
          </w:p>
        </w:tc>
        <w:tc>
          <w:tcPr>
            <w:tcW w:w="1418" w:type="dxa"/>
          </w:tcPr>
          <w:p w14:paraId="4EC0E1F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19.5</w:t>
            </w:r>
          </w:p>
        </w:tc>
        <w:tc>
          <w:tcPr>
            <w:tcW w:w="992" w:type="dxa"/>
          </w:tcPr>
          <w:p w14:paraId="58A8916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2.7</w:t>
            </w:r>
          </w:p>
        </w:tc>
        <w:tc>
          <w:tcPr>
            <w:tcW w:w="1417" w:type="dxa"/>
          </w:tcPr>
          <w:p w14:paraId="55DECE6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12.1</w:t>
            </w:r>
          </w:p>
        </w:tc>
        <w:tc>
          <w:tcPr>
            <w:tcW w:w="1084" w:type="dxa"/>
          </w:tcPr>
          <w:p w14:paraId="5FA0D87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r>
      <w:tr w:rsidR="00AD5414" w:rsidRPr="00AD5414" w14:paraId="08EFC77E" w14:textId="77777777" w:rsidTr="00A3077D">
        <w:trPr>
          <w:trHeight w:val="305"/>
        </w:trPr>
        <w:tc>
          <w:tcPr>
            <w:tcW w:w="1306" w:type="dxa"/>
          </w:tcPr>
          <w:p w14:paraId="69BAEF04"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Carya</w:t>
            </w:r>
          </w:p>
        </w:tc>
        <w:tc>
          <w:tcPr>
            <w:tcW w:w="1418" w:type="dxa"/>
          </w:tcPr>
          <w:p w14:paraId="4370584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992" w:type="dxa"/>
          </w:tcPr>
          <w:p w14:paraId="47F75DE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0.6</w:t>
            </w:r>
          </w:p>
        </w:tc>
        <w:tc>
          <w:tcPr>
            <w:tcW w:w="1417" w:type="dxa"/>
          </w:tcPr>
          <w:p w14:paraId="77D9628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c>
          <w:tcPr>
            <w:tcW w:w="1084" w:type="dxa"/>
          </w:tcPr>
          <w:p w14:paraId="69A563B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r>
      <w:tr w:rsidR="00AD5414" w:rsidRPr="00AD5414" w14:paraId="3561125A" w14:textId="77777777" w:rsidTr="00A3077D">
        <w:trPr>
          <w:trHeight w:val="305"/>
        </w:trPr>
        <w:tc>
          <w:tcPr>
            <w:tcW w:w="1306" w:type="dxa"/>
          </w:tcPr>
          <w:p w14:paraId="71C4D5F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Cornus</w:t>
            </w:r>
          </w:p>
        </w:tc>
        <w:tc>
          <w:tcPr>
            <w:tcW w:w="1418" w:type="dxa"/>
          </w:tcPr>
          <w:p w14:paraId="2751FAA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992" w:type="dxa"/>
          </w:tcPr>
          <w:p w14:paraId="0F09342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417" w:type="dxa"/>
          </w:tcPr>
          <w:p w14:paraId="6F2390F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0.2</w:t>
            </w:r>
          </w:p>
        </w:tc>
        <w:tc>
          <w:tcPr>
            <w:tcW w:w="1084" w:type="dxa"/>
          </w:tcPr>
          <w:p w14:paraId="427C4B4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186DC4C4" w14:textId="77777777" w:rsidTr="00A3077D">
        <w:trPr>
          <w:trHeight w:val="305"/>
        </w:trPr>
        <w:tc>
          <w:tcPr>
            <w:tcW w:w="1306" w:type="dxa"/>
          </w:tcPr>
          <w:p w14:paraId="6809D093"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Fagus</w:t>
            </w:r>
          </w:p>
        </w:tc>
        <w:tc>
          <w:tcPr>
            <w:tcW w:w="1418" w:type="dxa"/>
          </w:tcPr>
          <w:p w14:paraId="5B9374F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992" w:type="dxa"/>
          </w:tcPr>
          <w:p w14:paraId="42FBE2B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1417" w:type="dxa"/>
          </w:tcPr>
          <w:p w14:paraId="5435EB1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0.6</w:t>
            </w:r>
          </w:p>
        </w:tc>
        <w:tc>
          <w:tcPr>
            <w:tcW w:w="1084" w:type="dxa"/>
          </w:tcPr>
          <w:p w14:paraId="33888BF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0.7</w:t>
            </w:r>
          </w:p>
        </w:tc>
      </w:tr>
      <w:tr w:rsidR="00AD5414" w:rsidRPr="00AD5414" w14:paraId="1771F993" w14:textId="77777777" w:rsidTr="00A3077D">
        <w:trPr>
          <w:trHeight w:val="305"/>
        </w:trPr>
        <w:tc>
          <w:tcPr>
            <w:tcW w:w="1306" w:type="dxa"/>
          </w:tcPr>
          <w:p w14:paraId="462264BA"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Frangula</w:t>
            </w:r>
          </w:p>
        </w:tc>
        <w:tc>
          <w:tcPr>
            <w:tcW w:w="1418" w:type="dxa"/>
          </w:tcPr>
          <w:p w14:paraId="307EFF0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7.5</w:t>
            </w:r>
          </w:p>
        </w:tc>
        <w:tc>
          <w:tcPr>
            <w:tcW w:w="992" w:type="dxa"/>
          </w:tcPr>
          <w:p w14:paraId="130A5FA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10042E5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3.7</w:t>
            </w:r>
          </w:p>
        </w:tc>
        <w:tc>
          <w:tcPr>
            <w:tcW w:w="1084" w:type="dxa"/>
          </w:tcPr>
          <w:p w14:paraId="0B715FB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794FB4B8" w14:textId="77777777" w:rsidTr="00A3077D">
        <w:trPr>
          <w:trHeight w:val="305"/>
        </w:trPr>
        <w:tc>
          <w:tcPr>
            <w:tcW w:w="1306" w:type="dxa"/>
          </w:tcPr>
          <w:p w14:paraId="0A804D2E"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Fraxinus</w:t>
            </w:r>
          </w:p>
        </w:tc>
        <w:tc>
          <w:tcPr>
            <w:tcW w:w="1418" w:type="dxa"/>
          </w:tcPr>
          <w:p w14:paraId="771D89D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38.1</w:t>
            </w:r>
          </w:p>
        </w:tc>
        <w:tc>
          <w:tcPr>
            <w:tcW w:w="992" w:type="dxa"/>
          </w:tcPr>
          <w:p w14:paraId="433DFCC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417" w:type="dxa"/>
          </w:tcPr>
          <w:p w14:paraId="3C17724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28.8</w:t>
            </w:r>
          </w:p>
        </w:tc>
        <w:tc>
          <w:tcPr>
            <w:tcW w:w="1084" w:type="dxa"/>
          </w:tcPr>
          <w:p w14:paraId="6A87DDA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09DD515C" w14:textId="77777777" w:rsidTr="00A3077D">
        <w:trPr>
          <w:trHeight w:val="305"/>
        </w:trPr>
        <w:tc>
          <w:tcPr>
            <w:tcW w:w="1306" w:type="dxa"/>
          </w:tcPr>
          <w:p w14:paraId="01D5019D"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Juniperus</w:t>
            </w:r>
          </w:p>
        </w:tc>
        <w:tc>
          <w:tcPr>
            <w:tcW w:w="1418" w:type="dxa"/>
          </w:tcPr>
          <w:p w14:paraId="63ABA6C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992" w:type="dxa"/>
          </w:tcPr>
          <w:p w14:paraId="4B2AB3E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4043B26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084" w:type="dxa"/>
          </w:tcPr>
          <w:p w14:paraId="0020EAD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538682EA" w14:textId="77777777" w:rsidTr="00A3077D">
        <w:trPr>
          <w:trHeight w:val="305"/>
        </w:trPr>
        <w:tc>
          <w:tcPr>
            <w:tcW w:w="1306" w:type="dxa"/>
          </w:tcPr>
          <w:p w14:paraId="0A86EC73"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Larix</w:t>
            </w:r>
          </w:p>
        </w:tc>
        <w:tc>
          <w:tcPr>
            <w:tcW w:w="1418" w:type="dxa"/>
          </w:tcPr>
          <w:p w14:paraId="7529B83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0.9</w:t>
            </w:r>
          </w:p>
        </w:tc>
        <w:tc>
          <w:tcPr>
            <w:tcW w:w="992" w:type="dxa"/>
          </w:tcPr>
          <w:p w14:paraId="5C8C9BE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5.8</w:t>
            </w:r>
          </w:p>
        </w:tc>
        <w:tc>
          <w:tcPr>
            <w:tcW w:w="1417" w:type="dxa"/>
          </w:tcPr>
          <w:p w14:paraId="1946C1C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0.8</w:t>
            </w:r>
          </w:p>
        </w:tc>
        <w:tc>
          <w:tcPr>
            <w:tcW w:w="1084" w:type="dxa"/>
          </w:tcPr>
          <w:p w14:paraId="4A8460E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2.3</w:t>
            </w:r>
          </w:p>
        </w:tc>
      </w:tr>
      <w:tr w:rsidR="00AD5414" w:rsidRPr="00AD5414" w14:paraId="19B99329" w14:textId="77777777" w:rsidTr="00A3077D">
        <w:trPr>
          <w:trHeight w:val="305"/>
        </w:trPr>
        <w:tc>
          <w:tcPr>
            <w:tcW w:w="1306" w:type="dxa"/>
          </w:tcPr>
          <w:p w14:paraId="6A5934A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Ostrya</w:t>
            </w:r>
          </w:p>
        </w:tc>
        <w:tc>
          <w:tcPr>
            <w:tcW w:w="1418" w:type="dxa"/>
          </w:tcPr>
          <w:p w14:paraId="7B45EF3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0.9</w:t>
            </w:r>
          </w:p>
        </w:tc>
        <w:tc>
          <w:tcPr>
            <w:tcW w:w="992" w:type="dxa"/>
          </w:tcPr>
          <w:p w14:paraId="44F6F72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c>
          <w:tcPr>
            <w:tcW w:w="1417" w:type="dxa"/>
          </w:tcPr>
          <w:p w14:paraId="5175969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0.7</w:t>
            </w:r>
          </w:p>
        </w:tc>
        <w:tc>
          <w:tcPr>
            <w:tcW w:w="1084" w:type="dxa"/>
          </w:tcPr>
          <w:p w14:paraId="272035B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r>
      <w:tr w:rsidR="00AD5414" w:rsidRPr="00AD5414" w14:paraId="0C98C7DD" w14:textId="77777777" w:rsidTr="00A3077D">
        <w:trPr>
          <w:trHeight w:val="305"/>
        </w:trPr>
        <w:tc>
          <w:tcPr>
            <w:tcW w:w="1306" w:type="dxa"/>
          </w:tcPr>
          <w:p w14:paraId="7F4F5206"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Populus</w:t>
            </w:r>
          </w:p>
        </w:tc>
        <w:tc>
          <w:tcPr>
            <w:tcW w:w="1418" w:type="dxa"/>
          </w:tcPr>
          <w:p w14:paraId="210AB0F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992" w:type="dxa"/>
          </w:tcPr>
          <w:p w14:paraId="3234705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w:t>
            </w:r>
          </w:p>
        </w:tc>
        <w:tc>
          <w:tcPr>
            <w:tcW w:w="1417" w:type="dxa"/>
          </w:tcPr>
          <w:p w14:paraId="20C592D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084" w:type="dxa"/>
          </w:tcPr>
          <w:p w14:paraId="569E290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4.6</w:t>
            </w:r>
          </w:p>
        </w:tc>
      </w:tr>
      <w:tr w:rsidR="00AD5414" w:rsidRPr="00AD5414" w14:paraId="235FA773" w14:textId="77777777" w:rsidTr="00A3077D">
        <w:trPr>
          <w:trHeight w:val="305"/>
        </w:trPr>
        <w:tc>
          <w:tcPr>
            <w:tcW w:w="1306" w:type="dxa"/>
          </w:tcPr>
          <w:p w14:paraId="5C38265A"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Prunus</w:t>
            </w:r>
          </w:p>
        </w:tc>
        <w:tc>
          <w:tcPr>
            <w:tcW w:w="1418" w:type="dxa"/>
          </w:tcPr>
          <w:p w14:paraId="712425F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992" w:type="dxa"/>
          </w:tcPr>
          <w:p w14:paraId="12D10AF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1417" w:type="dxa"/>
          </w:tcPr>
          <w:p w14:paraId="789F3D6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1084" w:type="dxa"/>
          </w:tcPr>
          <w:p w14:paraId="1004CE0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r>
      <w:tr w:rsidR="00AD5414" w:rsidRPr="00AD5414" w14:paraId="34A8D2F2" w14:textId="77777777" w:rsidTr="00A3077D">
        <w:trPr>
          <w:trHeight w:val="305"/>
        </w:trPr>
        <w:tc>
          <w:tcPr>
            <w:tcW w:w="1306" w:type="dxa"/>
          </w:tcPr>
          <w:p w14:paraId="27A7AB43"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Quercus</w:t>
            </w:r>
          </w:p>
        </w:tc>
        <w:tc>
          <w:tcPr>
            <w:tcW w:w="1418" w:type="dxa"/>
          </w:tcPr>
          <w:p w14:paraId="666203E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3.3</w:t>
            </w:r>
          </w:p>
        </w:tc>
        <w:tc>
          <w:tcPr>
            <w:tcW w:w="992" w:type="dxa"/>
          </w:tcPr>
          <w:p w14:paraId="593D8C1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10</w:t>
            </w:r>
          </w:p>
        </w:tc>
        <w:tc>
          <w:tcPr>
            <w:tcW w:w="1417" w:type="dxa"/>
          </w:tcPr>
          <w:p w14:paraId="293424E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3.3</w:t>
            </w:r>
          </w:p>
        </w:tc>
        <w:tc>
          <w:tcPr>
            <w:tcW w:w="1084" w:type="dxa"/>
          </w:tcPr>
          <w:p w14:paraId="50785D8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12.8</w:t>
            </w:r>
          </w:p>
        </w:tc>
      </w:tr>
      <w:tr w:rsidR="00AD5414" w:rsidRPr="00AD5414" w14:paraId="0DB9908D" w14:textId="77777777" w:rsidTr="00A3077D">
        <w:trPr>
          <w:trHeight w:val="305"/>
        </w:trPr>
        <w:tc>
          <w:tcPr>
            <w:tcW w:w="1306" w:type="dxa"/>
          </w:tcPr>
          <w:p w14:paraId="4BB14BA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Rhamnus</w:t>
            </w:r>
          </w:p>
        </w:tc>
        <w:tc>
          <w:tcPr>
            <w:tcW w:w="1418" w:type="dxa"/>
          </w:tcPr>
          <w:p w14:paraId="6BB0394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0.2</w:t>
            </w:r>
          </w:p>
        </w:tc>
        <w:tc>
          <w:tcPr>
            <w:tcW w:w="992" w:type="dxa"/>
          </w:tcPr>
          <w:p w14:paraId="6292636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24FC8E7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084" w:type="dxa"/>
          </w:tcPr>
          <w:p w14:paraId="07F2EEA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36B202DE" w14:textId="77777777" w:rsidTr="00A3077D">
        <w:trPr>
          <w:trHeight w:val="305"/>
        </w:trPr>
        <w:tc>
          <w:tcPr>
            <w:tcW w:w="1306" w:type="dxa"/>
          </w:tcPr>
          <w:p w14:paraId="22EB2094"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Tilia</w:t>
            </w:r>
          </w:p>
        </w:tc>
        <w:tc>
          <w:tcPr>
            <w:tcW w:w="1418" w:type="dxa"/>
          </w:tcPr>
          <w:p w14:paraId="314D9FD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3.3</w:t>
            </w:r>
          </w:p>
        </w:tc>
        <w:tc>
          <w:tcPr>
            <w:tcW w:w="992" w:type="dxa"/>
          </w:tcPr>
          <w:p w14:paraId="09F8C46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15.1</w:t>
            </w:r>
          </w:p>
        </w:tc>
        <w:tc>
          <w:tcPr>
            <w:tcW w:w="1417" w:type="dxa"/>
          </w:tcPr>
          <w:p w14:paraId="27948FF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4.5</w:t>
            </w:r>
          </w:p>
        </w:tc>
        <w:tc>
          <w:tcPr>
            <w:tcW w:w="1084" w:type="dxa"/>
          </w:tcPr>
          <w:p w14:paraId="0963048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7</w:t>
            </w:r>
          </w:p>
        </w:tc>
      </w:tr>
      <w:tr w:rsidR="00AD5414" w:rsidRPr="00AD5414" w14:paraId="2FC3E1A5" w14:textId="77777777" w:rsidTr="00A3077D">
        <w:trPr>
          <w:trHeight w:val="305"/>
        </w:trPr>
        <w:tc>
          <w:tcPr>
            <w:tcW w:w="1306" w:type="dxa"/>
          </w:tcPr>
          <w:p w14:paraId="6624C53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Ulmus</w:t>
            </w:r>
          </w:p>
        </w:tc>
        <w:tc>
          <w:tcPr>
            <w:tcW w:w="1418" w:type="dxa"/>
          </w:tcPr>
          <w:p w14:paraId="2BAF465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13.3</w:t>
            </w:r>
          </w:p>
        </w:tc>
        <w:tc>
          <w:tcPr>
            <w:tcW w:w="992" w:type="dxa"/>
          </w:tcPr>
          <w:p w14:paraId="7E29821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16.2</w:t>
            </w:r>
          </w:p>
        </w:tc>
        <w:tc>
          <w:tcPr>
            <w:tcW w:w="1417" w:type="dxa"/>
          </w:tcPr>
          <w:p w14:paraId="197199E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24.7</w:t>
            </w:r>
          </w:p>
        </w:tc>
        <w:tc>
          <w:tcPr>
            <w:tcW w:w="1084" w:type="dxa"/>
          </w:tcPr>
          <w:p w14:paraId="362B21F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5.5</w:t>
            </w:r>
          </w:p>
        </w:tc>
      </w:tr>
      <w:tr w:rsidR="00AD5414" w:rsidRPr="00AD5414" w14:paraId="16E25ECE" w14:textId="77777777" w:rsidTr="00A3077D">
        <w:trPr>
          <w:trHeight w:val="305"/>
        </w:trPr>
        <w:tc>
          <w:tcPr>
            <w:tcW w:w="1306" w:type="dxa"/>
          </w:tcPr>
          <w:p w14:paraId="08B43EA7"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Viburnum</w:t>
            </w:r>
          </w:p>
        </w:tc>
        <w:tc>
          <w:tcPr>
            <w:tcW w:w="1418" w:type="dxa"/>
          </w:tcPr>
          <w:p w14:paraId="05D439A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992" w:type="dxa"/>
          </w:tcPr>
          <w:p w14:paraId="39B3885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37833E7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1084" w:type="dxa"/>
          </w:tcPr>
          <w:p w14:paraId="40FF22A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bl>
    <w:p w14:paraId="055BC667" w14:textId="77777777" w:rsidR="00AD5414" w:rsidRPr="00AD5414" w:rsidRDefault="00AD5414" w:rsidP="00AD5414">
      <w:pPr>
        <w:spacing w:line="480" w:lineRule="auto"/>
        <w:rPr>
          <w:rFonts w:eastAsia="Calibri"/>
          <w:kern w:val="0"/>
          <w:sz w:val="24"/>
          <w:szCs w:val="24"/>
          <w14:ligatures w14:val="none"/>
        </w:rPr>
      </w:pPr>
    </w:p>
    <w:p w14:paraId="2CD70E6C" w14:textId="77777777" w:rsidR="00AD5414" w:rsidRPr="00AD5414" w:rsidRDefault="00AD5414" w:rsidP="00AD5414">
      <w:pPr>
        <w:spacing w:line="480" w:lineRule="auto"/>
        <w:rPr>
          <w:rFonts w:eastAsia="Calibri"/>
          <w:kern w:val="0"/>
          <w:sz w:val="24"/>
          <w:szCs w:val="24"/>
          <w14:ligatures w14:val="none"/>
        </w:rPr>
      </w:pPr>
    </w:p>
    <w:p w14:paraId="51511721" w14:textId="39EDD3D0" w:rsidR="00AD5414" w:rsidRPr="00AD5414" w:rsidRDefault="001A4531" w:rsidP="00AD5414">
      <w:pPr>
        <w:spacing w:line="480" w:lineRule="auto"/>
        <w:rPr>
          <w:rFonts w:eastAsia="Calibri"/>
          <w:kern w:val="0"/>
          <w:sz w:val="24"/>
          <w:szCs w:val="24"/>
          <w14:ligatures w14:val="none"/>
        </w:rPr>
      </w:pPr>
      <w:r w:rsidRPr="001A4531">
        <w:rPr>
          <w:rFonts w:eastAsia="Calibri"/>
          <w:noProof/>
          <w:kern w:val="0"/>
          <w:sz w:val="24"/>
          <w:szCs w:val="24"/>
          <w14:ligatures w14:val="none"/>
        </w:rPr>
        <w:lastRenderedPageBreak/>
        <w:drawing>
          <wp:inline distT="0" distB="0" distL="0" distR="0" wp14:anchorId="73E39A6A" wp14:editId="682643D4">
            <wp:extent cx="5610225" cy="6589952"/>
            <wp:effectExtent l="0" t="0" r="0" b="1905"/>
            <wp:docPr id="1759151496" name="Graphic 1" descr="There are two graphs, a top and bottom graph. Each graph has basal area in the y-axis, measured in meters squared per hectare. The x-axis is the different genera of trees. The top graph shows that the genus Acer, and to a lesser extent Quercus, Tilia, and Ulmus, were important in the canopy (for trees greater than 12.5 cm DBH). The bottom graph shows that Fraxinus, and to a lesser extent Ulmus, Acer, and Carpinus, were important in the understory (2.5-12.5 cm D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1496" name="Graphic 1" descr="There are two graphs, a top and bottom graph. Each graph has basal area in the y-axis, measured in meters squared per hectare. The x-axis is the different genera of trees. The top graph shows that the genus Acer, and to a lesser extent Quercus, Tilia, and Ulmus, were important in the canopy (for trees greater than 12.5 cm DBH). The bottom graph shows that Fraxinus, and to a lesser extent Ulmus, Acer, and Carpinus, were important in the understory (2.5-12.5 cm DBH)."/>
                    <pic:cNvPicPr/>
                  </pic:nvPicPr>
                  <pic:blipFill>
                    <a:blip r:embed="rId14">
                      <a:extLst>
                        <a:ext uri="{96DAC541-7B7A-43D3-8B79-37D633B846F1}">
                          <asvg:svgBlip xmlns:asvg="http://schemas.microsoft.com/office/drawing/2016/SVG/main" r:embed="rId15"/>
                        </a:ext>
                      </a:extLst>
                    </a:blip>
                    <a:stretch>
                      <a:fillRect/>
                    </a:stretch>
                  </pic:blipFill>
                  <pic:spPr>
                    <a:xfrm>
                      <a:off x="0" y="0"/>
                      <a:ext cx="5624509" cy="6606730"/>
                    </a:xfrm>
                    <a:prstGeom prst="rect">
                      <a:avLst/>
                    </a:prstGeom>
                  </pic:spPr>
                </pic:pic>
              </a:graphicData>
            </a:graphic>
          </wp:inline>
        </w:drawing>
      </w:r>
    </w:p>
    <w:p w14:paraId="72D2BFA7" w14:textId="77777777" w:rsidR="006B3378" w:rsidRDefault="006B3378" w:rsidP="00AD5414">
      <w:pPr>
        <w:spacing w:after="200"/>
        <w:rPr>
          <w:rFonts w:eastAsia="Calibri"/>
          <w:b/>
          <w:bCs/>
          <w:iCs/>
          <w:kern w:val="0"/>
          <w:sz w:val="24"/>
          <w:szCs w:val="18"/>
          <w14:ligatures w14:val="none"/>
        </w:rPr>
      </w:pPr>
      <w:bookmarkStart w:id="11" w:name="_Toc213432485"/>
    </w:p>
    <w:p w14:paraId="7019797A" w14:textId="23233785" w:rsidR="00AD5414" w:rsidRPr="00FA1447" w:rsidRDefault="00AD5414" w:rsidP="00FA1447">
      <w:pPr>
        <w:spacing w:after="200"/>
        <w:rPr>
          <w:rFonts w:eastAsia="Calibri"/>
          <w:iCs/>
          <w:kern w:val="0"/>
          <w:sz w:val="24"/>
          <w:szCs w:val="18"/>
          <w14:ligatures w14:val="none"/>
        </w:rPr>
      </w:pPr>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4</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Basal area of living trees in 10 hydric transects (30 plots). Each dot represents a single plot. A) Canopy trees (≥ 12.5 cm DBH); B) understory trees (2.5-12.5 cm DBH). Tree genera were only included in the graph if their mean basal area was in the top seven. Note the difference in y-axis scale between the two graphs. Boxplot boundaries represent the 25th and 75th percentiles, while center line within the box is the median.</w:t>
      </w:r>
      <w:bookmarkEnd w:id="11"/>
      <w:r w:rsidR="00861771">
        <w:rPr>
          <w:rFonts w:eastAsia="Calibri"/>
          <w:iCs/>
          <w:kern w:val="0"/>
          <w:sz w:val="24"/>
          <w:szCs w:val="18"/>
          <w14:ligatures w14:val="none"/>
        </w:rPr>
        <w:t xml:space="preserve"> Genera were arranged in </w:t>
      </w:r>
      <w:proofErr w:type="gramStart"/>
      <w:r w:rsidR="00861771">
        <w:rPr>
          <w:rFonts w:eastAsia="Calibri"/>
          <w:iCs/>
          <w:kern w:val="0"/>
          <w:sz w:val="24"/>
          <w:szCs w:val="18"/>
          <w14:ligatures w14:val="none"/>
        </w:rPr>
        <w:t>the order</w:t>
      </w:r>
      <w:proofErr w:type="gramEnd"/>
      <w:r w:rsidR="00861771">
        <w:rPr>
          <w:rFonts w:eastAsia="Calibri"/>
          <w:iCs/>
          <w:kern w:val="0"/>
          <w:sz w:val="24"/>
          <w:szCs w:val="18"/>
          <w14:ligatures w14:val="none"/>
        </w:rPr>
        <w:t xml:space="preserve"> of decreasing mean </w:t>
      </w:r>
      <w:r w:rsidR="00FA1447">
        <w:rPr>
          <w:rFonts w:eastAsia="Calibri"/>
          <w:iCs/>
          <w:kern w:val="0"/>
          <w:sz w:val="24"/>
          <w:szCs w:val="18"/>
          <w14:ligatures w14:val="none"/>
        </w:rPr>
        <w:t>basal area.</w:t>
      </w:r>
    </w:p>
    <w:p w14:paraId="1C562540"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lastRenderedPageBreak/>
        <w:drawing>
          <wp:inline distT="0" distB="0" distL="0" distR="0" wp14:anchorId="1C0CB472" wp14:editId="2A68EA9D">
            <wp:extent cx="5758004" cy="4617805"/>
            <wp:effectExtent l="0" t="0" r="0" b="0"/>
            <wp:docPr id="374876287" name="Graphic 1" descr="The graph shows points (which were the 18 m radius survey plots) graphed onto the first two NMDS axes. The x and y axis say &quot;NMDS1&quot; and &quot;NMDS2&quot;. Each tree species is also placed onto the graph. The graph shows a cluster of tree species at the top, including Acer saccharum, Quercus_red, Tilia americana, Quercus white, and Carpinus caroliniana. On the left side of the graph is Fraxinus pensylvanica, Acer saccharinum, Populus spp., and Ulmus spp.. On the lower right are Betula alleghaniensis, Fraxinus nigra, and Larix lar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76287" name="Graphic 1" descr="The graph shows points (which were the 18 m radius survey plots) graphed onto the first two NMDS axes. The x and y axis say &quot;NMDS1&quot; and &quot;NMDS2&quot;. Each tree species is also placed onto the graph. The graph shows a cluster of tree species at the top, including Acer saccharum, Quercus_red, Tilia americana, Quercus white, and Carpinus caroliniana. On the left side of the graph is Fraxinus pensylvanica, Acer saccharinum, Populus spp., and Ulmus spp.. On the lower right are Betula alleghaniensis, Fraxinus nigra, and Larix laricina."/>
                    <pic:cNvPicPr/>
                  </pic:nvPicPr>
                  <pic:blipFill>
                    <a:blip r:embed="rId16">
                      <a:extLst>
                        <a:ext uri="{96DAC541-7B7A-43D3-8B79-37D633B846F1}">
                          <asvg:svgBlip xmlns:asvg="http://schemas.microsoft.com/office/drawing/2016/SVG/main" r:embed="rId17"/>
                        </a:ext>
                      </a:extLst>
                    </a:blip>
                    <a:stretch>
                      <a:fillRect/>
                    </a:stretch>
                  </pic:blipFill>
                  <pic:spPr>
                    <a:xfrm>
                      <a:off x="0" y="0"/>
                      <a:ext cx="5768236" cy="4626011"/>
                    </a:xfrm>
                    <a:prstGeom prst="rect">
                      <a:avLst/>
                    </a:prstGeom>
                  </pic:spPr>
                </pic:pic>
              </a:graphicData>
            </a:graphic>
          </wp:inline>
        </w:drawing>
      </w:r>
    </w:p>
    <w:p w14:paraId="2FDFB954" w14:textId="389D5039" w:rsidR="00AD5414" w:rsidRPr="00AD5414" w:rsidRDefault="00AD5414" w:rsidP="00AD5414">
      <w:pPr>
        <w:spacing w:after="200"/>
        <w:rPr>
          <w:rFonts w:eastAsia="Calibri"/>
          <w:iCs/>
          <w:kern w:val="0"/>
          <w:sz w:val="24"/>
          <w:szCs w:val="18"/>
          <w14:ligatures w14:val="none"/>
        </w:rPr>
      </w:pPr>
      <w:bookmarkStart w:id="12" w:name="_Toc213432486"/>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5</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Nonmetric multidimensional scaling (NMDS) of the </w:t>
      </w:r>
      <w:proofErr w:type="gramStart"/>
      <w:r w:rsidRPr="00AD5414">
        <w:rPr>
          <w:rFonts w:eastAsia="Calibri"/>
          <w:iCs/>
          <w:kern w:val="0"/>
          <w:sz w:val="24"/>
          <w:szCs w:val="18"/>
          <w14:ligatures w14:val="none"/>
        </w:rPr>
        <w:t>tree</w:t>
      </w:r>
      <w:proofErr w:type="gramEnd"/>
      <w:r w:rsidRPr="00AD5414">
        <w:rPr>
          <w:rFonts w:eastAsia="Calibri"/>
          <w:iCs/>
          <w:kern w:val="0"/>
          <w:sz w:val="24"/>
          <w:szCs w:val="18"/>
          <w14:ligatures w14:val="none"/>
        </w:rPr>
        <w:t xml:space="preserve"> species composition among the 30 hydric plots visited in 2025. Each point is a plot. Data used to generate the NMDS was the basal area per hectare of each tree species, counting all trees ≥ 2.5 cm DBH. The final stress value was 0.149. Species were pooled within each of the red oak group (</w:t>
      </w:r>
      <w:r w:rsidRPr="00AD5414">
        <w:rPr>
          <w:rFonts w:eastAsia="Calibri"/>
          <w:i/>
          <w:iCs/>
          <w:kern w:val="0"/>
          <w:sz w:val="24"/>
          <w:szCs w:val="18"/>
          <w14:ligatures w14:val="none"/>
        </w:rPr>
        <w:t>Quercus</w:t>
      </w:r>
      <w:r w:rsidRPr="00AD5414">
        <w:rPr>
          <w:rFonts w:eastAsia="Calibri"/>
          <w:iCs/>
          <w:kern w:val="0"/>
          <w:sz w:val="24"/>
          <w:szCs w:val="18"/>
          <w14:ligatures w14:val="none"/>
        </w:rPr>
        <w:t xml:space="preserve"> section </w:t>
      </w:r>
      <w:r w:rsidRPr="00AD5414">
        <w:rPr>
          <w:rFonts w:eastAsia="Calibri"/>
          <w:i/>
          <w:iCs/>
          <w:kern w:val="0"/>
          <w:sz w:val="24"/>
          <w:szCs w:val="18"/>
          <w14:ligatures w14:val="none"/>
        </w:rPr>
        <w:t>Lobatae</w:t>
      </w:r>
      <w:r w:rsidRPr="00AD5414">
        <w:rPr>
          <w:rFonts w:eastAsia="Calibri"/>
          <w:iCs/>
          <w:kern w:val="0"/>
          <w:sz w:val="24"/>
          <w:szCs w:val="18"/>
          <w14:ligatures w14:val="none"/>
        </w:rPr>
        <w:t>), the white oak group (</w:t>
      </w:r>
      <w:r w:rsidRPr="00AD5414">
        <w:rPr>
          <w:rFonts w:eastAsia="Calibri"/>
          <w:i/>
          <w:iCs/>
          <w:kern w:val="0"/>
          <w:sz w:val="24"/>
          <w:szCs w:val="18"/>
          <w14:ligatures w14:val="none"/>
        </w:rPr>
        <w:t>Quercus</w:t>
      </w:r>
      <w:r w:rsidRPr="00AD5414">
        <w:rPr>
          <w:rFonts w:eastAsia="Calibri"/>
          <w:iCs/>
          <w:kern w:val="0"/>
          <w:sz w:val="24"/>
          <w:szCs w:val="18"/>
          <w14:ligatures w14:val="none"/>
        </w:rPr>
        <w:t xml:space="preserve"> section </w:t>
      </w:r>
      <w:r w:rsidRPr="00AD5414">
        <w:rPr>
          <w:rFonts w:eastAsia="Calibri"/>
          <w:i/>
          <w:iCs/>
          <w:kern w:val="0"/>
          <w:sz w:val="24"/>
          <w:szCs w:val="18"/>
          <w14:ligatures w14:val="none"/>
        </w:rPr>
        <w:t>Quercus</w:t>
      </w:r>
      <w:r w:rsidRPr="00AD5414">
        <w:rPr>
          <w:rFonts w:eastAsia="Calibri"/>
          <w:iCs/>
          <w:kern w:val="0"/>
          <w:sz w:val="24"/>
          <w:szCs w:val="18"/>
          <w14:ligatures w14:val="none"/>
        </w:rPr>
        <w:t>),</w:t>
      </w:r>
      <w:r w:rsidR="003B3F84">
        <w:rPr>
          <w:rFonts w:eastAsia="Calibri"/>
          <w:iCs/>
          <w:kern w:val="0"/>
          <w:sz w:val="24"/>
          <w:szCs w:val="18"/>
          <w14:ligatures w14:val="none"/>
        </w:rPr>
        <w:t xml:space="preserve"> </w:t>
      </w:r>
      <w:r w:rsidRPr="00AD5414">
        <w:rPr>
          <w:rFonts w:eastAsia="Calibri"/>
          <w:i/>
          <w:iCs/>
          <w:kern w:val="0"/>
          <w:sz w:val="24"/>
          <w:szCs w:val="18"/>
          <w14:ligatures w14:val="none"/>
        </w:rPr>
        <w:t>Ulmus,</w:t>
      </w:r>
      <w:r w:rsidRPr="00AD5414">
        <w:rPr>
          <w:rFonts w:eastAsia="Calibri"/>
          <w:iCs/>
          <w:kern w:val="0"/>
          <w:sz w:val="24"/>
          <w:szCs w:val="18"/>
          <w14:ligatures w14:val="none"/>
        </w:rPr>
        <w:t xml:space="preserve"> and </w:t>
      </w:r>
      <w:r w:rsidRPr="00AD5414">
        <w:rPr>
          <w:rFonts w:eastAsia="Calibri"/>
          <w:i/>
          <w:iCs/>
          <w:kern w:val="0"/>
          <w:sz w:val="24"/>
          <w:szCs w:val="18"/>
          <w14:ligatures w14:val="none"/>
        </w:rPr>
        <w:t>Populus</w:t>
      </w:r>
      <w:r w:rsidRPr="00AD5414">
        <w:rPr>
          <w:rFonts w:eastAsia="Calibri"/>
          <w:kern w:val="0"/>
          <w:sz w:val="24"/>
          <w:szCs w:val="18"/>
          <w14:ligatures w14:val="none"/>
        </w:rPr>
        <w:t xml:space="preserve"> for the analysis</w:t>
      </w:r>
      <w:r w:rsidRPr="00AD5414">
        <w:rPr>
          <w:rFonts w:eastAsia="Calibri"/>
          <w:iCs/>
          <w:kern w:val="0"/>
          <w:sz w:val="24"/>
          <w:szCs w:val="18"/>
          <w14:ligatures w14:val="none"/>
        </w:rPr>
        <w:t>.</w:t>
      </w:r>
      <w:bookmarkEnd w:id="12"/>
    </w:p>
    <w:p w14:paraId="34D5A462" w14:textId="77777777" w:rsidR="00AD5414" w:rsidRPr="00AD5414" w:rsidRDefault="00AD5414" w:rsidP="00AD5414">
      <w:pPr>
        <w:spacing w:line="480" w:lineRule="auto"/>
        <w:rPr>
          <w:rFonts w:eastAsia="Calibri"/>
          <w:kern w:val="0"/>
          <w:sz w:val="24"/>
          <w:szCs w:val="24"/>
          <w14:ligatures w14:val="none"/>
        </w:rPr>
      </w:pPr>
    </w:p>
    <w:p w14:paraId="0310076A" w14:textId="77777777" w:rsidR="00AD5414" w:rsidRPr="00AD5414" w:rsidRDefault="00AD5414" w:rsidP="00AD5414">
      <w:pPr>
        <w:spacing w:line="480" w:lineRule="auto"/>
        <w:rPr>
          <w:rFonts w:eastAsia="Calibri"/>
          <w:kern w:val="0"/>
          <w:sz w:val="24"/>
          <w:szCs w:val="24"/>
          <w14:ligatures w14:val="none"/>
        </w:rPr>
      </w:pPr>
    </w:p>
    <w:p w14:paraId="18F92FBF" w14:textId="77777777" w:rsidR="00AD5414" w:rsidRPr="00AD5414" w:rsidRDefault="00AD5414" w:rsidP="00AD5414">
      <w:pPr>
        <w:spacing w:line="480" w:lineRule="auto"/>
        <w:rPr>
          <w:rFonts w:eastAsia="Calibri"/>
          <w:kern w:val="0"/>
          <w:sz w:val="24"/>
          <w:szCs w:val="24"/>
          <w14:ligatures w14:val="none"/>
        </w:rPr>
      </w:pPr>
    </w:p>
    <w:p w14:paraId="2AA97BBF" w14:textId="77777777" w:rsidR="00AD5414" w:rsidRDefault="00AD5414" w:rsidP="00AD5414">
      <w:pPr>
        <w:spacing w:line="480" w:lineRule="auto"/>
        <w:rPr>
          <w:rFonts w:eastAsia="Calibri"/>
          <w:kern w:val="0"/>
          <w:sz w:val="24"/>
          <w:szCs w:val="24"/>
          <w14:ligatures w14:val="none"/>
        </w:rPr>
      </w:pPr>
    </w:p>
    <w:p w14:paraId="7153B587" w14:textId="77777777" w:rsidR="00054837" w:rsidRPr="00AD5414" w:rsidRDefault="00054837" w:rsidP="00AD5414">
      <w:pPr>
        <w:spacing w:line="480" w:lineRule="auto"/>
        <w:rPr>
          <w:rFonts w:eastAsia="Calibri"/>
          <w:kern w:val="0"/>
          <w:sz w:val="24"/>
          <w:szCs w:val="24"/>
          <w14:ligatures w14:val="none"/>
        </w:rPr>
      </w:pPr>
    </w:p>
    <w:p w14:paraId="42FD1232" w14:textId="77777777" w:rsidR="00AD5414" w:rsidRPr="00AD5414" w:rsidRDefault="00AD5414" w:rsidP="00AD5414">
      <w:pPr>
        <w:spacing w:line="480" w:lineRule="auto"/>
        <w:rPr>
          <w:rFonts w:eastAsia="Calibri"/>
          <w:kern w:val="0"/>
          <w:sz w:val="24"/>
          <w:szCs w:val="24"/>
          <w14:ligatures w14:val="none"/>
        </w:rPr>
      </w:pPr>
    </w:p>
    <w:p w14:paraId="01AFF0C5" w14:textId="25673E0F" w:rsidR="00AD5414" w:rsidRPr="00AD5414" w:rsidRDefault="00AD5414" w:rsidP="00AD5414">
      <w:pPr>
        <w:spacing w:after="200"/>
        <w:rPr>
          <w:rFonts w:eastAsia="Calibri"/>
          <w:iCs/>
          <w:kern w:val="0"/>
          <w:sz w:val="24"/>
          <w:szCs w:val="18"/>
          <w14:ligatures w14:val="none"/>
        </w:rPr>
      </w:pPr>
      <w:bookmarkStart w:id="13" w:name="_Toc213432435"/>
      <w:r w:rsidRPr="00AD5414">
        <w:rPr>
          <w:rFonts w:eastAsia="Calibri"/>
          <w:b/>
          <w:bCs/>
          <w:iCs/>
          <w:kern w:val="0"/>
          <w:sz w:val="24"/>
          <w:szCs w:val="18"/>
          <w14:ligatures w14:val="none"/>
        </w:rPr>
        <w:lastRenderedPageBreak/>
        <w:t xml:space="preserve">Table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Table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3</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Average percentage cover (± SE) of understory </w:t>
      </w:r>
      <w:proofErr w:type="gramStart"/>
      <w:r w:rsidRPr="00AD5414">
        <w:rPr>
          <w:rFonts w:eastAsia="Calibri"/>
          <w:iCs/>
          <w:kern w:val="0"/>
          <w:sz w:val="24"/>
          <w:szCs w:val="18"/>
          <w14:ligatures w14:val="none"/>
        </w:rPr>
        <w:t>cover</w:t>
      </w:r>
      <w:proofErr w:type="gramEnd"/>
      <w:r w:rsidRPr="00AD5414">
        <w:rPr>
          <w:rFonts w:eastAsia="Calibri"/>
          <w:iCs/>
          <w:kern w:val="0"/>
          <w:sz w:val="24"/>
          <w:szCs w:val="18"/>
          <w14:ligatures w14:val="none"/>
        </w:rPr>
        <w:t xml:space="preserve"> types in 10 hydric transects (30 plots). Standard errors were calculated using n=30.</w:t>
      </w:r>
      <w:bookmarkEnd w:id="13"/>
      <w:r w:rsidR="002D4267">
        <w:rPr>
          <w:rFonts w:eastAsia="Calibri"/>
          <w:iCs/>
          <w:kern w:val="0"/>
          <w:sz w:val="24"/>
          <w:szCs w:val="18"/>
          <w14:ligatures w14:val="none"/>
        </w:rPr>
        <w:t xml:space="preserve"> The columns (from left to right) are Cover type, Scientific name, and Mean percentage cover </w:t>
      </w:r>
      <w:r w:rsidR="002D4267" w:rsidRPr="00AD5414">
        <w:rPr>
          <w:rFonts w:eastAsia="Calibri"/>
          <w:kern w:val="0"/>
          <w:sz w:val="24"/>
          <w:szCs w:val="24"/>
          <w14:ligatures w14:val="none"/>
        </w:rPr>
        <w:t>±</w:t>
      </w:r>
      <w:r w:rsidR="002D4267">
        <w:rPr>
          <w:rFonts w:eastAsia="Calibri"/>
          <w:kern w:val="0"/>
          <w:sz w:val="24"/>
          <w:szCs w:val="24"/>
          <w14:ligatures w14:val="none"/>
        </w:rPr>
        <w:t xml:space="preserve"> standard error.</w:t>
      </w:r>
    </w:p>
    <w:p w14:paraId="55B4588F" w14:textId="77777777" w:rsidR="00AD5414" w:rsidRPr="00AD5414" w:rsidRDefault="00AD5414" w:rsidP="00AD5414">
      <w:pPr>
        <w:rPr>
          <w:rFonts w:eastAsia="Calibri"/>
          <w:kern w:val="0"/>
          <w:sz w:val="24"/>
          <w:szCs w:val="24"/>
          <w14:ligatures w14:val="none"/>
        </w:rPr>
      </w:pPr>
    </w:p>
    <w:tbl>
      <w:tblPr>
        <w:tblW w:w="7453" w:type="dxa"/>
        <w:tblLook w:val="04A0" w:firstRow="1" w:lastRow="0" w:firstColumn="1" w:lastColumn="0" w:noHBand="0" w:noVBand="1"/>
      </w:tblPr>
      <w:tblGrid>
        <w:gridCol w:w="2268"/>
        <w:gridCol w:w="3261"/>
        <w:gridCol w:w="648"/>
        <w:gridCol w:w="348"/>
        <w:gridCol w:w="928"/>
      </w:tblGrid>
      <w:tr w:rsidR="00AD5414" w:rsidRPr="00AD5414" w14:paraId="69F97BEF" w14:textId="77777777" w:rsidTr="00A3077D">
        <w:trPr>
          <w:trHeight w:val="290"/>
        </w:trPr>
        <w:tc>
          <w:tcPr>
            <w:tcW w:w="2268" w:type="dxa"/>
            <w:tcBorders>
              <w:top w:val="single" w:sz="4" w:space="0" w:color="auto"/>
              <w:left w:val="nil"/>
              <w:bottom w:val="single" w:sz="4" w:space="0" w:color="auto"/>
              <w:right w:val="nil"/>
            </w:tcBorders>
          </w:tcPr>
          <w:p w14:paraId="02B6392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Cover type</w:t>
            </w:r>
          </w:p>
        </w:tc>
        <w:tc>
          <w:tcPr>
            <w:tcW w:w="3261" w:type="dxa"/>
            <w:tcBorders>
              <w:top w:val="single" w:sz="4" w:space="0" w:color="auto"/>
              <w:left w:val="nil"/>
              <w:bottom w:val="single" w:sz="4" w:space="0" w:color="auto"/>
              <w:right w:val="nil"/>
            </w:tcBorders>
          </w:tcPr>
          <w:p w14:paraId="23BA3C9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Scientific name</w:t>
            </w:r>
          </w:p>
        </w:tc>
        <w:tc>
          <w:tcPr>
            <w:tcW w:w="1924" w:type="dxa"/>
            <w:gridSpan w:val="3"/>
            <w:tcBorders>
              <w:top w:val="single" w:sz="4" w:space="0" w:color="auto"/>
              <w:left w:val="nil"/>
              <w:bottom w:val="single" w:sz="4" w:space="0" w:color="auto"/>
              <w:right w:val="nil"/>
            </w:tcBorders>
            <w:noWrap/>
            <w:hideMark/>
          </w:tcPr>
          <w:p w14:paraId="3AB26C8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Mean percentage cover (%) ± SE</w:t>
            </w:r>
          </w:p>
        </w:tc>
      </w:tr>
      <w:tr w:rsidR="00AD5414" w:rsidRPr="00AD5414" w14:paraId="2009575A" w14:textId="77777777" w:rsidTr="00A3077D">
        <w:trPr>
          <w:trHeight w:val="290"/>
        </w:trPr>
        <w:tc>
          <w:tcPr>
            <w:tcW w:w="2268" w:type="dxa"/>
            <w:tcBorders>
              <w:top w:val="nil"/>
              <w:left w:val="nil"/>
              <w:bottom w:val="nil"/>
              <w:right w:val="nil"/>
            </w:tcBorders>
          </w:tcPr>
          <w:p w14:paraId="23146F5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Water</w:t>
            </w:r>
          </w:p>
        </w:tc>
        <w:tc>
          <w:tcPr>
            <w:tcW w:w="3261" w:type="dxa"/>
            <w:tcBorders>
              <w:top w:val="nil"/>
              <w:left w:val="nil"/>
              <w:bottom w:val="nil"/>
              <w:right w:val="nil"/>
            </w:tcBorders>
          </w:tcPr>
          <w:p w14:paraId="61FF5B0D" w14:textId="77777777" w:rsidR="00AD5414" w:rsidRPr="00AD5414" w:rsidRDefault="00AD5414" w:rsidP="00AD5414">
            <w:pPr>
              <w:rPr>
                <w:rFonts w:eastAsia="Calibri"/>
                <w:kern w:val="0"/>
                <w:sz w:val="24"/>
                <w:szCs w:val="24"/>
                <w14:ligatures w14:val="none"/>
              </w:rPr>
            </w:pPr>
          </w:p>
        </w:tc>
        <w:tc>
          <w:tcPr>
            <w:tcW w:w="648" w:type="dxa"/>
            <w:tcBorders>
              <w:top w:val="nil"/>
              <w:left w:val="nil"/>
              <w:bottom w:val="nil"/>
              <w:right w:val="nil"/>
            </w:tcBorders>
            <w:noWrap/>
            <w:hideMark/>
          </w:tcPr>
          <w:p w14:paraId="1C54FFC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9.8</w:t>
            </w:r>
          </w:p>
        </w:tc>
        <w:tc>
          <w:tcPr>
            <w:tcW w:w="348" w:type="dxa"/>
            <w:tcBorders>
              <w:top w:val="nil"/>
              <w:left w:val="nil"/>
              <w:bottom w:val="nil"/>
              <w:right w:val="nil"/>
            </w:tcBorders>
            <w:noWrap/>
            <w:hideMark/>
          </w:tcPr>
          <w:p w14:paraId="03E4568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69D80A2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2.6</w:t>
            </w:r>
          </w:p>
        </w:tc>
      </w:tr>
      <w:tr w:rsidR="00AD5414" w:rsidRPr="00AD5414" w14:paraId="38D0B37C" w14:textId="77777777" w:rsidTr="00A3077D">
        <w:trPr>
          <w:trHeight w:val="290"/>
        </w:trPr>
        <w:tc>
          <w:tcPr>
            <w:tcW w:w="2268" w:type="dxa"/>
            <w:tcBorders>
              <w:top w:val="nil"/>
              <w:left w:val="nil"/>
              <w:bottom w:val="nil"/>
              <w:right w:val="nil"/>
            </w:tcBorders>
          </w:tcPr>
          <w:p w14:paraId="2168D67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Graminoids</w:t>
            </w:r>
          </w:p>
        </w:tc>
        <w:tc>
          <w:tcPr>
            <w:tcW w:w="3261" w:type="dxa"/>
            <w:tcBorders>
              <w:top w:val="nil"/>
              <w:left w:val="nil"/>
              <w:bottom w:val="nil"/>
              <w:right w:val="nil"/>
            </w:tcBorders>
          </w:tcPr>
          <w:p w14:paraId="4DF9352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Poales</w:t>
            </w:r>
          </w:p>
        </w:tc>
        <w:tc>
          <w:tcPr>
            <w:tcW w:w="648" w:type="dxa"/>
            <w:tcBorders>
              <w:top w:val="nil"/>
              <w:left w:val="nil"/>
              <w:bottom w:val="nil"/>
              <w:right w:val="nil"/>
            </w:tcBorders>
            <w:noWrap/>
            <w:hideMark/>
          </w:tcPr>
          <w:p w14:paraId="6C7803E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52.7</w:t>
            </w:r>
          </w:p>
        </w:tc>
        <w:tc>
          <w:tcPr>
            <w:tcW w:w="348" w:type="dxa"/>
            <w:tcBorders>
              <w:top w:val="nil"/>
              <w:left w:val="nil"/>
              <w:bottom w:val="nil"/>
              <w:right w:val="nil"/>
            </w:tcBorders>
            <w:noWrap/>
            <w:hideMark/>
          </w:tcPr>
          <w:p w14:paraId="533AE21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14FFEA6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5.0</w:t>
            </w:r>
          </w:p>
        </w:tc>
      </w:tr>
      <w:tr w:rsidR="00AD5414" w:rsidRPr="00AD5414" w14:paraId="6C5A188A" w14:textId="77777777" w:rsidTr="00A3077D">
        <w:trPr>
          <w:trHeight w:val="290"/>
        </w:trPr>
        <w:tc>
          <w:tcPr>
            <w:tcW w:w="2268" w:type="dxa"/>
            <w:tcBorders>
              <w:top w:val="nil"/>
              <w:left w:val="nil"/>
              <w:bottom w:val="nil"/>
              <w:right w:val="nil"/>
            </w:tcBorders>
          </w:tcPr>
          <w:p w14:paraId="398260C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Skunk cabbage</w:t>
            </w:r>
          </w:p>
        </w:tc>
        <w:tc>
          <w:tcPr>
            <w:tcW w:w="3261" w:type="dxa"/>
            <w:tcBorders>
              <w:top w:val="nil"/>
              <w:left w:val="nil"/>
              <w:bottom w:val="nil"/>
              <w:right w:val="nil"/>
            </w:tcBorders>
          </w:tcPr>
          <w:p w14:paraId="59C6BB9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Symplocarpus foetidus</w:t>
            </w:r>
          </w:p>
        </w:tc>
        <w:tc>
          <w:tcPr>
            <w:tcW w:w="648" w:type="dxa"/>
            <w:tcBorders>
              <w:top w:val="nil"/>
              <w:left w:val="nil"/>
              <w:bottom w:val="nil"/>
              <w:right w:val="nil"/>
            </w:tcBorders>
            <w:noWrap/>
            <w:hideMark/>
          </w:tcPr>
          <w:p w14:paraId="38180DF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37.6</w:t>
            </w:r>
          </w:p>
        </w:tc>
        <w:tc>
          <w:tcPr>
            <w:tcW w:w="348" w:type="dxa"/>
            <w:tcBorders>
              <w:top w:val="nil"/>
              <w:left w:val="nil"/>
              <w:bottom w:val="nil"/>
              <w:right w:val="nil"/>
            </w:tcBorders>
            <w:noWrap/>
            <w:hideMark/>
          </w:tcPr>
          <w:p w14:paraId="0DDB87D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39F7A3F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5.0</w:t>
            </w:r>
          </w:p>
        </w:tc>
      </w:tr>
      <w:tr w:rsidR="00AD5414" w:rsidRPr="00AD5414" w14:paraId="57A91DD7" w14:textId="77777777" w:rsidTr="00A3077D">
        <w:trPr>
          <w:trHeight w:val="290"/>
        </w:trPr>
        <w:tc>
          <w:tcPr>
            <w:tcW w:w="2268" w:type="dxa"/>
            <w:tcBorders>
              <w:top w:val="nil"/>
              <w:left w:val="nil"/>
              <w:bottom w:val="nil"/>
              <w:right w:val="nil"/>
            </w:tcBorders>
          </w:tcPr>
          <w:p w14:paraId="576C4FD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Ferns</w:t>
            </w:r>
          </w:p>
        </w:tc>
        <w:tc>
          <w:tcPr>
            <w:tcW w:w="3261" w:type="dxa"/>
            <w:tcBorders>
              <w:top w:val="nil"/>
              <w:left w:val="nil"/>
              <w:bottom w:val="nil"/>
              <w:right w:val="nil"/>
            </w:tcBorders>
          </w:tcPr>
          <w:p w14:paraId="714069C9" w14:textId="77777777" w:rsidR="00AD5414" w:rsidRPr="00AD5414" w:rsidRDefault="00AD5414" w:rsidP="00AD5414">
            <w:pPr>
              <w:rPr>
                <w:rFonts w:eastAsia="Calibri"/>
                <w:kern w:val="0"/>
                <w:sz w:val="24"/>
                <w:szCs w:val="24"/>
                <w14:ligatures w14:val="none"/>
              </w:rPr>
            </w:pPr>
          </w:p>
        </w:tc>
        <w:tc>
          <w:tcPr>
            <w:tcW w:w="648" w:type="dxa"/>
            <w:tcBorders>
              <w:top w:val="nil"/>
              <w:left w:val="nil"/>
              <w:bottom w:val="nil"/>
              <w:right w:val="nil"/>
            </w:tcBorders>
            <w:noWrap/>
            <w:hideMark/>
          </w:tcPr>
          <w:p w14:paraId="4F272D1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16.5</w:t>
            </w:r>
          </w:p>
        </w:tc>
        <w:tc>
          <w:tcPr>
            <w:tcW w:w="348" w:type="dxa"/>
            <w:tcBorders>
              <w:top w:val="nil"/>
              <w:left w:val="nil"/>
              <w:bottom w:val="nil"/>
              <w:right w:val="nil"/>
            </w:tcBorders>
            <w:noWrap/>
            <w:hideMark/>
          </w:tcPr>
          <w:p w14:paraId="2CF8D87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6196222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2.9</w:t>
            </w:r>
          </w:p>
        </w:tc>
      </w:tr>
      <w:tr w:rsidR="00AD5414" w:rsidRPr="00AD5414" w14:paraId="33F84CFC" w14:textId="77777777" w:rsidTr="00A3077D">
        <w:trPr>
          <w:trHeight w:val="290"/>
        </w:trPr>
        <w:tc>
          <w:tcPr>
            <w:tcW w:w="2268" w:type="dxa"/>
            <w:tcBorders>
              <w:top w:val="nil"/>
              <w:left w:val="nil"/>
              <w:bottom w:val="nil"/>
              <w:right w:val="nil"/>
            </w:tcBorders>
          </w:tcPr>
          <w:p w14:paraId="0DEA9B9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Spicebush</w:t>
            </w:r>
          </w:p>
        </w:tc>
        <w:tc>
          <w:tcPr>
            <w:tcW w:w="3261" w:type="dxa"/>
            <w:tcBorders>
              <w:top w:val="nil"/>
              <w:left w:val="nil"/>
              <w:bottom w:val="nil"/>
              <w:right w:val="nil"/>
            </w:tcBorders>
          </w:tcPr>
          <w:p w14:paraId="7C60E66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Lindera benzoin</w:t>
            </w:r>
          </w:p>
        </w:tc>
        <w:tc>
          <w:tcPr>
            <w:tcW w:w="648" w:type="dxa"/>
            <w:tcBorders>
              <w:top w:val="nil"/>
              <w:left w:val="nil"/>
              <w:bottom w:val="nil"/>
              <w:right w:val="nil"/>
            </w:tcBorders>
            <w:noWrap/>
            <w:hideMark/>
          </w:tcPr>
          <w:p w14:paraId="2C7497E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19.2</w:t>
            </w:r>
          </w:p>
        </w:tc>
        <w:tc>
          <w:tcPr>
            <w:tcW w:w="348" w:type="dxa"/>
            <w:tcBorders>
              <w:top w:val="nil"/>
              <w:left w:val="nil"/>
              <w:bottom w:val="nil"/>
              <w:right w:val="nil"/>
            </w:tcBorders>
            <w:noWrap/>
            <w:hideMark/>
          </w:tcPr>
          <w:p w14:paraId="0FF4244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24217E5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4.4</w:t>
            </w:r>
          </w:p>
        </w:tc>
      </w:tr>
      <w:tr w:rsidR="00AD5414" w:rsidRPr="00AD5414" w14:paraId="5EFBF5C7" w14:textId="77777777" w:rsidTr="00A3077D">
        <w:trPr>
          <w:trHeight w:val="290"/>
        </w:trPr>
        <w:tc>
          <w:tcPr>
            <w:tcW w:w="2268" w:type="dxa"/>
            <w:tcBorders>
              <w:top w:val="nil"/>
              <w:left w:val="nil"/>
              <w:bottom w:val="nil"/>
              <w:right w:val="nil"/>
            </w:tcBorders>
          </w:tcPr>
          <w:p w14:paraId="57AE2BA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Winterberry</w:t>
            </w:r>
          </w:p>
        </w:tc>
        <w:tc>
          <w:tcPr>
            <w:tcW w:w="3261" w:type="dxa"/>
            <w:tcBorders>
              <w:top w:val="nil"/>
              <w:left w:val="nil"/>
              <w:bottom w:val="nil"/>
              <w:right w:val="nil"/>
            </w:tcBorders>
          </w:tcPr>
          <w:p w14:paraId="4FCE544D"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Ilex verticillata</w:t>
            </w:r>
          </w:p>
        </w:tc>
        <w:tc>
          <w:tcPr>
            <w:tcW w:w="648" w:type="dxa"/>
            <w:tcBorders>
              <w:top w:val="nil"/>
              <w:left w:val="nil"/>
              <w:bottom w:val="nil"/>
              <w:right w:val="nil"/>
            </w:tcBorders>
            <w:noWrap/>
            <w:hideMark/>
          </w:tcPr>
          <w:p w14:paraId="3985009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5.7</w:t>
            </w:r>
          </w:p>
        </w:tc>
        <w:tc>
          <w:tcPr>
            <w:tcW w:w="348" w:type="dxa"/>
            <w:tcBorders>
              <w:top w:val="nil"/>
              <w:left w:val="nil"/>
              <w:bottom w:val="nil"/>
              <w:right w:val="nil"/>
            </w:tcBorders>
            <w:noWrap/>
            <w:hideMark/>
          </w:tcPr>
          <w:p w14:paraId="3E755D6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378E08F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1.9</w:t>
            </w:r>
          </w:p>
        </w:tc>
      </w:tr>
      <w:tr w:rsidR="00AD5414" w:rsidRPr="00AD5414" w14:paraId="6B396308" w14:textId="77777777" w:rsidTr="00A3077D">
        <w:trPr>
          <w:trHeight w:val="290"/>
        </w:trPr>
        <w:tc>
          <w:tcPr>
            <w:tcW w:w="2268" w:type="dxa"/>
            <w:tcBorders>
              <w:top w:val="nil"/>
              <w:left w:val="nil"/>
              <w:bottom w:val="nil"/>
              <w:right w:val="nil"/>
            </w:tcBorders>
          </w:tcPr>
          <w:p w14:paraId="0310B6A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Glossy buckthorn</w:t>
            </w:r>
          </w:p>
        </w:tc>
        <w:tc>
          <w:tcPr>
            <w:tcW w:w="3261" w:type="dxa"/>
            <w:tcBorders>
              <w:top w:val="nil"/>
              <w:left w:val="nil"/>
              <w:bottom w:val="nil"/>
              <w:right w:val="nil"/>
            </w:tcBorders>
          </w:tcPr>
          <w:p w14:paraId="333BD29A"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Frangula alnus</w:t>
            </w:r>
          </w:p>
        </w:tc>
        <w:tc>
          <w:tcPr>
            <w:tcW w:w="648" w:type="dxa"/>
            <w:tcBorders>
              <w:top w:val="nil"/>
              <w:left w:val="nil"/>
              <w:bottom w:val="nil"/>
              <w:right w:val="nil"/>
            </w:tcBorders>
            <w:noWrap/>
            <w:hideMark/>
          </w:tcPr>
          <w:p w14:paraId="190B1EB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3.6</w:t>
            </w:r>
          </w:p>
        </w:tc>
        <w:tc>
          <w:tcPr>
            <w:tcW w:w="348" w:type="dxa"/>
            <w:tcBorders>
              <w:top w:val="nil"/>
              <w:left w:val="nil"/>
              <w:bottom w:val="nil"/>
              <w:right w:val="nil"/>
            </w:tcBorders>
            <w:noWrap/>
            <w:hideMark/>
          </w:tcPr>
          <w:p w14:paraId="5AA50E0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0917A59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w:t>
            </w:r>
          </w:p>
        </w:tc>
      </w:tr>
      <w:tr w:rsidR="00AD5414" w:rsidRPr="00AD5414" w14:paraId="3D0F95A4" w14:textId="77777777" w:rsidTr="00A3077D">
        <w:trPr>
          <w:trHeight w:val="290"/>
        </w:trPr>
        <w:tc>
          <w:tcPr>
            <w:tcW w:w="2268" w:type="dxa"/>
            <w:tcBorders>
              <w:top w:val="nil"/>
              <w:left w:val="nil"/>
              <w:right w:val="nil"/>
            </w:tcBorders>
          </w:tcPr>
          <w:p w14:paraId="1399126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Poison sumac</w:t>
            </w:r>
          </w:p>
        </w:tc>
        <w:tc>
          <w:tcPr>
            <w:tcW w:w="3261" w:type="dxa"/>
            <w:tcBorders>
              <w:top w:val="nil"/>
              <w:left w:val="nil"/>
              <w:right w:val="nil"/>
            </w:tcBorders>
          </w:tcPr>
          <w:p w14:paraId="7264EEC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Toxicodendron vernix</w:t>
            </w:r>
          </w:p>
        </w:tc>
        <w:tc>
          <w:tcPr>
            <w:tcW w:w="648" w:type="dxa"/>
            <w:tcBorders>
              <w:top w:val="nil"/>
              <w:left w:val="nil"/>
              <w:right w:val="nil"/>
            </w:tcBorders>
            <w:noWrap/>
            <w:hideMark/>
          </w:tcPr>
          <w:p w14:paraId="2529734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2.1</w:t>
            </w:r>
          </w:p>
        </w:tc>
        <w:tc>
          <w:tcPr>
            <w:tcW w:w="348" w:type="dxa"/>
            <w:tcBorders>
              <w:top w:val="nil"/>
              <w:left w:val="nil"/>
              <w:right w:val="nil"/>
            </w:tcBorders>
            <w:noWrap/>
            <w:hideMark/>
          </w:tcPr>
          <w:p w14:paraId="4238581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right w:val="nil"/>
            </w:tcBorders>
            <w:noWrap/>
            <w:hideMark/>
          </w:tcPr>
          <w:p w14:paraId="06992AE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0.9</w:t>
            </w:r>
          </w:p>
        </w:tc>
      </w:tr>
      <w:tr w:rsidR="00AD5414" w:rsidRPr="00AD5414" w14:paraId="50163B41" w14:textId="77777777" w:rsidTr="00A3077D">
        <w:trPr>
          <w:trHeight w:val="290"/>
        </w:trPr>
        <w:tc>
          <w:tcPr>
            <w:tcW w:w="2268" w:type="dxa"/>
            <w:tcBorders>
              <w:top w:val="nil"/>
              <w:left w:val="nil"/>
              <w:bottom w:val="single" w:sz="4" w:space="0" w:color="auto"/>
              <w:right w:val="nil"/>
            </w:tcBorders>
          </w:tcPr>
          <w:p w14:paraId="19EC977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Other woody shrubs</w:t>
            </w:r>
          </w:p>
          <w:p w14:paraId="247C40E6" w14:textId="77777777" w:rsidR="00AD5414" w:rsidRPr="00AD5414" w:rsidRDefault="00AD5414" w:rsidP="00AD5414">
            <w:pPr>
              <w:rPr>
                <w:rFonts w:eastAsia="Calibri"/>
                <w:kern w:val="0"/>
                <w:sz w:val="24"/>
                <w:szCs w:val="24"/>
                <w14:ligatures w14:val="none"/>
              </w:rPr>
            </w:pPr>
          </w:p>
        </w:tc>
        <w:tc>
          <w:tcPr>
            <w:tcW w:w="3261" w:type="dxa"/>
            <w:tcBorders>
              <w:top w:val="nil"/>
              <w:left w:val="nil"/>
              <w:bottom w:val="single" w:sz="4" w:space="0" w:color="auto"/>
              <w:right w:val="nil"/>
            </w:tcBorders>
          </w:tcPr>
          <w:p w14:paraId="4DD26AA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 xml:space="preserve">Elaeagnus umbellata, Cornus </w:t>
            </w:r>
            <w:r w:rsidRPr="00AD5414">
              <w:rPr>
                <w:rFonts w:eastAsia="Calibri"/>
                <w:kern w:val="0"/>
                <w:sz w:val="24"/>
                <w:szCs w:val="24"/>
                <w14:ligatures w14:val="none"/>
              </w:rPr>
              <w:t>sp.</w:t>
            </w:r>
            <w:r w:rsidRPr="00AD5414">
              <w:rPr>
                <w:rFonts w:eastAsia="Calibri"/>
                <w:i/>
                <w:iCs/>
                <w:kern w:val="0"/>
                <w:sz w:val="24"/>
                <w:szCs w:val="24"/>
                <w14:ligatures w14:val="none"/>
              </w:rPr>
              <w:t xml:space="preserve">, Rosa </w:t>
            </w:r>
            <w:r w:rsidRPr="00AD5414">
              <w:rPr>
                <w:rFonts w:eastAsia="Calibri"/>
                <w:kern w:val="0"/>
                <w:sz w:val="24"/>
                <w:szCs w:val="24"/>
                <w14:ligatures w14:val="none"/>
              </w:rPr>
              <w:t>sp.</w:t>
            </w:r>
            <w:r w:rsidRPr="00AD5414">
              <w:rPr>
                <w:rFonts w:eastAsia="Calibri"/>
                <w:i/>
                <w:iCs/>
                <w:kern w:val="0"/>
                <w:sz w:val="24"/>
                <w:szCs w:val="24"/>
                <w14:ligatures w14:val="none"/>
              </w:rPr>
              <w:t xml:space="preserve">, Vaccinium </w:t>
            </w:r>
            <w:r w:rsidRPr="00AD5414">
              <w:rPr>
                <w:rFonts w:eastAsia="Calibri"/>
                <w:kern w:val="0"/>
                <w:sz w:val="24"/>
                <w:szCs w:val="24"/>
                <w14:ligatures w14:val="none"/>
              </w:rPr>
              <w:t>sp.</w:t>
            </w:r>
            <w:r w:rsidRPr="00AD5414">
              <w:rPr>
                <w:rFonts w:eastAsia="Calibri"/>
                <w:i/>
                <w:iCs/>
                <w:kern w:val="0"/>
                <w:sz w:val="24"/>
                <w:szCs w:val="24"/>
                <w14:ligatures w14:val="none"/>
              </w:rPr>
              <w:t xml:space="preserve">, Corylus </w:t>
            </w:r>
            <w:r w:rsidRPr="00AD5414">
              <w:rPr>
                <w:rFonts w:eastAsia="Calibri"/>
                <w:kern w:val="0"/>
                <w:sz w:val="24"/>
                <w:szCs w:val="24"/>
                <w14:ligatures w14:val="none"/>
              </w:rPr>
              <w:t>sp., etc.</w:t>
            </w:r>
          </w:p>
        </w:tc>
        <w:tc>
          <w:tcPr>
            <w:tcW w:w="648" w:type="dxa"/>
            <w:tcBorders>
              <w:top w:val="nil"/>
              <w:left w:val="nil"/>
              <w:bottom w:val="single" w:sz="4" w:space="0" w:color="auto"/>
              <w:right w:val="nil"/>
            </w:tcBorders>
            <w:noWrap/>
            <w:hideMark/>
          </w:tcPr>
          <w:p w14:paraId="1C52843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5.0</w:t>
            </w:r>
          </w:p>
        </w:tc>
        <w:tc>
          <w:tcPr>
            <w:tcW w:w="348" w:type="dxa"/>
            <w:tcBorders>
              <w:top w:val="nil"/>
              <w:left w:val="nil"/>
              <w:bottom w:val="single" w:sz="4" w:space="0" w:color="auto"/>
              <w:right w:val="nil"/>
            </w:tcBorders>
            <w:noWrap/>
            <w:hideMark/>
          </w:tcPr>
          <w:p w14:paraId="24A76CB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p w14:paraId="460201BE" w14:textId="77777777" w:rsidR="00AD5414" w:rsidRPr="00AD5414" w:rsidRDefault="00AD5414" w:rsidP="00AD5414">
            <w:pPr>
              <w:rPr>
                <w:rFonts w:eastAsia="Calibri"/>
                <w:kern w:val="0"/>
                <w:sz w:val="24"/>
                <w:szCs w:val="24"/>
                <w14:ligatures w14:val="none"/>
              </w:rPr>
            </w:pPr>
          </w:p>
          <w:p w14:paraId="5609B362" w14:textId="77777777" w:rsidR="00AD5414" w:rsidRPr="00AD5414" w:rsidRDefault="00AD5414" w:rsidP="00AD5414">
            <w:pPr>
              <w:rPr>
                <w:rFonts w:eastAsia="Calibri"/>
                <w:kern w:val="0"/>
                <w:sz w:val="24"/>
                <w:szCs w:val="24"/>
                <w14:ligatures w14:val="none"/>
              </w:rPr>
            </w:pPr>
          </w:p>
        </w:tc>
        <w:tc>
          <w:tcPr>
            <w:tcW w:w="928" w:type="dxa"/>
            <w:tcBorders>
              <w:top w:val="nil"/>
              <w:left w:val="nil"/>
              <w:bottom w:val="single" w:sz="4" w:space="0" w:color="auto"/>
              <w:right w:val="nil"/>
            </w:tcBorders>
            <w:noWrap/>
            <w:hideMark/>
          </w:tcPr>
          <w:p w14:paraId="4D339CE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0.8</w:t>
            </w:r>
          </w:p>
        </w:tc>
      </w:tr>
    </w:tbl>
    <w:p w14:paraId="7FEC0C71" w14:textId="77777777" w:rsidR="00AD5414" w:rsidRPr="00AD5414" w:rsidRDefault="00AD5414" w:rsidP="00AD5414">
      <w:pPr>
        <w:spacing w:line="480" w:lineRule="auto"/>
        <w:rPr>
          <w:rFonts w:eastAsia="Calibri"/>
          <w:kern w:val="0"/>
          <w:sz w:val="24"/>
          <w:szCs w:val="24"/>
          <w14:ligatures w14:val="none"/>
        </w:rPr>
      </w:pPr>
    </w:p>
    <w:p w14:paraId="1DA65778" w14:textId="77777777" w:rsidR="00AD5414" w:rsidRPr="00AD5414" w:rsidRDefault="00AD5414" w:rsidP="00AD5414">
      <w:pPr>
        <w:spacing w:line="480" w:lineRule="auto"/>
        <w:rPr>
          <w:rFonts w:eastAsia="Calibri"/>
          <w:kern w:val="0"/>
          <w:sz w:val="24"/>
          <w:szCs w:val="24"/>
          <w14:ligatures w14:val="none"/>
        </w:rPr>
      </w:pPr>
    </w:p>
    <w:p w14:paraId="1176595C"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Discussion</w:t>
      </w:r>
    </w:p>
    <w:p w14:paraId="044ECBD5" w14:textId="77777777"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Over two decades since EAB was first detected in North America, we characterized </w:t>
      </w:r>
      <w:proofErr w:type="gramStart"/>
      <w:r w:rsidRPr="00AD5414">
        <w:rPr>
          <w:rFonts w:eastAsia="Calibri"/>
          <w:kern w:val="0"/>
          <w:sz w:val="24"/>
          <w:szCs w:val="24"/>
          <w14:ligatures w14:val="none"/>
        </w:rPr>
        <w:t>ash</w:t>
      </w:r>
      <w:proofErr w:type="gramEnd"/>
      <w:r w:rsidRPr="00AD5414">
        <w:rPr>
          <w:rFonts w:eastAsia="Calibri"/>
          <w:kern w:val="0"/>
          <w:sz w:val="24"/>
          <w:szCs w:val="24"/>
          <w14:ligatures w14:val="none"/>
        </w:rPr>
        <w:t xml:space="preserve"> survival and regeneration in forests that have experienced the longest history of EAB impacts. We found that ash regeneration was still present in these post-outbreak forests, although EAB continues to impact populations of ash. Ash regeneration remained at the seedling or sapling stages in mesic and xeric forests, but in hydric forests, ash regeneration consisted of trees in size classes susceptible to EAB. Parasitoids introduced to control EAB populations have </w:t>
      </w:r>
      <w:proofErr w:type="gramStart"/>
      <w:r w:rsidRPr="00AD5414">
        <w:rPr>
          <w:rFonts w:eastAsia="Calibri"/>
          <w:kern w:val="0"/>
          <w:sz w:val="24"/>
          <w:szCs w:val="24"/>
          <w14:ligatures w14:val="none"/>
        </w:rPr>
        <w:t>established</w:t>
      </w:r>
      <w:proofErr w:type="gramEnd"/>
      <w:r w:rsidRPr="00AD5414">
        <w:rPr>
          <w:rFonts w:eastAsia="Calibri"/>
          <w:kern w:val="0"/>
          <w:sz w:val="24"/>
          <w:szCs w:val="24"/>
          <w14:ligatures w14:val="none"/>
        </w:rPr>
        <w:t xml:space="preserve"> in the region, and we recovered three species, albeit in low numbers. </w:t>
      </w:r>
    </w:p>
    <w:p w14:paraId="1D00A752" w14:textId="32048438"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Stages of ash regeneration varied based on forest soil hydrology. In dry xeric and riparian mesic forests, ash seedlings were a prominent component of the understory layer, but ash trees &gt;2.5 cm DBH were mostly absent. In hydric swamp forests, we found low numbers of seedlings, but higher densities of ash in the 2.5-10 cm DBH range. This suggests a difference in growth rate</w:t>
      </w:r>
      <w:r w:rsidR="004B323F">
        <w:rPr>
          <w:rFonts w:eastAsia="Calibri"/>
          <w:kern w:val="0"/>
          <w:sz w:val="24"/>
          <w:szCs w:val="24"/>
          <w14:ligatures w14:val="none"/>
        </w:rPr>
        <w:t xml:space="preserve"> </w:t>
      </w:r>
      <w:r w:rsidR="004B323F">
        <w:rPr>
          <w:rFonts w:eastAsia="Calibri"/>
          <w:kern w:val="0"/>
          <w:sz w:val="24"/>
          <w:szCs w:val="24"/>
          <w14:ligatures w14:val="none"/>
        </w:rPr>
        <w:lastRenderedPageBreak/>
        <w:t>and/or regeneration stage</w:t>
      </w:r>
      <w:r w:rsidRPr="00AD5414">
        <w:rPr>
          <w:rFonts w:eastAsia="Calibri"/>
          <w:kern w:val="0"/>
          <w:sz w:val="24"/>
          <w:szCs w:val="24"/>
          <w14:ligatures w14:val="none"/>
        </w:rPr>
        <w:t xml:space="preserve">, whereby ash regeneration tended to be more advanced in hydric forests. In our study locations, the hydric transects previously had a higher density of ash in the canopy than mesic or xeric transects, which may have </w:t>
      </w:r>
      <w:commentRangeStart w:id="14"/>
      <w:r w:rsidRPr="00AD5414">
        <w:rPr>
          <w:rFonts w:eastAsia="Calibri"/>
          <w:kern w:val="0"/>
          <w:sz w:val="24"/>
          <w:szCs w:val="24"/>
          <w14:ligatures w14:val="none"/>
        </w:rPr>
        <w:t xml:space="preserve">resulted in larger canopy gaps following widespread ash mortality </w:t>
      </w:r>
      <w:commentRangeEnd w:id="14"/>
      <w:r w:rsidR="003B3F84">
        <w:rPr>
          <w:rStyle w:val="CommentReference"/>
        </w:rPr>
        <w:commentReference w:id="14"/>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{"citationID":"ugvz3wa3","properties":{"formattedCitation":"(Klooster 2012)","plainCitation":"(Klooster 2012)","noteIndex":0},"citationItems":[{"id":768,"uris":["http://zotero.org/groups/5270502/items/R92BVHM8"],"itemData":{"id":768,"type":"thesis","genre":"PhD Thesis","publisher":"The Ohio State University","title":"Forest Responses to Emerald Ash Borer-Induced Ash Mortality","URL":"https://etd.ohiolink.edu/acprod/odb_etd/etd/r/1501/10?clear=10&amp;p10_accession_num=osu1338337754","author":[{"family":"Klooster","given":"Wendy S."}],"issued":{"date-parts":[["2012"]]}}}],"schema":"https://github.com/citation-style-language/schema/raw/master/csl-citation.json"}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2012)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Furthermore, overall canopy tree cover was lower in hydric forests than mesic or xeric forests even before significant ash loss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{"citationID":"Ek270zob","properties":{"formattedCitation":"(Smith 2006, Klooster 2012)","plainCitation":"(Smith 2006, Klooster 2012)","noteIndex":0},"citationItems":[{"id":478,"uris":["http://zotero.org/groups/5270502/items/MKCWT8XS"],"itemData":{"id":478,"type":"thesis","abstract":"Emerald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768,"uris":["http://zotero.org/groups/5270502/items/R92BVHM8"],"itemData":{"id":768,"type":"thesis","genre":"PhD Thesis","publisher":"The Ohio State University","title":"Forest Responses to Emerald Ash Borer-Induced Ash Mortality","URL":"https://etd.ohiolink.edu/acprod/odb_etd/etd/r/1501/10?clear=10&amp;p10_accession_num=osu1338337754","author":[{"family":"Klooster","given":"Wendy S."}],"issued":{"date-parts":[["2012"]]}}}],"schema":"https://github.com/citation-style-language/schema/raw/master/csl-citation.json"}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(Smith 2006, Klooster 2012)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Multi-tree gaps and </w:t>
      </w:r>
      <w:proofErr w:type="gramStart"/>
      <w:r w:rsidRPr="00AD5414">
        <w:rPr>
          <w:rFonts w:eastAsia="Calibri"/>
          <w:kern w:val="0"/>
          <w:sz w:val="24"/>
          <w:szCs w:val="24"/>
          <w14:ligatures w14:val="none"/>
        </w:rPr>
        <w:t>high light</w:t>
      </w:r>
      <w:proofErr w:type="gramEnd"/>
      <w:r w:rsidRPr="00AD5414">
        <w:rPr>
          <w:rFonts w:eastAsia="Calibri"/>
          <w:kern w:val="0"/>
          <w:sz w:val="24"/>
          <w:szCs w:val="24"/>
          <w14:ligatures w14:val="none"/>
        </w:rPr>
        <w:t xml:space="preserve"> availability likely allowed surviving ash regeneration to grow quickly as EAB populations declined following a reduction in host material in the landscape. Furthermore, black and green ash, which are highly tolerant of flooding, likely had an advantage in hydric forests over other co-occurring plant species, such as </w:t>
      </w:r>
      <w:r w:rsidRPr="00AD5414">
        <w:rPr>
          <w:rFonts w:eastAsia="Calibri"/>
          <w:i/>
          <w:iCs/>
          <w:kern w:val="0"/>
          <w:sz w:val="24"/>
          <w:szCs w:val="24"/>
          <w14:ligatures w14:val="none"/>
        </w:rPr>
        <w:t>C. caroliniana</w:t>
      </w:r>
      <w:r w:rsidRPr="00AD5414">
        <w:rPr>
          <w:rFonts w:eastAsia="Calibri"/>
          <w:kern w:val="0"/>
          <w:sz w:val="24"/>
          <w:szCs w:val="24"/>
          <w14:ligatures w14:val="none"/>
        </w:rPr>
        <w:t xml:space="preserve">, which are less flood tolerant (Table </w:t>
      </w:r>
      <w:r w:rsidR="006B4862">
        <w:rPr>
          <w:rFonts w:eastAsia="Calibri"/>
          <w:kern w:val="0"/>
          <w:sz w:val="24"/>
          <w:szCs w:val="24"/>
          <w14:ligatures w14:val="none"/>
        </w:rPr>
        <w:t>A.</w:t>
      </w:r>
      <w:r w:rsidRPr="00AD5414">
        <w:rPr>
          <w:rFonts w:eastAsia="Calibri"/>
          <w:kern w:val="0"/>
          <w:sz w:val="24"/>
          <w:szCs w:val="24"/>
          <w14:ligatures w14:val="none"/>
        </w:rPr>
        <w:t xml:space="preserve">4)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{"citationID":"wgfI9aWN","properties":{"formattedCitation":"(Niinemets and Valladares 2006)","plainCitation":"(Niinemets and Valladares 2006)","noteIndex":0},"citationItems":[{"id":1211,"uris":["http://zotero.org/groups/5270502/items/IMCDUL5A"],"itemData":{"id":1211,"type":"article-journal","abstract":"Lack of information on ecological characteristics of species across different continents hinders development of general world-scale quantitative vegetation dynamic models. We constructed common scales of shade, drought, and waterlogging tolerance for 806 North American, European/West Asian, and East Asian temperate shrubs and trees representing about 40% of the extant natural Northern Hemisphere species pool. These scales were used to test the hypotheses that shade tolerance is negatively related to drought and waterlogging tolerances, and that these correlations vary among continents and plant functional types. We observed signiﬁcant negative correlations among shade and drought tolerance rankings for all data pooled, and separately for every continent and plant functional type, except for evergreen angiosperms. Another signiﬁcant trade-off was found for drought and waterlogging tolerance for all continents, and for evergreen and deciduous angiosperms, but not for gymnosperms. For all data pooled, for Europe and East Asia, and for evergreen and deciduous angiosperms, shade tolerance was also negatively associated with waterlogging tolerance. Quantile regressions revealed that the negative relationship between shade and drought tolerance was signiﬁcant for species growing in deep to moderate shade and that the negative relationship between shade and waterlogging tolerance was signiﬁcant for species growing in moderate shade to high light, explaining why all relationships between different tolerances were negative according to general regression analyses. Phylogenetic signal in the tolerance to any one of the three environmental factors studied was signiﬁcant but low, with only 21–24% of cladogram nodes exhibiting signiﬁcant conservatism. The inverse relationships between different tolerances were signiﬁcant in phylogenetically independent analyses both for the overall pool of species and for two multispecies genera (Pinus and Quercus) for which reliable molecular phylogenies were available. Only 2.6–10.3% of the species were relatively tolerant to two environmental stresses simultaneously (tolerance value !3), and only three species were tolerant to all three stresses, supporting the existence of functional trade-offs in adjusting to multiple environmental limitations. These trade-offs represent a constraint for niche differentiation, reducing the diversity of plant responses to the many combinations of irradiance and water supply that are found in natural ecosystems.","container-title":"Ecological Monographs","DOI":"10.1890/0012-9615(2006)076[0521:TTSDAW]2.0.CO;2","ISSN":"0012-9615","issue":"4","journalAbbreviation":"Ecological Monographs","language":"en","license":"http://doi.wiley.com/10.1002/tdm_license_1.1","page":"521-547","source":"DOI.org (Crossref)","title":"Tolerance to Shade, Drought, and Waterlogging of Temperate Northern Hemisphere Trees and Shrubs","volume":"76","author":[{"family":"Niinemets","given":"Ülo"},{"family":"Valladares","given":"Fernando"}],"issued":{"date-parts":[["2006",11]]}}}],"schema":"https://github.com/citation-style-language/schema/raw/master/csl-citation.json"}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(Niinemets and Valladares 2006)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In contrast, mesic and xeric forests may have developed mostly single-tree gaps from isolated ash canopy trees, allowing neighboring non-ash canopy trees to fill the gaps before saplings could grow substantially. In fact, saplings underneath mature canopy trees may require more than one tree-fall event in order to reach the canopy, due to the rapid canopy expansion of neighboring mature trees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{"citationID":"taYvWv5U","properties":{"formattedCitation":"(Runkle and Yetter 1987)","plainCitation":"(Runkle and Yetter 1987)","noteIndex":0},"citationItems":[{"id":1348,"uris":["http://zotero.org/groups/5270502/items/J74CLAHS"],"itemData":{"id":1348,"type":"article-journal","abstract":"In 1976-1977, 284 gaps (canopy-opening sizes 1-1490 M2) were sampled (age, size, species composition) from old-growth mesic forests in Great Smoky Mountains National Park, Joyce Kilmer Wilderness Area and Walker Cove Research Natural Area. In 1983, the woody vegetation (stems - 1 cm dbh) of 273 of these gaps was resampled, rates of gap closure by canopy tree branch growth and sapling height growth were estimated, and incidences of disturbances occurring since 1976-1977 were noted. The average yearly crown extension growth rate was 18 cm/yr, with much variation among species and individuals. Some individual crowns grew into the canopy opening as much as 4 m in the 7 yr. Saplings grew an average of 30 cm/yr in height, again with much variation. Overall, taller saplings grew somewhat faster than smaller ones and saplings in large gaps grew faster than those in small gaps. These two rates of gap closure together suggest that most saplings will require two or more gap episodes to reach the forest canopy.","container-title":"Ecology","DOI":"10.2307/1939273","ISSN":"0012-9658, 1939-9170","issue":"2","journalAbbreviation":"Ecology","language":"en","license":"http://onlinelibrary.wiley.com/termsAndConditions#vor","page":"417-424","source":"DOI.org (Crossref)","title":"Treefalls Revisited: Gap Dynamics in the Southern Appalachians","title-short":"Treefalls Revisited","volume":"68","author":[{"family":"Runkle","given":"James R."},{"family":"Yetter","given":"Todd C."}],"issued":{"date-parts":[["1987",4]]}}}],"schema":"https://github.com/citation-style-language/schema/raw/master/csl-citation.json"}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(Runkle and Yetter 1987)</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Other studies of forests after EAB invasion have similarly found rapid growth of canopy trees, such as sugar maples, to fill gaps left by ash mortality </w:t>
      </w:r>
      <w:r w:rsidRPr="00AD5414">
        <w:rPr>
          <w:rFonts w:eastAsia="Calibri"/>
          <w:kern w:val="0"/>
          <w:sz w:val="24"/>
          <w:szCs w:val="24"/>
          <w14:ligatures w14:val="none"/>
        </w:rPr>
        <w:fldChar w:fldCharType="begin"/>
      </w:r>
      <w:r w:rsidR="00787B59">
        <w:rPr>
          <w:rFonts w:eastAsia="Calibri"/>
          <w:kern w:val="0"/>
          <w:sz w:val="24"/>
          <w:szCs w:val="24"/>
          <w14:ligatures w14:val="none"/>
        </w:rPr>
        <w:instrText xml:space="preserve"> ADDIN ZOTERO_ITEM CSL_CITATION {"citationID":"u5Ogt0er","properties":{"formattedCitation":"(Costilow et al. 2017, Hoven et al. 2020)","plainCitation":"(Costilow et al. 2017, Hoven et al. 2020)","noteIndex":0},"citationItems":[{"id":788,"uris":["http://zotero.org/groups/5270502/items/INCRFUP6"],"itemData":{"id":788,"type":"article-journal","abstract":"Key message Radial growth of silver and red maples was investigated across three forests in northwest Ohio following the outbreak of the invasive emerald ash borer. The growth response of maples was driven by an advancement in canopy class and disturbance severity.","container-title":"Annals of Forest Science","DOI":"10.1007/s13595-016-0602-1","ISSN":"1286-4560, 1297-966X","issue":"1","journalAbbreviation":"Annals of Forest Science","language":"en","page":"10","source":"DOI.org (Crossref)","title":"Disturbance severity and canopy position control the radial growth response of maple trees (Acer spp.) in forests of northwest Ohio impacted by emerald ash borer (Agrilus planipennis)","volume":"74","author":[{"family":"Costilow","given":"K.C."},{"family":"Knight","given":"K.S."},{"family":"Flower","given":"C.E."}],"issued":{"date-parts":[["2017",3]]}}},{"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(&lt;i&gt;Agrilus planipennis&lt;/i&gt;)-caused ash death","title-short":"Release and suppression","volume":"77","author":[{"family":"Hoven","given":"Brian M."},{"family":"Knight","given":"Kathleen S."},{"family":"Peters","given":"Valerie E."},{"family":"Gorchov","given":"David L."}],"issued":{"date-parts":[["2020",3]]}}}],"schema":"https://github.com/citation-style-language/schema/raw/master/csl-citation.json"}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(Costilow et al. 2017, Hoven et al. 2020)</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62F054AB" w14:textId="1AD345E4" w:rsidR="00711C70" w:rsidRPr="00AD5414" w:rsidRDefault="00AD5414" w:rsidP="00711C70">
      <w:pPr>
        <w:spacing w:line="480" w:lineRule="auto"/>
        <w:ind w:firstLine="720"/>
        <w:rPr>
          <w:rFonts w:eastAsia="Calibri"/>
          <w:kern w:val="0"/>
          <w:sz w:val="24"/>
          <w:szCs w:val="24"/>
          <w14:ligatures w14:val="none"/>
        </w:rPr>
      </w:pPr>
      <w:r w:rsidRPr="00AD5414">
        <w:rPr>
          <w:rFonts w:eastAsia="Calibri"/>
          <w:kern w:val="0"/>
          <w:sz w:val="24"/>
          <w:szCs w:val="24"/>
          <w14:ligatures w14:val="none"/>
        </w:rPr>
        <w:t>Although ash seedlings were abundant in these post-outbreak forests, almost none had cotyledons. I did, however, observe two individual ash seedlings</w:t>
      </w:r>
      <w:r w:rsidR="00C13308">
        <w:rPr>
          <w:rFonts w:eastAsia="Calibri"/>
          <w:kern w:val="0"/>
          <w:sz w:val="24"/>
          <w:szCs w:val="24"/>
          <w14:ligatures w14:val="none"/>
        </w:rPr>
        <w:t>,</w:t>
      </w:r>
      <w:r w:rsidRPr="00AD5414">
        <w:rPr>
          <w:rFonts w:eastAsia="Calibri"/>
          <w:kern w:val="0"/>
          <w:sz w:val="24"/>
          <w:szCs w:val="24"/>
          <w14:ligatures w14:val="none"/>
        </w:rPr>
        <w:t xml:space="preserve"> just outside a microplot</w:t>
      </w:r>
      <w:r w:rsidR="00C13308">
        <w:rPr>
          <w:rFonts w:eastAsia="Calibri"/>
          <w:kern w:val="0"/>
          <w:sz w:val="24"/>
          <w:szCs w:val="24"/>
          <w14:ligatures w14:val="none"/>
        </w:rPr>
        <w:t>,</w:t>
      </w:r>
      <w:r w:rsidRPr="00AD5414">
        <w:rPr>
          <w:rFonts w:eastAsia="Calibri"/>
          <w:kern w:val="0"/>
          <w:sz w:val="24"/>
          <w:szCs w:val="24"/>
          <w14:ligatures w14:val="none"/>
        </w:rPr>
        <w:t xml:space="preserve"> which had cotyledons (A. Tayal, personal observation). Thus, the vast majority of ash seedlings present are not newly </w:t>
      </w:r>
      <w:proofErr w:type="gramStart"/>
      <w:r w:rsidRPr="00AD5414">
        <w:rPr>
          <w:rFonts w:eastAsia="Calibri"/>
          <w:kern w:val="0"/>
          <w:sz w:val="24"/>
          <w:szCs w:val="24"/>
          <w14:ligatures w14:val="none"/>
        </w:rPr>
        <w:t>germinated, but</w:t>
      </w:r>
      <w:proofErr w:type="gramEnd"/>
      <w:r w:rsidRPr="00AD5414">
        <w:rPr>
          <w:rFonts w:eastAsia="Calibri"/>
          <w:kern w:val="0"/>
          <w:sz w:val="24"/>
          <w:szCs w:val="24"/>
          <w14:ligatures w14:val="none"/>
        </w:rPr>
        <w:t xml:space="preserve"> rather have established in previous years. The most plausible explanation is that ash seedlings are simply persisting from before 2008, when new germination from the seed bank ceased. While mortality and promotions in size class appear to have </w:t>
      </w:r>
      <w:r w:rsidR="00F05E2A">
        <w:rPr>
          <w:rFonts w:eastAsia="Calibri"/>
          <w:kern w:val="0"/>
          <w:sz w:val="24"/>
          <w:szCs w:val="24"/>
          <w14:ligatures w14:val="none"/>
        </w:rPr>
        <w:lastRenderedPageBreak/>
        <w:t>decreased ash</w:t>
      </w:r>
      <w:r w:rsidR="009B0D40">
        <w:rPr>
          <w:rFonts w:eastAsia="Calibri"/>
          <w:kern w:val="0"/>
          <w:sz w:val="24"/>
          <w:szCs w:val="24"/>
          <w14:ligatures w14:val="none"/>
        </w:rPr>
        <w:t xml:space="preserve"> seedling densities from their values in 2010 </w:t>
      </w:r>
      <w:r w:rsidR="009B0D40">
        <w:rPr>
          <w:rFonts w:eastAsia="Calibri"/>
          <w:kern w:val="0"/>
          <w:sz w:val="24"/>
          <w:szCs w:val="24"/>
          <w14:ligatures w14:val="none"/>
        </w:rPr>
        <w:fldChar w:fldCharType="begin"/>
      </w:r>
      <w:r w:rsidR="009B0D40">
        <w:rPr>
          <w:rFonts w:eastAsia="Calibri"/>
          <w:kern w:val="0"/>
          <w:sz w:val="24"/>
          <w:szCs w:val="24"/>
          <w14:ligatures w14:val="none"/>
        </w:rPr>
        <w:instrText xml:space="preserve"> ADDIN ZOTERO_ITEM CSL_CITATION {"citationID":"7zufqfNC","properties":{"formattedCitation":"(Klooster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009B0D40">
        <w:rPr>
          <w:rFonts w:eastAsia="Calibri"/>
          <w:kern w:val="0"/>
          <w:sz w:val="24"/>
          <w:szCs w:val="24"/>
          <w14:ligatures w14:val="none"/>
        </w:rPr>
        <w:fldChar w:fldCharType="separate"/>
      </w:r>
      <w:r w:rsidR="009B0D40" w:rsidRPr="009B0D40">
        <w:rPr>
          <w:sz w:val="24"/>
        </w:rPr>
        <w:t>(Klooster et al. 2013)</w:t>
      </w:r>
      <w:r w:rsidR="009B0D40">
        <w:rPr>
          <w:rFonts w:eastAsia="Calibri"/>
          <w:kern w:val="0"/>
          <w:sz w:val="24"/>
          <w:szCs w:val="24"/>
          <w14:ligatures w14:val="none"/>
        </w:rPr>
        <w:fldChar w:fldCharType="end"/>
      </w:r>
      <w:r w:rsidRPr="00AD5414">
        <w:rPr>
          <w:rFonts w:eastAsia="Calibri"/>
          <w:kern w:val="0"/>
          <w:sz w:val="24"/>
          <w:szCs w:val="24"/>
          <w14:ligatures w14:val="none"/>
        </w:rPr>
        <w:t>, a sizeable number (~16,500 seedlings ha</w:t>
      </w:r>
      <w:r w:rsidRPr="00AD5414">
        <w:rPr>
          <w:rFonts w:eastAsia="Calibri"/>
          <w:kern w:val="0"/>
          <w:sz w:val="24"/>
          <w:szCs w:val="24"/>
          <w:vertAlign w:val="superscript"/>
          <w14:ligatures w14:val="none"/>
        </w:rPr>
        <w:t>-1</w:t>
      </w:r>
      <w:r w:rsidRPr="00AD5414">
        <w:rPr>
          <w:rFonts w:eastAsia="Calibri"/>
          <w:kern w:val="0"/>
          <w:sz w:val="24"/>
          <w:szCs w:val="24"/>
          <w14:ligatures w14:val="none"/>
        </w:rPr>
        <w:t xml:space="preserve"> for those under 137 cm tall) remain in these long-term monitoring plots</w:t>
      </w:r>
      <w:r w:rsidR="00250B86">
        <w:rPr>
          <w:rFonts w:eastAsia="Calibri"/>
          <w:kern w:val="0"/>
          <w:sz w:val="24"/>
          <w:szCs w:val="24"/>
          <w14:ligatures w14:val="none"/>
        </w:rPr>
        <w:t>.</w:t>
      </w:r>
      <w:r w:rsidRPr="00AD5414">
        <w:rPr>
          <w:rFonts w:eastAsia="Calibri"/>
          <w:kern w:val="0"/>
          <w:sz w:val="24"/>
          <w:szCs w:val="24"/>
          <w14:ligatures w14:val="none"/>
        </w:rPr>
        <w:t xml:space="preserve"> While this density of surviving seedlings is on the higher side of values obtained by other studies, it generally confirms the consensus that ash seedlings </w:t>
      </w:r>
      <w:r w:rsidR="00250B86">
        <w:rPr>
          <w:rFonts w:eastAsia="Calibri"/>
          <w:kern w:val="0"/>
          <w:sz w:val="24"/>
          <w:szCs w:val="24"/>
          <w14:ligatures w14:val="none"/>
        </w:rPr>
        <w:t xml:space="preserve">can </w:t>
      </w:r>
      <w:r w:rsidRPr="00AD5414">
        <w:rPr>
          <w:rFonts w:eastAsia="Calibri"/>
          <w:kern w:val="0"/>
          <w:sz w:val="24"/>
          <w:szCs w:val="24"/>
          <w14:ligatures w14:val="none"/>
        </w:rPr>
        <w:t xml:space="preserve">persist for long time periods in forest understories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{"citationID":"m5qdJNqa","properties":{"formattedCitation":"(Engelken et al. 2020, Siegert et al. 2021, Morris et al. 2023)","plainCitation":"(Engelken et al. 2020, Siegert et al. 2021, Morris et al. 2023)","noteIndex":0},"citationItems":[{"id":739,"uris":["http://zotero.org/groups/5270502/items/3L7PIM45"],"itemData":{"id":739,"type":"article-journal","container-title":"Forest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(Engelken et al. 2020, Siegert et al. 2021, Morris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In particular, ash seedlings seem more capable of long-term persistence in mesic and xeric forests, whereas in hydric forests competition with graminoids and seasonal flooding can limit seedling abundances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{"citationID":"jd3KfStA","properties":{"formattedCitation":"(Engelken et al. 2020, Abella et al. 2024)","plainCitation":"(Engelken et al. 2020, Abella et al. 2024)","noteIndex":0},"citationItems":[{"id":739,"uris":["http://zotero.org/groups/5270502/items/3L7PIM45"],"itemData":{"id":739,"type":"article-journal","container-title":"Forest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G."}],"issued":{"date-parts":[["2020",2]]}}},{"id":1084,"uris":["http://zotero.org/groups/5270502/items/C4ZFNSP9"],"itemData":{"id":1084,"type":"article-journal","abstract":"Understanding variation in tree regeneration among species and sites, and how well forest size class distribution (seedlings, saplings, and trees) portends long-term species compositional change, may assist managing forests during contemporary global change rapidly altering forests, such as after invasion by introduced pests. In northwestern Ohio, one of the North American regions longest invaded by emerald ash borer (EAB, Agrilus planipennis), we 1) examined variation in size class abundance among tree species and sites in 22 forested wetlands in 2018 and 2021; and 2) assessed how closely size class distribution of tree species in 2005, at the onset of EAB invasion before Fraxinus trees died, forecasted observed forest change during the next 17 years. In 2018 and 2021, three major groups of tree species emerged with respect to their frequency across size classes: 1) species commonly in all three, or at least two, size classes on a site, 2) species frequent in only one size class, which varied but was often seedlings, and 3) species almost always present only as trees, with little advance regeneration. Shade tolerance correlated with species occurring in all three size classes. Among sites in 2018 and 2021, abundance of regeneration and similarity of species composition across size classes varied between years (largely from fluctuations in seedlings) and with site factors. Sites with the least regeneration had high soil available water capacity and high cover of graminoids. On long-term sites after the onset of EAB invasion in 2005, all seedling-to-sapling and sapling-to-tree advancements recorded through 2021 were from species already present in 2005, and only shade-tolerant species (e.g., Ulmus americana) advanced. Results suggest that there is substantial variation in advance regeneration availability among species and sites in forested wetlands across the EAB-invaded landscape. Portions of this variability were structured into well-demarcated groups of similarly responding species and sites, were associated with species traits such as shade tolerance and site factors such as soil texture, and were prognostic of forest changes within the first two decades after EAB invasion.","container-title":"Forest Ecology and Management","DOI":"10.1016/j.foreco.2024.121750","ISSN":"03781127","journalAbbreviation":"Forest Ecology and Management","language":"en","page":"121750","source":"DOI.org (Crossref)","title":"Species and landscape variation in tree regeneration and 17 years of change in forested wetlands invaded by emerald ash borer","volume":"557","author":[{"family":"Abella","given":"Scott R."},{"family":"Menard","given":"Karen S."},{"family":"Schetter","given":"Timothy A."},{"family":"Hausman","given":"Constance E."}],"issued":{"date-parts":[["2024",4]]}}}],"schema":"https://github.com/citation-style-language/schema/raw/master/csl-citation.json"}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(Engelken et al. 2020, Abella et al.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Importantly, our study only found isolated examples of </w:t>
      </w:r>
      <w:r w:rsidR="00BA54C2">
        <w:rPr>
          <w:rFonts w:eastAsia="Calibri"/>
          <w:kern w:val="0"/>
          <w:sz w:val="24"/>
          <w:szCs w:val="24"/>
          <w14:ligatures w14:val="none"/>
        </w:rPr>
        <w:t xml:space="preserve">seed-producing </w:t>
      </w:r>
      <w:r w:rsidRPr="00AD5414">
        <w:rPr>
          <w:rFonts w:eastAsia="Calibri"/>
          <w:kern w:val="0"/>
          <w:sz w:val="24"/>
          <w:szCs w:val="24"/>
          <w14:ligatures w14:val="none"/>
        </w:rPr>
        <w:t xml:space="preserve">ash trees (four trees total in plots), </w:t>
      </w:r>
      <w:r w:rsidR="00BA54C2">
        <w:rPr>
          <w:rFonts w:eastAsia="Calibri"/>
          <w:kern w:val="0"/>
          <w:sz w:val="24"/>
          <w:szCs w:val="24"/>
          <w14:ligatures w14:val="none"/>
        </w:rPr>
        <w:t xml:space="preserve">likely </w:t>
      </w:r>
      <w:r w:rsidRPr="00AD5414">
        <w:rPr>
          <w:rFonts w:eastAsia="Calibri"/>
          <w:kern w:val="0"/>
          <w:sz w:val="24"/>
          <w:szCs w:val="24"/>
          <w14:ligatures w14:val="none"/>
        </w:rPr>
        <w:t xml:space="preserve">indicating that the seedbank is </w:t>
      </w:r>
      <w:r w:rsidR="00BA54C2">
        <w:rPr>
          <w:rFonts w:eastAsia="Calibri"/>
          <w:kern w:val="0"/>
          <w:sz w:val="24"/>
          <w:szCs w:val="24"/>
          <w14:ligatures w14:val="none"/>
        </w:rPr>
        <w:t xml:space="preserve">not yet </w:t>
      </w:r>
      <w:r w:rsidRPr="00AD5414">
        <w:rPr>
          <w:rFonts w:eastAsia="Calibri"/>
          <w:kern w:val="0"/>
          <w:sz w:val="24"/>
          <w:szCs w:val="24"/>
          <w14:ligatures w14:val="none"/>
        </w:rPr>
        <w:t xml:space="preserve">being replenished. This stands in contrast to </w:t>
      </w:r>
      <w:r w:rsidR="00B72805">
        <w:rPr>
          <w:rFonts w:eastAsia="Calibri"/>
          <w:kern w:val="0"/>
          <w:sz w:val="24"/>
          <w:szCs w:val="24"/>
          <w14:ligatures w14:val="none"/>
        </w:rPr>
        <w:t>some</w:t>
      </w:r>
      <w:r w:rsidRPr="00AD5414">
        <w:rPr>
          <w:rFonts w:eastAsia="Calibri"/>
          <w:kern w:val="0"/>
          <w:sz w:val="24"/>
          <w:szCs w:val="24"/>
          <w14:ligatures w14:val="none"/>
        </w:rPr>
        <w:t xml:space="preserve"> studies</w:t>
      </w:r>
      <w:r w:rsidR="00327691">
        <w:rPr>
          <w:rFonts w:eastAsia="Calibri"/>
          <w:kern w:val="0"/>
          <w:sz w:val="24"/>
          <w:szCs w:val="24"/>
          <w14:ligatures w14:val="none"/>
        </w:rPr>
        <w:t xml:space="preserve"> </w:t>
      </w:r>
      <w:r w:rsidRPr="00AD5414">
        <w:rPr>
          <w:rFonts w:eastAsia="Calibri"/>
          <w:kern w:val="0"/>
          <w:sz w:val="24"/>
          <w:szCs w:val="24"/>
          <w14:ligatures w14:val="none"/>
        </w:rPr>
        <w:t xml:space="preserve">in which seed production continued even after EAB invasion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{"citationID":"If5I7i9m","properties":{"formattedCitation":"(Kashian 2016, Robinett and McCullough 2019, Morris et al. 2023)","plainCitation":"(Kashian 2016, Robinett and McCullough 2019, Morris et al. 2023)","noteIndex":0},"citationItems":[{"id":760,"uris":["http://zotero.org/groups/5270502/items/5F65LFE8"],"itemData":{"id":760,"type":"article-journal","abstract":"Abstract\n            \n              Invasive insects and pathogens have had major impacts on many forest tree species in North America that often affect forest structure and composition. Despite these effects, variation exists in the likelihood that some native species may persist following outbreaks and establishment of exotic insects and pathogens. Emerald ash borer (\n              EAB\n              ;\n              Agrilus planipennis\n              ) has killed millions of trees near its introduction point in southeastern Michigan, and several recent studies in the area have predicted functional elimination of green ash (\n              Fraxinus pennsylvanica\n              ) from the landscape. Intensive management in yet unaffected stands that results from such predictions, however, demands data that examine the potential for persistence of the host species in the presence of the invasive. This study examined the potential for persistence of green ash in the presence of\n              EAB\n              by measuring surviving trees, regeneration, and seed rain characteristics in 17 small, near‐pure stands of green ash in five consecutive growing seasons. Live trees experienced 58% mortality due to\n              EAB\n              , significantly less than that reported for ash in mixed stands. Approximately 20% of surviving trees exhibited signs of\n              EAB\n              , confirming that\n              EAB\n              mortality has slowed significantly but is ongoing. Sprouting was the dominant mode of ash regeneration in every year, and 27% of large sprouts produced seeds during a mast year in 2011. Advanced regeneration and new seedling establishment resulted in a sizable level of ash regeneration over the five years of the study even when sapling and seedling mortality was taken into account. Seed production was reduced considerably following\n              EAB\n              ‐caused mortality, but there was no evidence that seed dispersal limited seedling recruitment. These results suggest that the seed‐producing ability of small trees and basal sprouts, as well as continued low‐level mortality that will retain reduced host density, may allow green ash to persist in the presence of\n              EAB\n              . Although green ash populations and individual trees are unlikely to ever resemble the stature of those prior to\n              EAB\n              , their presence will continue to be an important component of forests on the landscape.","container-title":"Ecosphere","DOI":"10.1002/ecs2.1332","ISSN":"2150-8925, 2150-8925","issue":"4","journalAbbreviation":"Ecosphere","language":"en","page":"e01332","source":"DOI.org (Crossref)","title":"Sprouting and seed production may promote persistence of green ash in the presence of the emerald ash borer","volume":"7","author":[{"family":"Kashian","given":"Daniel M."}],"editor":[{"family":"Haynes","given":"K."}],"issued":{"date-parts":[["2016",4]]}}},{"id":744,"uris":["http://zotero.org/groups/5270502/items/JNTXFDTQ"],"itemData":{"id":744,"type":"article-journal","abstract":"Despite catastrophic ash (Fraxinus spp.) mortality observed by the mid-2000s in the epicenter of the emerald ash borer (EAB) (Agrilus planipennis Fairmaire) invasion in southeast Michigan, we noticed numerous live white ash (Fraxinus americana L.) in some forests in this region. In 2015, we inventoried overstory trees and regeneration in 28 white ash sites spanning 11 counties. White ash survival ranged from 0% to 100% of stems. Overall, 75% of 821 white ash trees, ranging from 10.0 to 44.0 cm diameter at breast height, and 66% of the white ash basal area, ranging from 0.3 to 3.5 m\n              2\n              ·ha\n              –1\n              , were alive. Nearly all live white ash had signs of previous EAB colonization, but 83% had healthy canopies (≤10% canopy dieback). Green ash trees were recorded in 27 sites, but 92% were killed by EAB. Model selection indicated that variation in white ash survival was related to white ash abundance and distance of sites from the original EAB epicenter but not to green ash related variables or to the distance of sites from the Asian parasitoid release or recovery locations. Regeneration strata were dominated by white ash, suggesting that some white ash populations may persist in post-invasion areas.","container-title":"Canadian Journal of Forest Research","DOI":"10.1139/cjfr-2018-0320","ISSN":"0045-5067, 1208-6037","issue":"5","journalAbbreviation":"Can. J. For. Res.","language":"en","page":"510-520","source":"DOI.org (Crossref)","title":"White ash ( &lt;i&gt;Fraxinus americana&lt;/i&gt; ) survival in the core of the emerald ash borer ( &lt;i&gt;Agrilus planipennis&lt;/i&gt; ) invasion","volume":"49","author":[{"family":"Robinett","given":"Molly A."},{"family":"McCullough","given":"Deborah G."}],"issued":{"date-parts":[["2019",5]]}}},{"id":1082,"uris":["http://zotero.org/groups/5270502/items/WU56TLYI"],"itemData":{"id":1082,"type":"article-journal","abstract":"In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(Kashian 2016, Robinett and McCullough 2019, Morris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r w:rsidR="00B946D5">
        <w:rPr>
          <w:rFonts w:eastAsia="Calibri"/>
          <w:kern w:val="0"/>
          <w:sz w:val="24"/>
          <w:szCs w:val="24"/>
          <w14:ligatures w14:val="none"/>
        </w:rPr>
        <w:t>It is possible that site conditions</w:t>
      </w:r>
      <w:r w:rsidR="00795314">
        <w:rPr>
          <w:rFonts w:eastAsia="Calibri"/>
          <w:kern w:val="0"/>
          <w:sz w:val="24"/>
          <w:szCs w:val="24"/>
          <w14:ligatures w14:val="none"/>
        </w:rPr>
        <w:t xml:space="preserve"> influenced the number of ash trees that survived the initial wave of EAB invasion, and thus the number of seed-producing trees </w:t>
      </w:r>
      <w:r w:rsidR="00BF339A">
        <w:rPr>
          <w:rFonts w:eastAsia="Calibri"/>
          <w:kern w:val="0"/>
          <w:sz w:val="24"/>
          <w:szCs w:val="24"/>
          <w14:ligatures w14:val="none"/>
        </w:rPr>
        <w:t>available to replenish the seedbank</w:t>
      </w:r>
      <w:r w:rsidR="00711C70">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{"citationID":"1OhUWkJn","properties":{"formattedCitation":"(Knight et al. 2013, Kashian 2016)","plainCitation":"(Knight et al. 2013, Kashian 2016)","noteIndex":0},"citationItems":[{"id":1299,"uris":["http://zotero.org/groups/5270502/items/FWHWRKSQ"],"itemData":{"id":1299,"type":"article-journal","container-title":"Biological Invasions","DOI":"10.1007/s10530-012-0292-z","ISSN":"1387-3547, 1573-1464","issue":"2","journalAbbreviation":"Biol Invasions","language":"en","license":"http://www.springer.com/tdm","page":"371-383","source":"DOI.org (Crossref)","title":"Factors affecting the survival of ash (Fraxinus spp.) trees infested by emerald ash borer (Agrilus planipennis)","volume":"15","author":[{"family":"Knight","given":"Kathleen S."},{"family":"Brown","given":"John P."},{"family":"Long","given":"Robert P."}],"issued":{"date-parts":[["2013",2]]}}},{"id":760,"uris":["http://zotero.org/groups/5270502/items/5F65LFE8"],"itemData":{"id":760,"type":"article-journal","abstract":"Abstract\n            \n              Invasive insects and pathogens have had major impacts on many forest tree species in North America that often affect forest structure and composition. Despite these effects, variation exists in the likelihood that some native species may persist following outbreaks and establishment of exotic insects and pathogens. Emerald ash borer (\n              EAB\n              ;\n              Agrilus planipennis\n              ) has killed millions of trees near its introduction point in southeastern Michigan, and several recent studies in the area have predicted functional elimination of green ash (\n              Fraxinus pennsylvanica\n              ) from the landscape. Intensive management in yet unaffected stands that results from such predictions, however, demands data that examine the potential for persistence of the host species in the presence of the invasive. This study examined the potential for persistence of green ash in the presence of\n              EAB\n              by measuring surviving trees, regeneration, and seed rain characteristics in 17 small, near‐pure stands of green ash in five consecutive growing seasons. Live trees experienced 58% mortality due to\n              EAB\n              , significantly less than that reported for ash in mixed stands. Approximately 20% of surviving trees exhibited signs of\n              EAB\n              , confirming that\n              EAB\n              mortality has slowed significantly but is ongoing. Sprouting was the dominant mode of ash regeneration in every year, and 27% of large sprouts produced seeds during a mast year in 2011. Advanced regeneration and new seedling establishment resulted in a sizable level of ash regeneration over the five years of the study even when sapling and seedling mortality was taken into account. Seed production was reduced considerably following\n              EAB\n              ‐caused mortality, but there was no evidence that seed dispersal limited seedling recruitment. These results suggest that the seed‐producing ability of small trees and basal sprouts, as well as continued low‐level mortality that will retain reduced host density, may allow green ash to persist in the presence of\n              EAB\n              . Although green ash populations and individual trees are unlikely to ever resemble the stature of those prior to\n              EAB\n              , their presence will continue to be an important component of forests on the landscape.","container-title":"Ecosphere","DOI":"10.1002/ecs2.1332","ISSN":"2150-8925, 2150-8925","issue":"4","journalAbbreviation":"Ecosphere","language":"en","page":"e01332","source":"DOI.org (Crossref)","title":"Sprouting and seed production may promote persistence of green ash in the presence of the emerald ash borer","volume":"7","author":[{"family":"Kashian","given":"Daniel M."}],"editor":[{"family":"Haynes","given":"K."}],"issued":{"date-parts":[["2016",4]]}}}],"schema":"https://github.com/citation-style-language/schema/raw/master/csl-citation.json"}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(Knight et al. 2013, Kashian 2016)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
    <w:p w14:paraId="04FD9B34" w14:textId="09E5A576"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We found that ash tree regeneration continues to be damaged and killed by EAB, but some trees are surviving well into the susceptible size range. We found that symptoms of EAB </w:t>
      </w:r>
      <w:proofErr w:type="gramStart"/>
      <w:r w:rsidRPr="00AD5414">
        <w:rPr>
          <w:rFonts w:eastAsia="Calibri"/>
          <w:kern w:val="0"/>
          <w:sz w:val="24"/>
          <w:szCs w:val="24"/>
          <w14:ligatures w14:val="none"/>
        </w:rPr>
        <w:t>including</w:t>
      </w:r>
      <w:proofErr w:type="gramEnd"/>
      <w:r w:rsidRPr="00AD5414">
        <w:rPr>
          <w:rFonts w:eastAsia="Calibri"/>
          <w:kern w:val="0"/>
          <w:sz w:val="24"/>
          <w:szCs w:val="24"/>
          <w14:ligatures w14:val="none"/>
        </w:rPr>
        <w:t xml:space="preserve"> the incidence of canopy decline, woodpecker predation marks, and epicormic sprouts all increased with increasing </w:t>
      </w:r>
      <w:proofErr w:type="gramStart"/>
      <w:r w:rsidRPr="00AD5414">
        <w:rPr>
          <w:rFonts w:eastAsia="Calibri"/>
          <w:kern w:val="0"/>
          <w:sz w:val="24"/>
          <w:szCs w:val="24"/>
          <w14:ligatures w14:val="none"/>
        </w:rPr>
        <w:t>tree</w:t>
      </w:r>
      <w:proofErr w:type="gramEnd"/>
      <w:r w:rsidRPr="00AD5414">
        <w:rPr>
          <w:rFonts w:eastAsia="Calibri"/>
          <w:kern w:val="0"/>
          <w:sz w:val="24"/>
          <w:szCs w:val="24"/>
          <w14:ligatures w14:val="none"/>
        </w:rPr>
        <w:t xml:space="preserve"> diameter. However, bark splits, basal sprouts, and tree death did not show any significant relationship with ash tree diameter. In particular, the distribution of bark splits across a range of ash diameters suggests that even some 2.5 cm DBH ash are being affected by EAB oviposition. Ash larger than 4 cm DBH may be more suitable for larval development, but female EAB still oviposit on stems as small as 2 cm DBH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{"citationID":"MhKKfIT1","properties":{"formattedCitation":"(Timms et al. 2006, Aubin et al. 2015)","plainCitation":"(Timms et al. 2006, Aubin et al. 2015)","noteIndex":0},"citationItems":[{"id":1226,"uris":["http://zotero.org/groups/5270502/items/FKPG3I3Y"],"itemData":{"id":1226,"type":"article-journal","abstract":"Abstract\n            \n              1 The emerald ash borer\n              Agrilus planipennis\n              Fairmaire (Coleoptera: Buprestidae) is a serious exotic pest of ash trees (\n              Fraxinus\n              spp.) in North America, and is responsible for the deaths of millions of trees in Ontario and Michigan. One of the greatest challenges facing the successful management of the pest is the ability to accurately detect its presence in a tree.\n            \n            \n              2 Observations were made on\n              A. planipennis\n              larval feeding galleries found within 65 young, green‐ash trees cut from plantations in Essex County, Ontario, Canada. The within‐tree distributions of feeding galleries were described in relation to height‐above‐ground, stem diameter, bark thickness and stem aspect.\n            \n            3 Galleries were not distributed randomly or evenly; minimum boundaries of stem diameter and bark thickness and a maximum boundary of height‐above‐ground were detected. Indications of maximum boundaries for stem diameter and bark thickness were also observed. Galleries were found most often on the south‐west side of the tree.\n            \n              4 Using the technique of upper boundary regression, we were able to identify significant quadratic relationships between\n              A. planipennis\n              gallery density and stem diameter and bark thickness, as well as a significant negative linear relationship between gallery density and height‐above‐ground.\n            \n            \n              5 \n              Agrilus planipennis\n              gallery density in newly‐infested trees was lower than in previously‐infested trees, and was observed to peak at smaller stem diameters and bark thicknesses than in previously‐infested trees.\n            \n            \n              6 Survey teams would increase their probability of detecting new\n              A. planipennis\n              infestations by initiating searches for exit holes and feeding galleries in trunk sections and branches of approximately 7 cm in diameter.","container-title":"Agricultural and Forest Entomology","DOI":"10.1111/j.1461-9563.2006.00311.x","ISSN":"1461-9555, 1461-9563","issue":"4","journalAbbreviation":"Agri and Forest Entomology","language":"en","page":"313-321","source":"DOI.org (Crossref)","title":"Patterns in the within‐tree distribution of the emerald ash borer &lt;i&gt;Agrilus planipennis&lt;/i&gt; (Fairmaire) in young, green‐ash plantations of south‐western Ontario, Canada","volume":"8","author":[{"family":"Timms","given":"Laura L"},{"family":"Smith","given":"Sandy M"},{"family":"De Groot","given":"Peter"}],"issued":{"date-parts":[["2006",11]]}}},{"id":766,"uris":["http://zotero.org/groups/5270502/items/9BFJ6H2E"],"itemData":{"id":766,"type":"article-journal","container-title":"The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(Timms et al. 2006, Aubin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Even though EAB symptoms were common, we still found sizeable numbers </w:t>
      </w:r>
      <w:r w:rsidRPr="00AD5414">
        <w:rPr>
          <w:rFonts w:eastAsia="Calibri"/>
          <w:kern w:val="0"/>
          <w:sz w:val="24"/>
          <w:szCs w:val="24"/>
          <w14:ligatures w14:val="none"/>
        </w:rPr>
        <w:lastRenderedPageBreak/>
        <w:t xml:space="preserve">of ash trees with healthy canopies in the 2.5-10 cm DBH range. This contrasts with patterns observed in 2009, when almost no ash &gt;2.5 cm DBH were living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{"citationID":"lDMTCSkU","properties":{"formattedCitation":"(Klooster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Although ash trees are recovering, they have not yet attained sizes larger than 12.5 cm DBH in our study plots. </w:t>
      </w:r>
    </w:p>
    <w:p w14:paraId="45BA98BF" w14:textId="19FF1552" w:rsidR="00AD5414" w:rsidRPr="00AD5414" w:rsidRDefault="00AD5414" w:rsidP="008121D7">
      <w:pPr>
        <w:spacing w:line="480" w:lineRule="auto"/>
        <w:ind w:firstLine="720"/>
        <w:rPr>
          <w:rFonts w:eastAsia="Calibri"/>
          <w:kern w:val="0"/>
          <w:sz w:val="24"/>
          <w:szCs w:val="24"/>
          <w14:ligatures w14:val="none"/>
        </w:rPr>
      </w:pPr>
      <w:r w:rsidRPr="00AD5414">
        <w:rPr>
          <w:rFonts w:eastAsia="Calibri"/>
          <w:kern w:val="0"/>
          <w:sz w:val="24"/>
          <w:szCs w:val="24"/>
          <w14:ligatures w14:val="none"/>
        </w:rPr>
        <w:t>We found t</w:t>
      </w:r>
      <w:commentRangeStart w:id="15"/>
      <w:r w:rsidRPr="00AD5414">
        <w:rPr>
          <w:rFonts w:eastAsia="Calibri"/>
          <w:kern w:val="0"/>
          <w:sz w:val="24"/>
          <w:szCs w:val="24"/>
          <w14:ligatures w14:val="none"/>
        </w:rPr>
        <w:t xml:space="preserve">hat </w:t>
      </w:r>
      <w:r w:rsidR="0084675E">
        <w:rPr>
          <w:rFonts w:eastAsia="Calibri"/>
          <w:kern w:val="0"/>
          <w:sz w:val="24"/>
          <w:szCs w:val="24"/>
          <w14:ligatures w14:val="none"/>
        </w:rPr>
        <w:t xml:space="preserve">canopy </w:t>
      </w:r>
      <w:r w:rsidRPr="00AD5414">
        <w:rPr>
          <w:rFonts w:eastAsia="Calibri"/>
          <w:kern w:val="0"/>
          <w:sz w:val="24"/>
          <w:szCs w:val="24"/>
          <w14:ligatures w14:val="none"/>
        </w:rPr>
        <w:t>tree species composition varied i</w:t>
      </w:r>
      <w:commentRangeEnd w:id="15"/>
      <w:r w:rsidRPr="00AD5414">
        <w:rPr>
          <w:rFonts w:eastAsia="Calibri"/>
          <w:sz w:val="16"/>
          <w:szCs w:val="16"/>
        </w:rPr>
        <w:commentReference w:id="15"/>
      </w:r>
      <w:r w:rsidRPr="00AD5414">
        <w:rPr>
          <w:rFonts w:eastAsia="Calibri"/>
          <w:kern w:val="0"/>
          <w:sz w:val="24"/>
          <w:szCs w:val="24"/>
          <w14:ligatures w14:val="none"/>
        </w:rPr>
        <w:t xml:space="preserve">n hydric swamp forests where EAB has been present for more than 15 years. Black ash provide ecological and cultural services in northern wet forests, including habitat for insects and birds, as well as raw materials for basket weaving by Tribal Nations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{"citationID":"KVr29XZ4","properties":{"formattedCitation":"(Gandhi et al. 2014, Wagner and Todd 2015, Youngquist et al. 2017, Bolen 2020)","plainCitation":"(Gandhi et al. 2014, Wagner and Todd 2015, Youngquist et al. 2017, Bolen 2020)","noteIndex":0},"citationItems":[{"id":978,"uris":["http://zotero.org/groups/5270502/items/R8HIWM84"],"itemData":{"id":978,"type":"article-journal","abstract":"Exotic herbivorous insects have drastically and irreversibly altered forest structure and composition of North American forests. For example, emerald ash borer (Agrilus planipennis Fairmaire) from Asia has caused wide-scale mortality of ash trees (Fraxinus spp.) in eastern United States and Canada. We studied the effects of forest changes resulting from emerald ash borer invasion on epigaeic or ground beetles (Coleoptera: Carabidae) along a gradient of ash dieback and gap sizes in southeastern Michigan. Ground beetles were sampled in hydric, mesic, and xeric habitats in which black (Fraxinus nigra Marshall), green (Fraxinus pennsylvanica Marshall), and white (Fraxinus americana L.) ash were the most common species, respectively. During 2006 Ð2007, we trapped 2,545 adult ground beetles comprising 52 species. There was a negative correlation between percent ash tree mortality in 2006 and catches of all beetles. Catches of Agonum melanarium Dejean (in 2006) and Pterostichus mutus (Say) (in 2006Ð2007) were negatively correlated with tree mortality and gap size, respectively. However, catches of Pterostichus corvinus Dejean were positively correlated with gap size in 2006. As ash mortality and average gap size increased from 2006 to 2007, catches of all beetles as well as P. mutus and Pterostichus stygicus (Say) increased (1.3Ð3.9 times), while species diversity decreased, especially in mesic and xeric stands. Cluster analysis revealed that beetle assemblages in hydric and mesic stand diverged (25 and 40%, respectively) in their composition from 2006 to 2007, and that hydric stands had the most unique beetle assemblages. Overall, epigaeic beetle assemblages were altered in ash stands impacted by emerald ash borer; however, these impacts may dissipate as canopy gaps close.","container-title":"Environmental Entomology","DOI":"10.1603/EN13227","ISSN":"0046-225X, 1938-2936","issue":"3","journalAbbreviation":"Environ Entomol","language":"en","page":"546-555","source":"DOI.org (Crossref)","title":"Indirect Effects of Emerald Ash Borer-Induced Ash Mortality and Canopy Gap Formation on Epigaeic Beetles","volume":"43","author":[{"family":"Gandhi","given":"Kamal J. K."},{"family":"Smith","given":"Annemarie"},{"family":"Hartzler","given":"Diane M."},{"family":"Herms","given":"Daniel A."}],"issued":{"date-parts":[["2014",6,1]]}}},{"id":735,"uris":["http://zotero.org/groups/5270502/items/KHV6TDSL"],"itemData":{"id":735,"type":"chapter","container-title":"Biology and Control of Emerald Ash Borer","publisher":"USDA Forest Service","title":"Chapter 2: Ecological Impacts of Emerald Ash Borer","author":[{"family":"Wagner","given":"David L."},{"family":"Todd","given":"Katherine J."}],"issued":{"date-parts":[["2015"]]}}},{"id":1012,"uris":["http://zotero.org/groups/5270502/items/7RNT8AKF"],"itemData":{"id":1012,"type":"article-journal","abstract":"The emerald ash borer (EAB; Agrilus planipennis) is an invasive beetle that causes almost complete mortality of ash trees (Fraxinus spp.) in North America and Europe. Northern temperate wetlands, where black ash (F. nigra) is a dominant and foundation species, will likely undergo dramatic shifts after EAB invasion. Utilizing published knowledge on amphibian and aquatic invertebrate responses to environmental gradients and the effects of ash loss on forest structure and function, we provide a mechanistic framework to discuss how changes in hydrology, canopy structure, and litter inputs could affect wetland communities. Changes in leaf litter could affect primary production and food web structure in the aquatic environment; overall changes in habitat structure might shift the community to species with longer aquatic stages that prefer open-canopy habitats. Amphibians and aquatic invertebrates serve as linkages between aquatic and terrestrial ecosystems. Therefore, understanding how the abundance and functional diversity of these taxa change in response to EAB is necessary to understand whole ecosystem responses. Using a mechanistic framework to formulate hypotheses and predictions is vital for our ability to manage target systems, retain biodiversity, and sustain ecosystem function.","container-title":"Wetlands","DOI":"10.1007/s13157-017-0908-2","ISSN":"0277-5212, 1943-6246","issue":"4","journalAbbreviation":"Wetlands","language":"en","page":"787-799","source":"DOI.org (Crossref)","title":"Potential Effects of Foundation Species Loss on Wetland Communities: A Case Study of Black Ash Wetlands Threatened by Emerald Ash Borer","title-short":"Potential Effects of Foundation Species Loss on Wetland Communities","volume":"37","author":[{"family":"Youngquist","given":"Melissa B."},{"family":"Eggert","given":"Sue L."},{"family":"D’Amato","given":"Anthony W."},{"family":"Palik","given":"Brian J."},{"family":"Slesak","given":"Robert A."}],"issued":{"date-parts":[["2017",8]]}}},{"id":988,"uris":["http://zotero.org/groups/5270502/items/IG6ARKSZ"],"itemData":{"id":988,"type":"article-magazine","container-title":"National Museum of the American Indian","issue":"Spring","title":"A Silent Killer: Black Ash Basket Makers are Battling a Voracious Beetle to Keep Their Heritage Alive","volume":"21","author":[{"family":"Bolen","given":"Anne"}],"issued":{"date-parts":[["2020"]]}}}],"schema":"https://github.com/citation-style-language/schema/raw/master/csl-citation.json"}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(Gandhi et al. 2014, Wagner and Todd 2015, Youngquist et al. 2017, Bolen 2020)</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Because ash is a dominant tree in swamp forests of the northern US and Canada, ash mortality caused by EAB is currently having substantial impacts in these systems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{"citationID":"AuhzFVoq","properties":{"formattedCitation":"(Golet et al. 1993, Kolka et al. 2018, Siegert et al. 2023)","plainCitation":"(Golet et al. 1993, Kolka et al. 2018, Siegert et al. 2023)","noteIndex":0},"citationItems":[{"id":1253,"uris":["http://zotero.org/groups/5270502/items/WM6SYLA5"],"itemData":{"id":1253,"type":"book","collection-title":"Biological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S."},{"family":"Service","given":"Wildlife"}],"issued":{"date-parts":[["1993"]]}}},{"id":976,"uris":["http://zotero.org/groups/5270502/items/DJ6MMWY8"],"itemData":{"id":976,"type":"article-journal","abstract":"The emerald ash borer (EAB) is rapidly spreading throughout eastern North America and devastating ecosystems where ash is a component tree. This rapid and sustained loss of ash trees has already resulted in ecological impacts on both terrestrial and aquatic ecosystems and is projected to be even more severe as EAB invades black ash-dominated wetlands of the western Great Lakes region. Using two companion studies that are simulating short- and long-term EAB infestations and what is known from the literature, we synthesize our current limited understanding and predict anticipated future impacts of EAB on black ash wetlands. A key response to the die-back of mature black ash will be higher water tables and the potential for ﬂooding and resulting changes to both the vegetation and animal communities. Although seedling planting studies have shown some possible replacement species, little is known about how the removal of black ash from the canopy will affect non-ash species growth and regeneration. Because black ash litter is relatively high in nitrogen, it is expected that there will be important changes in nutrient and carbon cycling and subsequent rates of productivity and decomposition. Changes in hydrology and nutrient and carbon cycling will have cascading effects on the biological community which have been scarcely studied. Research to address these important gaps is currently underway and should lead to alternatives to mitigate the effects of EAB on black ash wetland forests and develop management options pre- and post-EAB invasion.","container-title":"Forests","DOI":"10.3390/f9040179","ISSN":"1999-4907","issue":"4","journalAbbreviation":"Forests","language":"en","license":"https://creativecommons.org/licenses/by/4.0/","page":"179","source":"DOI.org (Crossref)","title":"Review of Ecosystem Level Impacts of Emerald Ash Borer on Black Ash Wetlands: What Does the Future Hold?","title-short":"Review of Ecosystem Level Impacts of Emerald Ash Borer on Black Ash Wetlands","volume":"9","author":[{"family":"Kolka","given":"Randall"},{"family":"D’Amato","given":"Anthony"},{"family":"Wagenbrenner","given":"Joseph"},{"family":"Slesak","given":"Robert"},{"family":"Pypker","given":"Thomas"},{"family":"Youngquist","given":"Melissa"},{"family":"Grinde","given":"Alexis"},{"family":"Palik","given":"Brian"}],"issued":{"date-parts":[["2018",4,2]]}}},{"id":1031,"uris":["http://zotero.org/groups/5270502/items/5IWFLHLF"],"itemData":{"id":1031,"type":"article-journal","abstract":"Black ash (\n              Fraxinus nigra\n              ), the most highly preferred and vulnerable host of the invasive emerald ash borer (EAB;\n              Agrilus planipennis\n              ) in North America, is of cultural and spiritual importance to many Tribal Nations in the US and First Nations in Canada. To date, EAB has invaded nearly 60% of the native range of black ash, with annual spread averaging approximately 50 km per year. On the basis of the predicted expansion of EAB distribution, we estimate that more than 75% of black ash basal area will be lost across 87% of the species’ North American range by 2035. Census data indicate that 98% of Indigenous people currently residing within the geographic range of black ash in the US will be within the area experiencing more than 75% basal area loss by 2035, suggesting broad and multidimensional impacts of EAB invasion for those who value black ash as a cultural keystone species. Collaborative efforts among scientists, resource managers, and Indigenous experts are needed to mitigate EAB impacts and preserve or protect black ash resources, given the species’ vulnerability to EAB and its associated cultural and ecological value.","container-title":"Frontiers in Ecology and the Environment","DOI":"10.1002/fee.2654","ISSN":"1540-9295, 1540-9309","issue":"7","journalAbbreviation":"Frontiers in Ecol &amp; Environ","language":"en","page":"310-316","source":"DOI.org (Crossref)","title":"Biological invasion threatens keystone species indelibly entwined with Indigenous cultures","volume":"21","author":[{"family":"Siegert","given":"Nathan W"},{"family":"McCullough","given":"Deborah G"},{"family":"Luther","given":"Thomas"},{"family":"Benedict","given":"Les"},{"family":"Crocker","given":"Susan"},{"family":"Church","given":"Kelly"},{"family":"Banks","given":"John"}],"issued":{"date-parts":[["2023",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(Golet et al. 1993, Kolka et al. 2018, Siegert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We investigated tree composition in hydric forests to determine which species thrived after canopy ash mortality, and found that silver maple was abundant, especially in the canopy. This species thrives in alluvial soils and is highly tolerant of seasonal flooding (Table </w:t>
      </w:r>
      <w:r w:rsidR="006B4862">
        <w:rPr>
          <w:rFonts w:eastAsia="Calibri"/>
          <w:kern w:val="0"/>
          <w:sz w:val="24"/>
          <w:szCs w:val="24"/>
          <w14:ligatures w14:val="none"/>
        </w:rPr>
        <w:t>A.</w:t>
      </w:r>
      <w:r w:rsidRPr="00AD5414">
        <w:rPr>
          <w:rFonts w:eastAsia="Calibri"/>
          <w:kern w:val="0"/>
          <w:sz w:val="24"/>
          <w:szCs w:val="24"/>
          <w14:ligatures w14:val="none"/>
        </w:rPr>
        <w:t xml:space="preserve">4)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{"citationID":"kXMmJDS7","properties":{"formattedCitation":"(Burns and Honkala 1990, Niinemets and Valladares 2006, Bolton et al. 2018)","plainCitation":"(Burns and Honkala 1990, Niinemets and Valladares 2006, Bolton et al. 2018)","noteIndex":0},"citationItems":[{"id":638,"uris":["http://zotero.org/groups/5270502/items/6HMUZ2KC"],"itemData":{"id":638,"type":"book","title":"Silvics of North America: Volume 2, Hardwoods","volume":"2","author":[{"family":"Burns","given":"Russell"},{"family":"Honkala","given":"Barbara"}],"issued":{"date-parts":[["1990"]]}}},{"id":1211,"uris":["http://zotero.org/groups/5270502/items/IMCDUL5A"],"itemData":{"id":1211,"type":"article-journal","abstract":"Lack of information on ecological characteristics of species across different continents hinders development of general world-scale quantitative vegetation dynamic models. We constructed common scales of shade, drought, and waterlogging tolerance for 806 North American, European/West Asian, and East Asian temperate shrubs and trees representing about 40% of the extant natural Northern Hemisphere species pool. These scales were used to test the hypotheses that shade tolerance is negatively related to drought and waterlogging tolerances, and that these correlations vary among continents and plant functional types. We observed signiﬁcant negative correlations among shade and drought tolerance rankings for all data pooled, and separately for every continent and plant functional type, except for evergreen angiosperms. Another signiﬁcant trade-off was found for drought and waterlogging tolerance for all continents, and for evergreen and deciduous angiosperms, but not for gymnosperms. For all data pooled, for Europe and East Asia, and for evergreen and deciduous angiosperms, shade tolerance was also negatively associated with waterlogging tolerance. Quantile regressions revealed that the negative relationship between shade and drought tolerance was signiﬁcant for species growing in deep to moderate shade and that the negative relationship between shade and waterlogging tolerance was signiﬁcant for species growing in moderate shade to high light, explaining why all relationships between different tolerances were negative according to general regression analyses. Phylogenetic signal in the tolerance to any one of the three environmental factors studied was signiﬁcant but low, with only 21–24% of cladogram nodes exhibiting signiﬁcant conservatism. The inverse relationships between different tolerances were signiﬁcant in phylogenetically independent analyses both for the overall pool of species and for two multispecies genera (Pinus and Quercus) for which reliable molecular phylogenies were available. Only 2.6–10.3% of the species were relatively tolerant to two environmental stresses simultaneously (tolerance value !3), and only three species were tolerant to all three stresses, supporting the existence of functional trade-offs in adjusting to multiple environmental limitations. These trade-offs represent a constraint for niche differentiation, reducing the diversity of plant responses to the many combinations of irradiance and water supply that are found in natural ecosystems.","container-title":"Ecological Monographs","DOI":"10.1890/0012-9615(2006)076[0521:TTSDAW]2.0.CO;2","ISSN":"0012-9615","issue":"4","journalAbbreviation":"Ecological Monographs","language":"en","license":"http://doi.wiley.com/10.1002/tdm_license_1.1","page":"521-547","source":"DOI.org (Crossref)","title":"Tolerance to Shade, Drought, and Waterlogging of Temperate Northern Hemisphere Trees and Shrubs","volume":"76","author":[{"family":"Niinemets","given":"Ülo"},{"family":"Valladares","given":"Fernando"}],"issued":{"date-parts":[["2006",11]]}}},{"id":997,"uris":["http://zotero.org/groups/5270502/items/BPCI6QME"],"itemData":{"id":997,"type":"article-journal","abstract":"Emerald ash borer (EAB) continues to spread across North America, infesting native ash trees and changing the forested landscape. Black ash wetland forests are severely affected by EAB. As black ash wetland forests provide integral ecosystem services, alternative approaches to maintain forest cover on the landscape are needed. We implemented simulated EAB infestations in depressional black ash wetlands in the Ottawa National Forest in Michigan to mimic the short-term and long-term effects of EAB. These wetlands were planted with 10 alternative tree species in 2013. Based on initial results in the Michigan sites, a riparian corridor in the Superior Municipal Forest in Wisconsin was planted with three alternative tree species in 2015. Results across both locations indicate that silver maple (Acer saccharinum L.), red maple (Acer rubrum L.), American elm (Ulmus americana L.), and northern white cedar (Thuja occidentalis L.) are viable alternative species to plant in black ash-dominated wetlands. Additionally, selectively planting on natural or created hummocks resulted in two times greater survival than in adjacent lowland sites, and this suggests that planting should be implemented with microsite selection or creation as a primary control. Regional landowners and forest managers can use these results to help mitigate the canopy and structure losses from EAB and maintain forest cover and hydrologic function in black ash-dominated wetlands after infestation.","container-title":"Forests","DOI":"10.3390/f9030146","ISSN":"1999-4907","issue":"3","journalAbbreviation":"Forests","language":"en","license":"https://creativecommons.org/licenses/by/4.0/","page":"146","source":"DOI.org (Crossref)","title":"Methods to Improve Survival and Growth of Planted Alternative Species Seedlings in Black Ash Ecosystems Threatened by Emerald Ash Borer","volume":"9","author":[{"family":"Bolton","given":"Nicholas"},{"family":"Shannon","given":"Joseph"},{"family":"Davis","given":"Joshua"},{"family":"Grinsven","given":"Matthew"},{"family":"Noh","given":"Nam"},{"family":"Schooler","given":"Shon"},{"family":"Kolka","given":"Randall"},{"family":"Pypker","given":"Thomas"},{"family":"Wagenbrenner","given":"Joseph"}],"issued":{"date-parts":[["2018",3,16]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(Burns and Honkala 1990, Niinemets and Valladares 2006, Bolton et al. 2018)</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However, not all plant communities were dominated by silver maple but instead contained tamarack and sometimes yellow birch. Tamarack and yellow birch are typical of cooler, northern forests, whereas silver maple is commonly found further south of our study sites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{"citationID":"TwhtuHNp","properties":{"formattedCitation":"(Barnes 1976, Braun 1989, Burns and Honkala 1990, Kost and O\\uc0\\u8217{}Connor 2003, Kartesz 2015)","plainCitation":"(Barnes 1976, Braun 1989, Burns and Honkala 1990, Kost and O’Connor 2003, Kartesz 2015)","noteIndex":0},"citationItems":[{"id":932,"uris":["http://zotero.org/groups/5270502/items/K5ZX4GMT"],"itemData":{"id":932,"type":"article-journal","abstract":"Fifty-six permanent sample plots were established in deciduous swamp communities of south-eastern Michigan where Ulmus americana was dominant before introduction of the Dutch elm disease. Plots were also established in old fields where elm seedlings were present. The purpose of the study was to determine the composition of the overstory, understory, and seedling layers in deciduous swamp forests and to provide a base line for determining the fate of young seedling and sapling elms, and the rate and nature of succession in the deciduous swamp communities. The major overstory species in the three swamps studied were Fraxinus nigra, Acer rubrum, and Betula alleghaniensis. These species were also dominant in the understory along with smaller numbers of Carpinus caroliniana, Ulmus americana, Tilia americana, and Fraxinus pennsylvanica. In the next generation the communities will be much as they are today. The overstory dominants are also strongly represented in the seedling layer. Ulmus americana was more abundant in this layer than in the understory. Therefore, Ulmus has not been eliminated from the deciduous swamps but makes up about 10 to 15% of the understory and seedling layers. Old fields and other open upland areas are much more important habitats for regeneration of Ulmus than swamp communities. Indications are that unlike Castanea dentata, Ulmus americana will be perpetuated for generations by seeds from young elm trees; however, the average life span of the species will be drastically reduced.","container-title":"Canadian Journal of Botany","DOI":"10.1139/b76-004","ISSN":"0008-4026","issue":"1-2","journalAbbreviation":"Can. J. Bot.","language":"en","license":"http://www.nrcresearchpress.com/page/about/CorporateTextAndDataMining","page":"19-24","source":"DOI.org (Crossref)","title":"Succession in deciduous swamp communities of southeastern Michigan formerly dominated by American elm","volume":"54","author":[{"family":"Barnes","given":"Burton V."}],"issued":{"date-parts":[["1976",1,1]]}}},{"id":791,"uris":["http://zotero.org/groups/5270502/items/QMXQYGU7"],"itemData":{"id":791,"type":"book","event-place":"Columbus, Ohio","ISBN":"978-0-8142-0497-9","language":"eng","note":"OCLC: 20939199","publisher":"Ohio State University Press","publisher-place":"Columbus, Ohio","source":"Open WorldCat","title":"The woody plants of Ohio: trees, shrubs and woody climbers, native, naturalized, and escaped","title-short":"The woody plants of Ohio","author":[{"family":"Braun","given":"E. Lucy"}],"issued":{"date-parts":[["1989"]]}}},{"id":638,"uris":["http://zotero.org/groups/5270502/items/6HMUZ2KC"],"itemData":{"id":638,"type":"book","title":"Silvics of North America: Volume 2, Hardwoods","volume":"2","author":[{"family":"Burns","given":"Russell"},{"family":"Honkala","given":"Barbara"}],"issued":{"date-parts":[["1990"]]}}},{"id":968,"uris":["http://zotero.org/groups/5270502/items/BRWV5HEW"],"itemData":{"id":968,"type":"report","genre":"Michigan Natural Features Inventory","language":"en","publisher":"Huron-Clinton Metropolitan Authority","source":"Zotero","title":"Natural Features Inventory and Management Recommendations for Kensington and Oakwoods Metroparks","author":[{"family":"Kost","given":"Michael A."},{"family":"O'Connor","given":"Ryan P."}],"issued":{"date-parts":[["2003"]]}}},{"id":980,"uris":["http://zotero.org/groups/5270502/items/438ZDIG7"],"itemData":{"id":980,"type":"book","event-place":"Chapel Hill, N.C.","note":"[maps generated from Kartesz, J.T. 2015. Floristic Synthesis of North America, Version 1.0. Biota of North America Program (BONAP). (in press)]","publisher":"North American Plant Atlas. (http://bonap.net/napa)","publisher-place":"Chapel Hill, N.C.","title":"The Biota of North America Program (BONAP)","author":[{"family":"Kartesz","given":"J.T."}],"issued":{"date-parts":[["2015"]]}}}],"schema":"https://github.com/citation-style-language/schema/raw/master/csl-citation.json"}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(Barnes 1976, Braun 1989, Burns and Honkala 1990, Kost and O’Connor 2003, Kartesz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Regeneration of green ash primarily occurred alongside silver maple, whereas black ash regeneration was commonly associated with tamarack or yellow birch, although the two ash species were sometimes found in the same stands. These observed associations between tree species can inform restoration plantings in forests impacted by EAB, especially if land managers seek replacement tree seedlings to maintain or improve forest cover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{"citationID":"QAo1VMal","properties":{"formattedCitation":"(Bolton et al. 2018, Palik et al. 2021)","plainCitation":"(Bolton et al. 2018, Palik et al. 2021)","noteIndex":0},"citationItems":[{"id":997,"uris":["http://zotero.org/groups/5270502/items/BPCI6QME"],"itemData":{"id":997,"type":"article-journal","abstract":"Emerald ash borer (EAB) continues to spread across North America, infesting native ash trees and changing the forested landscape. Black ash wetland forests are severely affected by EAB. As black ash wetland forests provide integral ecosystem services, alternative approaches to maintain forest cover on the landscape are needed. We implemented simulated EAB infestations in depressional black ash wetlands in the Ottawa National Forest in Michigan to mimic the short-term and long-term effects of EAB. These wetlands were planted with 10 alternative tree species in 2013. Based on initial results in the Michigan sites, a riparian corridor in the Superior Municipal Forest in Wisconsin was planted with three alternative tree species in 2015. Results across both locations indicate that silver maple (Acer saccharinum L.), red maple (Acer rubrum L.), American elm (Ulmus americana L.), and northern white cedar (Thuja occidentalis L.) are viable alternative species to plant in black ash-dominated wetlands. Additionally, selectively planting on natural or created hummocks resulted in two times greater survival than in adjacent lowland sites, and this suggests that planting should be implemented with microsite selection or creation as a primary control. Regional landowners and forest managers can use these results to help mitigate the canopy and structure losses from EAB and maintain forest cover and hydrologic function in black ash-dominated wetlands after infestation.","container-title":"Forests","DOI":"10.3390/f9030146","ISSN":"1999-4907","issue":"3","journalAbbreviation":"Forests","language":"en","license":"https://creativecommons.org/licenses/by/4.0/","page":"146","source":"DOI.org (Crossref)","title":"Methods to Improve Survival and Growth of Planted Alternative Species Seedlings in Black Ash Ecosystems Threatened by Emerald Ash Borer","volume":"9","author":[{"family":"Bolton","given":"Nicholas"},{"family":"Shannon","given":"Joseph"},{"family":"Davis","given":"Joshua"},{"family":"Grinsven","given":"Matthew"},{"family":"Noh","given":"Nam"},{"family":"Schooler","given":"Shon"},{"family":"Kolka","given":"Randall"},{"family":"Pypker","given":"Thomas"},{"family":"Wagenbrenner","given":"Joseph"}],"issued":{"date-parts":[["2018",3,16]]}}},{"id":1350,"uris":["http://zotero.org/groups/5270502/items/7NZHDYFU"],"itemData":{"id":1350,"type":"article-journal","abstract":"Black ash (Fraxinus nigra) is native to lowland forests of the western Great Lakes region, USA, where it often comprises a majority of trees. Like all native ash in North America, black ash is threatened by emerald ash borer (EAB; Agrilus planipennis), but the impacts from EAB mortality may be particularly severe in these forests given the foundational role of black ash at regulating ecosystem function. Compounding the problem is that associated tree species occur in low abundance and their abundance may be further reduced as habitat declines with climate change. These converging threats point to the need for silvicultural intervention to establish replacement tree species in anticipation of EAB invasion. Here we report on a large-scale management experiment from Minnesota, USA that includes different silvicultural approaches for establishing replacement tree species in black ash forests. Specifically, we examined eighth-year survival and growth of planted seedling in treatments that included clearcutting, group selection, uncut forest, and emulation of EAB mortality by girdling black ash. Species included nine that are native to the ecosystem, two from the next southern climate zone, and one exotic species, Manchurian ash (Fraxinus mandshurica). Among species and treatment combinations, survival was highest for American elm (Ulmus americana), averaging around 81% in uncut, group selection, and girdle treatments. Swamp white oak (Quercus bicolor), a species from the next southern climate zone, also had high survival in these treatments (ranging from 61% to 79%). Both species had survival under 60% in the clearcut treatment. Most native southern boreal species, as well as Manchurian ash, had low survival (0% to less than 40%) in most treatments. In the clearcut, girdle, and group selection treatments relative diameter and relative height growth was highest for balsam poplar (Populus balsamifera), averaging, respectively, around 0.25 mm mm 1 yr 1 and 0.20 cm cm 1 yr 1, followed by swamp white oak and red maple (Acer rubrum). Non-native Manchurian ash had consistently low growth in all treatments compared to other species. All species had low growth rates in the uncut treatment. An integration of survival and diameter growth pointed to group selection as the treatment that provides the best balance between survival and growth. Our results indicate promising survival and growth of at least some replacement species, including several predicted to be future climate-adapted, as well as a silvicultural approach in group selection that is an effective method to regenerate these species.","container-title":"Forest Ecology and Management","DOI":"10.1016/j.foreco.2021.118958","ISSN":"03781127","journalAbbreviation":"Forest Ecology and Management","language":"en","page":"118958","source":"DOI.org (Crossref)","title":"Eighth-year survival and growth of planted replacement tree species in black ash (Fraxinus nigra) wetlands threatened by emerald ash borer in Minnesota, USA","volume":"484","author":[{"family":"Palik","given":"Brian J."},{"family":"D'Amato","given":"Anthony W."},{"family":"Slesak","given":"Robert A."},{"family":"Kastendick","given":"Doug"},{"family":"Looney","given":"Chris"},{"family":"Kragthorpe","given":"Josh"}],"issued":{"date-parts":[["2021",3]]}}}],"schema":"https://github.com/citation-style-language/schema/raw/master/csl-citation.json"}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 xml:space="preserve">(Bolton et al. </w:t>
      </w:r>
      <w:r w:rsidRPr="00AD5414">
        <w:rPr>
          <w:rFonts w:eastAsia="Calibri"/>
          <w:kern w:val="0"/>
          <w:sz w:val="24"/>
          <w:szCs w:val="24"/>
          <w14:ligatures w14:val="none"/>
        </w:rPr>
        <w:lastRenderedPageBreak/>
        <w:t>2018, Palik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Consistent with our results, black ash regeneration in the 2.5-10 cm DBH range has been variable, but trees larger than 14 cm DBH were rare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{"citationID":"ggQkygpX","properties":{"formattedCitation":"(Engelken et al. 2020, Siegert et al. 2021)","plainCitation":"(Engelken et al. 2020, Siegert et al. 2021)","noteIndex":0},"citationItems":[{"id":739,"uris":["http://zotero.org/groups/5270502/items/3L7PIM45"],"itemData":{"id":739,"type":"article-journal","container-title":"Forest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(Engelken et al. 2020, Siegert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Our results indicate that once 15 years have passed since peak EAB densities, black ash regeneration remains alive in many swamp forests. Although black ash only produces </w:t>
      </w:r>
      <w:r w:rsidR="005C786D">
        <w:rPr>
          <w:rFonts w:eastAsia="Calibri"/>
          <w:kern w:val="0"/>
          <w:sz w:val="24"/>
          <w:szCs w:val="24"/>
          <w14:ligatures w14:val="none"/>
        </w:rPr>
        <w:t>abundant</w:t>
      </w:r>
      <w:r w:rsidRPr="00AD5414">
        <w:rPr>
          <w:rFonts w:eastAsia="Calibri"/>
          <w:kern w:val="0"/>
          <w:sz w:val="24"/>
          <w:szCs w:val="24"/>
          <w14:ligatures w14:val="none"/>
        </w:rPr>
        <w:t xml:space="preserve"> seeds every 5-7 years, and seeds can take 2 years to germinate, our observation of </w:t>
      </w:r>
      <w:r w:rsidR="005C786D">
        <w:rPr>
          <w:rFonts w:eastAsia="Calibri"/>
          <w:kern w:val="0"/>
          <w:sz w:val="24"/>
          <w:szCs w:val="24"/>
          <w14:ligatures w14:val="none"/>
        </w:rPr>
        <w:t xml:space="preserve">a few </w:t>
      </w:r>
      <w:r w:rsidRPr="00AD5414">
        <w:rPr>
          <w:rFonts w:eastAsia="Calibri"/>
          <w:kern w:val="0"/>
          <w:sz w:val="24"/>
          <w:szCs w:val="24"/>
          <w14:ligatures w14:val="none"/>
        </w:rPr>
        <w:t>seed</w:t>
      </w:r>
      <w:r w:rsidR="005C786D">
        <w:rPr>
          <w:rFonts w:eastAsia="Calibri"/>
          <w:kern w:val="0"/>
          <w:sz w:val="24"/>
          <w:szCs w:val="24"/>
          <w14:ligatures w14:val="none"/>
        </w:rPr>
        <w:t>-</w:t>
      </w:r>
      <w:r w:rsidRPr="00AD5414">
        <w:rPr>
          <w:rFonts w:eastAsia="Calibri"/>
          <w:kern w:val="0"/>
          <w:sz w:val="24"/>
          <w:szCs w:val="24"/>
          <w14:ligatures w14:val="none"/>
        </w:rPr>
        <w:t>produc</w:t>
      </w:r>
      <w:r w:rsidR="005C786D">
        <w:rPr>
          <w:rFonts w:eastAsia="Calibri"/>
          <w:kern w:val="0"/>
          <w:sz w:val="24"/>
          <w:szCs w:val="24"/>
          <w14:ligatures w14:val="none"/>
        </w:rPr>
        <w:t>ing</w:t>
      </w:r>
      <w:r w:rsidRPr="00AD5414">
        <w:rPr>
          <w:rFonts w:eastAsia="Calibri"/>
          <w:kern w:val="0"/>
          <w:sz w:val="24"/>
          <w:szCs w:val="24"/>
          <w14:ligatures w14:val="none"/>
        </w:rPr>
        <w:t xml:space="preserve"> black ash</w:t>
      </w:r>
      <w:r w:rsidR="005C786D">
        <w:rPr>
          <w:rFonts w:eastAsia="Calibri"/>
          <w:kern w:val="0"/>
          <w:sz w:val="24"/>
          <w:szCs w:val="24"/>
          <w14:ligatures w14:val="none"/>
        </w:rPr>
        <w:t xml:space="preserve"> trees</w:t>
      </w:r>
      <w:r w:rsidRPr="00AD5414">
        <w:rPr>
          <w:rFonts w:eastAsia="Calibri"/>
          <w:kern w:val="0"/>
          <w:sz w:val="24"/>
          <w:szCs w:val="24"/>
          <w14:ligatures w14:val="none"/>
        </w:rPr>
        <w:t xml:space="preserve"> indicates the possibility for black ash to </w:t>
      </w:r>
      <w:r w:rsidR="0049504C">
        <w:rPr>
          <w:rFonts w:eastAsia="Calibri"/>
          <w:kern w:val="0"/>
          <w:sz w:val="24"/>
          <w:szCs w:val="24"/>
          <w14:ligatures w14:val="none"/>
        </w:rPr>
        <w:t>continue to recover</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{"citationID":"CKyGMjnx","properties":{"formattedCitation":"(Benedict and David 2003)","plainCitation":"(Benedict and David 2003)","noteIndex":0},"citationItems":[{"id":1301,"uris":["http://zotero.org/groups/5270502/items/SNDM6PJM"],"itemData":{"id":1301,"type":"article-journal","container-title":"Native Plants","title":"Propogation protocol for black ash","author":[{"family":"Benedict","given":"Les"},{"family":"David","given":"Richard"}],"issued":{"date-parts":[["2003"]]}}}],"schema":"https://github.com/citation-style-language/schema/raw/master/csl-citation.json"}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(Benedict and David 2003)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Future research should focus on forest attributes that may affect black ash regeneration success, including water pH, nutrient levels, and seasonal flooding pattern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{"citationID":"CoJSeCPD","properties":{"formattedCitation":"(Golet et al. 1993)","plainCitation":"(Golet et al. 1993)","noteIndex":0},"citationItems":[{"id":1253,"uris":["http://zotero.org/groups/5270502/items/WM6SYLA5"],"itemData":{"id":1253,"type":"book","collection-title":"Biological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(Golet et al. 1993)</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0A09B8EE" w14:textId="68B8493B" w:rsidR="00AD5414" w:rsidRPr="00AD5414" w:rsidRDefault="00AD5414" w:rsidP="008121D7">
      <w:pPr>
        <w:spacing w:line="480" w:lineRule="auto"/>
        <w:ind w:firstLine="720"/>
        <w:rPr>
          <w:rFonts w:eastAsia="Calibri"/>
          <w:kern w:val="0"/>
          <w:sz w:val="24"/>
          <w:szCs w:val="24"/>
          <w14:ligatures w14:val="none"/>
        </w:rPr>
      </w:pPr>
      <w:r w:rsidRPr="00AD5414">
        <w:rPr>
          <w:rFonts w:eastAsia="Calibri"/>
          <w:kern w:val="0"/>
          <w:sz w:val="24"/>
          <w:szCs w:val="24"/>
          <w14:ligatures w14:val="none"/>
        </w:rPr>
        <w:t>Three species of parasitoids introduced to control EAB populations were recovered in these post-outbreak forests, specifically at Pontiac Lake Rec</w:t>
      </w:r>
      <w:r w:rsidR="00D655AB">
        <w:rPr>
          <w:rFonts w:eastAsia="Calibri"/>
          <w:kern w:val="0"/>
          <w:sz w:val="24"/>
          <w:szCs w:val="24"/>
          <w14:ligatures w14:val="none"/>
        </w:rPr>
        <w:t>reation</w:t>
      </w:r>
      <w:r w:rsidRPr="00AD5414">
        <w:rPr>
          <w:rFonts w:eastAsia="Calibri"/>
          <w:kern w:val="0"/>
          <w:sz w:val="24"/>
          <w:szCs w:val="24"/>
          <w14:ligatures w14:val="none"/>
        </w:rPr>
        <w:t xml:space="preserve"> Area</w:t>
      </w:r>
      <w:commentRangeStart w:id="16"/>
      <w:r w:rsidRPr="00AD5414">
        <w:rPr>
          <w:rFonts w:eastAsia="Calibri"/>
          <w:kern w:val="0"/>
          <w:sz w:val="24"/>
          <w:szCs w:val="24"/>
          <w14:ligatures w14:val="none"/>
        </w:rPr>
        <w:t>.</w:t>
      </w:r>
      <w:commentRangeEnd w:id="16"/>
      <w:r w:rsidR="00D655AB">
        <w:rPr>
          <w:rStyle w:val="CommentReference"/>
        </w:rPr>
        <w:commentReference w:id="16"/>
      </w:r>
      <w:r w:rsidRPr="00AD5414">
        <w:rPr>
          <w:rFonts w:eastAsia="Calibri"/>
          <w:kern w:val="0"/>
          <w:sz w:val="24"/>
          <w:szCs w:val="24"/>
          <w14:ligatures w14:val="none"/>
        </w:rPr>
        <w:t xml:space="preserve"> Although these parasitoids cannot prevent canopy ash mortality in forests naïve to EAB, they may help protect regenerating ash trees in post-outbreak forests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{"citationID":"f6GisEho","properties":{"formattedCitation":"(Duan et al. 2017, Kashian et al. 2018, Jones et al. 2019)","plainCitation":"(Duan et al. 2017, Kashian et al. 2018, Jones et al. 2019)","noteIndex":0},"citationItems":[{"id":762,"uris":["http://zotero.org/groups/5270502/items/88M5QDC9"],"itemData":{"id":762,"type":"article-journal","container-title":"Forest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G."}],"issued":{"date-parts":[["2017",6]]}}},{"id":1352,"uris":["http://zotero.org/groups/5270502/items/PFWKA3FU"],"itemData":{"id":1352,"type":"article-journal","abstract":"Emerald ash borer (EAB) is an invasive beetle that kills native North American ash species, threatening their persistence. A classical biological control program for EAB was initiated in 2007 with the release of three specialized EAB parasitoids. Monitoring changes in the health and regeneration of ash where EAB biocontrol agents have been released is critical for assessing the success of EAB biocontrol and predicting future changes to the ash component of North American forests. We sampled release and control plots across southern Michigan over a three-year period to measure ash health and recruitment to begin assessing the long-term impact of EAB biological control on ash populations. We noted a reduced mortality of larger trees between 2012 and 2015 in release plots compared to control plots and increases in ash diameter, but our results were otherwise inconsistent. Ash regeneration was generally higher in release plots compared to control plots but highly variable among sites, suggesting some protection of ash saplings from EAB by parasitoids. We conclude that EAB biocontrol is likely to have a positive effect on ash populations, but that the study duration was not long enough to deﬁnitively deduce the long-term success of the biocontrol program in this region.","container-title":"Forests","DOI":"10.3390/f9060296","ISSN":"1999-4907","issue":"6","journalAbbreviation":"Forests","language":"en","page":"296","source":"DOI.org (Crossref)","title":"Potential Impacts of Emerald Ash Borer Biocontrol on Ash Health and Recovery in Southern Michigan","volume":"9","author":[{"family":"Kashian","given":"Daniel M."},{"family":"Bauer","given":"Leah S."},{"family":"Spei","given":"Benjamin A."},{"family":"Duan","given":"Jian J."},{"family":"Gould","given":"Juli R."}],"issued":{"date-parts":[["2018",5,25]]}}},{"id":689,"uris":["http://zotero.org/groups/5270502/items/HQ8PSAE9"],"itemData":{"id":689,"type":"article-journal","container-title":"Biological Control","DOI":"10.1016/j.biocontrol.2018.09.004","ISSN":"10499644","journalAbbreviation":"Biological Control","language":"en","page":"94-101","source":"DOI.org (Crossref)","title":"Dispersal of emerald ash borer (Coleoptera: Buprestidae) parasitoids along an ash corridor in western New York","title-short":"Dispersal of emerald ash borer (Coleoptera","volume":"128","author":[{"family":"Jones","given":"Michael I."},{"family":"Gould","given":"Juli R."},{"family":"Warden","given":"Melissa L."},{"family":"Fierke","given":"Melissa K."}],"issued":{"date-parts":[["2019",1]]}}}],"schema":"https://github.com/citation-style-language/schema/raw/master/csl-citation.json"}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2017, Kashian et al. 2018, Jones et al.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We detected </w:t>
      </w:r>
      <w:r w:rsidRPr="00AD5414">
        <w:rPr>
          <w:rFonts w:eastAsia="Calibri"/>
          <w:i/>
          <w:iCs/>
          <w:kern w:val="0"/>
          <w:sz w:val="24"/>
          <w:szCs w:val="24"/>
          <w14:ligatures w14:val="none"/>
        </w:rPr>
        <w:t>T. planipennisi</w:t>
      </w:r>
      <w:r w:rsidRPr="00AD5414">
        <w:rPr>
          <w:rFonts w:eastAsia="Calibri"/>
          <w:kern w:val="0"/>
          <w:sz w:val="24"/>
          <w:szCs w:val="24"/>
          <w14:ligatures w14:val="none"/>
        </w:rPr>
        <w:t xml:space="preserve">, which has been shown to effectively reduce the abundance of EAB through a combination of multiple generations per year, multiple wasps developing from a single EAB larvae, and effective dispersal capability </w:t>
      </w:r>
      <w:r w:rsidRPr="00AD5414">
        <w:rPr>
          <w:rFonts w:eastAsia="Calibri"/>
          <w:kern w:val="0"/>
          <w:sz w:val="24"/>
          <w:szCs w:val="24"/>
          <w14:ligatures w14:val="none"/>
        </w:rPr>
        <w:fldChar w:fldCharType="begin"/>
      </w:r>
      <w:r w:rsidR="00361954">
        <w:rPr>
          <w:rFonts w:eastAsia="Calibri"/>
          <w:kern w:val="0"/>
          <w:sz w:val="24"/>
          <w:szCs w:val="24"/>
          <w14:ligatures w14:val="none"/>
        </w:rPr>
        <w:instrText xml:space="preserve"> ADDIN ZOTERO_ITEM CSL_CITATION {"citationID":"0mQ7EFWJ","properties":{"formattedCitation":"(Duan et al. 2011, Fahrner et al. 2014, Jones et al. 2019, 2020, USDA\\uc0\\u8211{}APHIS/ARS/FS 2021)","plainCitation":"(Duan et al. 2011, Fahrner et al. 2014, Jones et al. 2019, 2020, USDA–APHIS/ARS/FS 2021)","noteIndex":0},"citationItems":[{"id":681,"uris":["http://zotero.org/groups/5270502/items/J8LXVKBG"],"itemData":{"id":681,"type":"article-journal","container-title":"Florida Entomologist","DOI":"10.1653/024.094.0430","ISSN":"0015-4040, 1938-5102","issue":"4","journalAbbreviation":"Florida Entomologist","language":"en","page":"933-940","source":"DOI.org (Crossref)","title":"Biology and Life History of &lt;i&gt;Tetrastichus planipennisi&lt;/i&gt; (Hymenoptera: Eulophidae), a Larval Endoparasitoid of the Emerald Ash Borer (Coleoptera: Buprestidae)","title-short":"Biology and Life History of &lt;i&gt;Tetrastichus planipennisi&lt;/i&gt; (Hymenoptera","volume":"94","author":[{"family":"Duan","given":"Jian J."},{"family":"Oppel","given":"Craig B."},{"family":"Ulyshen","given":"Michael D."},{"family":"Bauer","given":"Leah S."},{"family":"LeLito","given":"Jonathan"}],"issued":{"date-parts":[["2011",12]]}}},{"id":1366,"uris":["http://zotero.org/groups/5270502/items/NHY66BWJ"],"itemData":{"id":1366,"type":"article-journal","abstract":"The dispersal characteristics of a biological control agent can have direct implications on the ability of that agent to control populations of a target host. Tetrastichus planipennisi Yang (Hymenoptera: Eulophidae) is a parasitic wasp native to eastern Asia that has been introduced into the United States as part of a classical biological control program against the emerald ash borer Agrilus planipennis Fairmaire (Coleoptera: Buprestidae). We used computer-monitored ßight mills to investigate the role of age, feeding status, mating status, and size on the ßight capacity of female T. planipennisi over a 24-h period. We also compared ßight capacity between sexes. Flight distance of female T. planipennisi representative of populations released in the biological control program averaged 1.26 km in 24 h with a maximum ßight of just over 7 km. Median ßight distance, however, was 422 m. The ßight capacity of females fed a honeyÐwater solution was 41 that of females provided only water, who ßew very little. Larger females were capable of ßying farther distances, but age did not affect the ßight capacity of females up to 70 d posteclosion. Females dispersed 6 farther than did their smaller, male counterparts. The implications of our Þndings to hostÐparasitoid interactions and release protocols for distributing T. planipennisi are discussed.","container-title":"Environmental Entomology","DOI":"10.1603/EN14139","ISSN":"0046225X, 0046225X","issue":"6","journalAbbreviation":"environ entomol","language":"en","page":"1603-1612","source":"DOI.org (Crossref)","title":"Factors Affecting the Flight Capacity of &lt;i&gt;Tetrastichus planipennisi&lt;/i&gt; (Hymenoptera: Eulophidae), a Classical Biological Control Agent of &lt;i&gt;Agrilus planipennis&lt;/i&gt; (Coleoptera: Buprestidae)","title-short":"Factors Affecting the Flight Capacity of &lt;I&gt;Tetrastichus planipennisi&lt;/I&gt; (Hymenoptera","volume":"43","author":[{"family":"Fahrner","given":"Samuel J."},{"family":"Lelito","given":"Jonathan P."},{"family":"Blaedow","given":"Karen"},{"family":"Heimpel","given":"George E."},{"family":"Aukema","given":"Brian H."}],"issued":{"date-parts":[["2014",12,1]]}}},{"id":689,"uris":["http://zotero.org/groups/5270502/items/HQ8PSAE9"],"itemData":{"id":689,"type":"article-journal","container-title":"Biological Control","DOI":"10.1016/j.biocontrol.2018.09.004","ISSN":"10499644","journalAbbreviation":"Biological Control","language":"en","page":"94-101","source":"DOI.org (Crossref)","title":"Dispersal of emerald ash borer (Coleoptera: Buprestidae) parasitoids along an ash corridor in western New York","title-short":"Dispersal of emerald ash borer (Coleoptera","volume":"128","author":[{"family":"Jones","given":"Michael I."},{"family":"Gould","given":"Juli R."},{"family":"Warden","given":"Melissa L."},{"family":"Fierke","given":"Melissa K."}],"issued":{"date-parts":[["2019",1]]}}},{"id":700,"uris":["http://zotero.org/groups/5270502/items/S7XP5HQ3"],"itemData":{"id":700,"type":"article-journal","abstract":"Abstract\n            Biological control offers a long-term and sustainable option for controlling the destructive forest pest emerald ash borer (EAB), Agrilus planipennis Fairmaire, in North America. Three larval parasitoids, Spathius agrili Yang (Hymenoptera: Braconidae), Tetrastichus planipennisi Yang (Eulophidae), and Spathius galinae Belokobylskij &amp; Strazanac, have been introduced to North America from the native range of EAB (northeastern Asia). While T. planipennisi appears to be persisting where it has been introduced in northern United States, S. agrili failed to establish in northeastern states. The more recently identified parasitoid S. galinae was recovered from the Russian Far East and climate matching suggests it should be suited for release in colder climates. We collected data on the phenology of EAB and its introduced larval parasitoids from colonies established in an insectary, growth chambers, and field-caged trees in Syracuse, New York to determine whether asynchrony between parasitoids and EAB or climate could impact establishment and persistence. Phenological data indicated EAB has one and 2-yr life cycles in New York, with parasitoid-susceptible EAB larvae available spring to fall for parasitism. Insectary and growth chamber studies indicated S. galinae and T. planipennisi were synchronous with EAB phenology, and field studies suggested both species could overwinter in northeastern climates. Spathius agrili was asynchronous with EAB phenology and climate, emerging when fewer parasitoid-susceptible EAB larvae were available and temperatures were not optimal for survival. Our results suggest S. galinae and T. planipennisi are suited for biological control of EAB at the northern limits of its range in North America.","container-title":"Journal of Economic Entomology","DOI":"10.1093/jee/toz304","ISSN":"0022-0493, 1938-291X","issue":"2","language":"en","page":"622-632","source":"DOI.org (Crossref)","title":"Phenology of Emerald Ash Borer (Coleoptera: Buprestidae) and Its Introduced Larval Parasitoids in the Northeastern United States","title-short":"Phenology of Emerald Ash Borer (Coleoptera","volume":"113","author":[{"family":"Jones","given":"Michael I"},{"family":"Gould","given":"Juli R"},{"family":"Mahon","given":"Hope J"},{"family":"Fierke","given":"Melissa K"}],"editor":[{"family":"Sullivan","given":"Brian"}],"issued":{"date-parts":[["2020",4,6]]}}},{"id":834,"uris":["http://zotero.org/groups/5270502/items/WASW5BW3"],"itemData":{"id":834,"type":"report","event-place":"Riverdale,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AD5414">
        <w:rPr>
          <w:rFonts w:eastAsia="Calibri"/>
          <w:kern w:val="0"/>
          <w:sz w:val="24"/>
          <w:szCs w:val="24"/>
          <w14:ligatures w14:val="none"/>
        </w:rPr>
        <w:fldChar w:fldCharType="separate"/>
      </w:r>
      <w:r w:rsidR="00A00389" w:rsidRPr="00A00389">
        <w:rPr>
          <w:kern w:val="0"/>
          <w:sz w:val="24"/>
        </w:rPr>
        <w:t>(Duan et al. 2011, Fahrner et al. 2014, Jones et al. 2019, 2020, USDA–APHIS/ARS/FS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Similarly, we detected </w:t>
      </w:r>
      <w:r w:rsidRPr="00AD5414">
        <w:rPr>
          <w:rFonts w:eastAsia="Calibri"/>
          <w:i/>
          <w:iCs/>
          <w:kern w:val="0"/>
          <w:sz w:val="24"/>
          <w:szCs w:val="24"/>
          <w14:ligatures w14:val="none"/>
        </w:rPr>
        <w:t>S. galinae</w:t>
      </w:r>
      <w:r w:rsidRPr="00AD5414">
        <w:rPr>
          <w:rFonts w:eastAsia="Calibri"/>
          <w:kern w:val="0"/>
          <w:sz w:val="24"/>
          <w:szCs w:val="24"/>
          <w14:ligatures w14:val="none"/>
        </w:rPr>
        <w:t xml:space="preserve">, a parasitoid native to the Russian Far East which can spread rapidly and parasitize EAB larvae within larger ash trees due to its long ovipositor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{"citationID":"R7rqPjNk","properties":{"formattedCitation":"(Duan et al. 2021, Aker et al. 2022)","plainCitation":"(Duan et al. 2021, Aker et al. 2022)","noteIndex":0},"citationItems":[{"id":776,"uris":["http://zotero.org/groups/5270502/items/HM4E7FIQ"],"itemData":{"id":776,"type":"article-journal","container-title":"Biological Control","DOI":"10.1016/j.biocontrol.2021.104698","ISSN":"10499644","journalAbbreviation":"Biological Control","language":"en","page":"104698","source":"DOI.org (Crossref)","title":"Niche partitioning and coexistence of parasitoids of the same feeding guild introduced for biological control of an invasive forest pest","volume":"160","author":[{"family":"Duan","given":"Jian J."},{"family":"Van Driesche","given":"Roy G."},{"family":"Schmude","given":"Jonathan M."},{"family":"Quinn","given":"Nicole F."},{"family":"Petrice","given":"Toby R."},{"family":"Rutledge","given":"Claire E."},{"family":"Poland","given":"Therese M."},{"family":"Bauer","given":"Leah S."},{"family":"Elkinton","given":"Joseph S."}],"issued":{"date-parts":[["2021",9]]}}},{"id":621,"uris":["http://zotero.org/groups/5270502/items/GQEH839A"],"itemData":{"id":621,"type":"article-journal","abstract":"Emerald ash borer (Agrilus planipennis Fairmaire (Coleoptera: Buprestidae)), an invasive phloem-feeding beetle native to Asia, has devastated North American ash forests since its detection in Michigan, United States in 2002. As the emerald ash borer has continued to spread, the potential for successful long-term management hinges upon the release, establishment, and spread of introduced larval and egg parasitoids for biological control. Here, we focus on the establishment and evidence for spatial spread of introduced larval parasitoid, Spathius agrili Yang and Spathius galinae Belokobylskij &amp; Strazanac (Hymenoptera: Braconidae) in the state of Maryland. To assess each species, we analyzed historical release and recovery data and resampled previous release sites and nonrelease sites for establishment. We found little evidence of establishment or spread for S. agrili, despite a comparatively large number of release locations, events, and individuals. By contrast, despite much lower propagule pressure and shorter history of releases, we detected multiple established populations of S. galinae at release sites and at sites up to 90 km from the nearest release point approximately 3 yr after its most current release. Our findings show that S. galinae has established and spread rapidly following field releases whereas its congener, S. agrili has not. Although it may still be too early to evaluate the level of population control and ash protection afforded by S. galinae, these findings indicate the need for continued investment in S. galinae for emerald ash borer classical biological control efforts.","container-title":"Journal of Economic Entomology","DOI":"10.1093/jee/toab248","ISSN":"0022-0493, 1938-291X","issue":"1","language":"en","page":"381-386","source":"DOI.org (Crossref)","title":"Rapid Spread of an Introduced Parasitoid for Biological Control of Emerald Ash Borer (Coleoptera: Buprestidae) in Maryland","title-short":"Rapid Spread of an Introduced Parasitoid for Biological Control of Emerald Ash Borer (Coleoptera","volume":"115","author":[{"family":"Aker","given":"Stokes A"},{"family":"De Andrade","given":"Rafael B"},{"family":"Duan","given":"Jian J"},{"family":"Gruner","given":"Daniel S"}],"editor":[{"family":"Gandhi","given":"Kamal"}],"issued":{"date-parts":[["2022",2,9]]}}}],"schema":"https://github.com/citation-style-language/schema/raw/master/csl-citation.json"}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2021, Aker et al. 2022)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Finally, we detected </w:t>
      </w:r>
      <w:r w:rsidRPr="00AD5414">
        <w:rPr>
          <w:rFonts w:eastAsia="Calibri"/>
          <w:i/>
          <w:iCs/>
          <w:kern w:val="0"/>
          <w:sz w:val="24"/>
          <w:szCs w:val="24"/>
          <w14:ligatures w14:val="none"/>
        </w:rPr>
        <w:t>O. agrili</w:t>
      </w:r>
      <w:r w:rsidRPr="00AD5414">
        <w:rPr>
          <w:rFonts w:eastAsia="Calibri"/>
          <w:kern w:val="0"/>
          <w:sz w:val="24"/>
          <w:szCs w:val="24"/>
          <w14:ligatures w14:val="none"/>
        </w:rPr>
        <w:t xml:space="preserve">, an egg parasitoid which times its lifecycle to when EAB females are ovipositing on the bark of ash trees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{"citationID":"x52hrdeq","properties":{"formattedCitation":"(Petrice et al. 2021a)","plainCitation":"(Petrice et al. 2021a)","noteIndex":0},"citationItems":[{"id":853,"uris":["http://zotero.org/groups/5270502/items/FM6WUC3K"],"itemData":{"id":853,"type":"article-journal","abstract":"In North America, the emerald ash borer, Agrilus planipennis Fairmaire (Coleoptera: Buprestidae), continues to spread, and its egg parasitoid, Oobius agrili Zhang and Huang (Hymenoptera: Encyrtidae), is being released for emerald ash borer biocontrol well beyond their endemic climatic ranges in China. We developed a multiple cohort rate summation model to simulate O. agrili F0, F1, and F2 generations, and emerald ash borer oviposition for examining host–parasitoid synchrony across a north–south gradient from Duluth, MN (latitude 46.8369, longitude −92.1833) to Shreveport, LA (latitude 32.4469, longitude −93.8242). Temporal occurrences of critical day length for O. agrili diapause induction were integrated into the model. We used O. agrili and emerald ash borer trapping data from south central and northwestern Lower Michigan for model validation. Simulations demonstrated that 1) F0 adult emergence consistently occurred 2–5 d before emerald ash borer oviposition began; 2) F1 adult emergence was most synchronized with peak emerald ash borer oviposition compared with other generations; and 3) emerald ash borer oviposition was complete, or near so, when F2 adult emergence was predicted across the north–south gradient. Comparison of O. agrili trap captures with model simulations demonstrated that primarily two adult O. agrili generations (F0 and F1) emerged per year in Michigan and almost all F2 larvae entered diapause despite day lengths longer than critical day length in south central Michigan. Critical day length varied temporally across the north–south gradient during emergence of O. agrili generations. Determining day lengths perceived by O. agrili larvae in the field should improve model realism for examining spatiotemporal variation in O. agrili population dynamics.","container-title":"Environmental Entomology","DOI":"10.1093/ee/nvaa169","ISSN":"0046-225X, 1938-2936","issue":"2","language":"en","page":"280-292","source":"DOI.org (Crossref)","title":"A Phenology Model for Simulating &lt;i&gt;Oobius agrili&lt;/i&gt; (Hymenoptera: Encyrtidae) Seasonal Voltinism and Synchrony With Emerald Ash Borer Oviposition","title-short":"A Phenology Model for Simulating &lt;i&gt;Oobius agrili&lt;/i&gt; (Hymenoptera","volume":"50","author":[{"family":"Petrice","given":"Toby R"},{"family":"Bauer","given":"Leah S"},{"family":"Miller","given":"Deborah L"},{"family":"Poland","given":"Therese M"},{"family":"Ravlin","given":"F William"}],"editor":[{"family":"Schmidt-Jeffris","given":"Rebecca"}],"issued":{"date-parts":[["2021",4,23]]}}}],"schema":"https://github.com/citation-style-language/schema/raw/master/csl-citation.json"}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(Petrice et al. 2021a)</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Our recovery of </w:t>
      </w:r>
      <w:r w:rsidRPr="00AD5414">
        <w:rPr>
          <w:rFonts w:eastAsia="Calibri"/>
          <w:i/>
          <w:iCs/>
          <w:kern w:val="0"/>
          <w:sz w:val="24"/>
          <w:szCs w:val="24"/>
          <w14:ligatures w14:val="none"/>
        </w:rPr>
        <w:t>O. agrili</w:t>
      </w:r>
      <w:r w:rsidRPr="00AD5414">
        <w:rPr>
          <w:rFonts w:eastAsia="Calibri"/>
          <w:kern w:val="0"/>
          <w:sz w:val="24"/>
          <w:szCs w:val="24"/>
          <w14:ligatures w14:val="none"/>
        </w:rPr>
        <w:t xml:space="preserve"> is encouraging, given that its small size could make dispersal challenging, and that parasitism of EAB eggs could provide another layer of biological control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{"citationID":"blTgDW8c","properties":{"formattedCitation":"(Quinn et al. 2022a, 2023)","plainCitation":"(Quinn et al. 2022a, 2023)","noteIndex":0},"citationItems":[{"id":854,"uris":["http://zotero.org/groups/5270502/items/CLSBN4BW"],"itemData":{"id":854,"type":"article-journal","container-title":"BioControl","DOI":"10.1007/s10526-022-10149-3","ISSN":"1386-6141, 1573-8248","issue":"4","journalAbbreviation":"BioControl","language":"en","page":"387-394","source":"DOI.org (Crossref)","title":"Monitoring the impact of introduced emerald ash borer parasitoids: factors affecting Oobius agrili dispersal and parasitization of sentinel host eggs","title-short":"Monitoring the impact of introduced emerald ash borer parasitoids","volume":"67","author":[{"family":"Quinn","given":"Nicole F."},{"family":"Duan","given":"Jian J."},{"family":"Elkinton","given":"Joseph"}],"issued":{"date-parts":[["2022",8]]}}},{"id":857,"uris":["http://zotero.org/groups/5270502/items/RKPWQX7N"],"itemData":{"id":857,"type":"article-journal","abstract":"The emerald ash borer (EAB), Agrilus planipennis Fairmaire (Coleoptera: Buprestidae), is an invasive woodboring pest of ash trees (Fraxinus sp.) in North America. Among the Asiatic parasitoids being released for the management of EAB in North America, Oobius agrili Zhang and Huang (Hymenoptera: Encyrtidae) is the only EAB egg parasitoid. To date, more than 2.5 million O. agrili have been released in North America; however, few studies have examined its success as a biological control agent of EAB. We conducted studies to assess O. agrili establishment, persistence, spread, and EAB egg parasitism rates in Michigan at the earliest release sites (2007–2010), as well as at more recent release sites (2015–2016) in 3 Northeastern United States (Connecticut, Massachusetts, New York). In both regions, we documented successful O. agrili establishment at all but one release site. In Michigan, O. agrili has persisted at release sites for over a decade and spread to all control sites located 0.6–3.8 km from release sites. Overall, EAB egg parasitism ranged from 1.5% to 51.2% (mean of 21.4%) during 2016–2020 in Michigan and from 2.6% to 29.2% (mean of 16.1%) during 2018–2020 in the Northeastern states. Future research efforts should focus on factors affecting the spatiotemporal variation in EAB egg parasitism rates by O. agrili, as well as its potential range in North America.","container-title":"Journal of Economic Entomology","DOI":"10.1093/jee/toad120","ISSN":"0022-0493, 1938-291X","issue":"4","language":"en","license":"https://academic.oup.com/pages/standard-publication-reuse-rights","page":"1165-1170","source":"DOI.org (Crossref)","title":"Postrelease assessment of &lt;i&gt;Oobius agrili&lt;/i&gt; (Hymenoptera: Encyrtidae) establishment and persistence in Michigan and the Northeastern United States","title-short":"Postrelease assessment of &lt;i&gt;Oobius agrili&lt;/i&gt; (Hymenoptera","volume":"116","author":[{"family":"Quinn","given":"Nicole F"},{"family":"Petrice","given":"Toby R"},{"family":"Schmude","given":"Jonathan M"},{"family":"Poland","given":"Therese M"},{"family":"Bauer","given":"Leah S"},{"family":"Rutlege","given":"Claire E"},{"family":"Van Driesche","given":"Roy G"},{"family":"Elkinton","given":"Joseph S"},{"family":"Duan","given":"Jian J"}],"editor":[{"family":"Martel","given":"Veronique"}],"issued":{"date-parts":[["2023",8,10]]}}}],"schema":"https://github.com/citation-style-language/schema/raw/master/csl-citation.json"}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(Quinn et al. 2022a,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Although </w:t>
      </w:r>
      <w:r w:rsidRPr="00AD5414">
        <w:rPr>
          <w:rFonts w:eastAsia="Calibri"/>
          <w:kern w:val="0"/>
          <w:sz w:val="24"/>
          <w:szCs w:val="24"/>
          <w14:ligatures w14:val="none"/>
        </w:rPr>
        <w:lastRenderedPageBreak/>
        <w:t xml:space="preserve">we recovered all three biological control agents known to have established in the region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{"citationID":"CXMSi0Jj","properties":{"formattedCitation":"(Duan et al. 2023, \\uc0\\u8220{}mapBioControl (Midwest Invasive Species Information Network)\\uc0\\u8221{} 2024)","plainCitation":"(Duan et al. 2023, “mapBioControl (Midwest Invasive Species Information Network)” 2024)","dontUpdate":true,"noteIndex":0},"citationItems":[{"id":599,"uris":["http://zotero.org/groups/5270502/items/T5VVC9XD"],"itemData":{"id":599,"type":"article-journal","container-title":"BioControl","DOI":"10.1007/s10526-023-10182-w","ISSN":"1386-6141,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G."}],"issued":{"date-parts":[["2023",4]]}}},{"id":1019,"uris":["http://zotero.org/groups/5270502/items/6XSQYXJP"],"itemData":{"id":1019,"type":"dataset","medium":"Map","number":"Release Site Dashboard","title":"mapBioControl (Midwest Invasive Species Information Network)","URL":"https://www.mapbiocontrol.org/","accessed":{"date-parts":[["2024",11,23]]},"issued":{"date-parts":[["2024"]]}}}],"schema":"https://github.com/citation-style-language/schema/raw/master/csl-citation.json"}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2023, mapBioControl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we collected these parasitoids in low abundance (7 individuals total). Yellow pan traps are an inefficient method to detect larval parasitoids, and do not permit estimation of parasitism rates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{"citationID":"Xwk8o6pI","properties":{"formattedCitation":"(Rutledge et al. 2021)","plainCitation":"(Rutledge et al. 2021)","noteIndex":0},"citationItems":[{"id":861,"uris":["http://zotero.org/groups/5270502/items/LBRJ2AWB"],"itemData":{"id":861,"type":"article-journal","container-title":"Biological Control","DOI":"10.1016/j.biocontrol.2021.104704","ISSN":"10499644","journalAbbreviation":"Biological Control","language":"en","page":"104704","source":"DOI.org (Crossref)","title":"Comparative efficacy of three techniques for monitoring the establishment and spread of larval parasitoids recently introduced for biological control of emerald ash borer, Agrilus planipennis (Coleoptera: Buprestidae)","title-short":"Comparative efficacy of three techniques for monitoring the establishment and spread of larval parasitoids recently introduced for biological control of emerald ash borer, Agrilus planipennis (Coleoptera","volume":"161","author":[{"family":"Rutledge","given":"Claire E."},{"family":"Van Driesche","given":"Roy G."},{"family":"Duan","given":"Jian J."}],"issued":{"date-parts":[["2021",10]]}}}],"schema":"https://github.com/citation-style-language/schema/raw/master/csl-citation.json"}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(Rutledge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However, they can be a useful nondestructive method for quantifying parasitoid populations if the sample size is sufficiently large, and may be particularly suited to monitoring </w:t>
      </w:r>
      <w:r w:rsidRPr="00AD5414">
        <w:rPr>
          <w:rFonts w:eastAsia="Calibri"/>
          <w:i/>
          <w:iCs/>
          <w:kern w:val="0"/>
          <w:sz w:val="24"/>
          <w:szCs w:val="24"/>
          <w14:ligatures w14:val="none"/>
        </w:rPr>
        <w:t>O. agrili</w:t>
      </w:r>
      <w:r w:rsidRPr="00AD5414">
        <w:rPr>
          <w:rFonts w:eastAsia="Calibri"/>
          <w:kern w:val="0"/>
          <w:sz w:val="24"/>
          <w:szCs w:val="24"/>
          <w14:ligatures w14:val="none"/>
        </w:rPr>
        <w:t xml:space="preserve"> populations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{"citationID":"Z1lLyeoI","properties":{"formattedCitation":"(Petrice et al. 2021b)","plainCitation":"(Petrice et al. 2021b)","noteIndex":0},"citationItems":[{"id":748,"uris":["http://zotero.org/groups/5270502/items/FXHFHXZ3"],"itemData":{"id":748,"type":"article-journal","container-title":"Biological Control","DOI":"10.1016/j.biocontrol.2021.104535","ISSN":"10499644","journalAbbreviation":"Biological Control","language":"en","page":"104535","source":"DOI.org (Crossref)","title":"Monitoring field establishment of the emerald ash borer biocontrol agent Oobius agrili Zhang and Huang (Hymenoptera: Encyrtidae): Sampling methods, sample size, and phenology","title-short":"Monitoring field establishment of the emerald ash borer biocontrol agent Oobius agrili Zhang and Huang (Hymenoptera","volume":"156","author":[{"family":"Petrice","given":"Toby R."},{"family":"Bauer","given":"Leah S."},{"family":"Miller","given":"Deborah L."},{"family":"Stanovick","given":"John S."},{"family":"Poland","given":"Therese M."},{"family":"Ravlin","given":"F. William"}],"issued":{"date-parts":[["2021",5]]}}}],"schema":"https://github.com/citation-style-language/schema/raw/master/csl-citation.json"}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(Petrice et al. 2021b)</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7DD3C355" w14:textId="7A912BD3" w:rsidR="00AD5414" w:rsidRPr="00AD5414" w:rsidRDefault="00AD5414" w:rsidP="008121D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Our findings in forests of southeast Michigan, 15 years after peak ash mortality, show that ash is still present in forests. Parasitoids may </w:t>
      </w:r>
      <w:proofErr w:type="gramStart"/>
      <w:r w:rsidRPr="00AD5414">
        <w:rPr>
          <w:rFonts w:eastAsia="Calibri"/>
          <w:kern w:val="0"/>
          <w:sz w:val="24"/>
          <w:szCs w:val="24"/>
          <w14:ligatures w14:val="none"/>
        </w:rPr>
        <w:t>be playing</w:t>
      </w:r>
      <w:proofErr w:type="gramEnd"/>
      <w:r w:rsidRPr="00AD5414">
        <w:rPr>
          <w:rFonts w:eastAsia="Calibri"/>
          <w:kern w:val="0"/>
          <w:sz w:val="24"/>
          <w:szCs w:val="24"/>
          <w14:ligatures w14:val="none"/>
        </w:rPr>
        <w:t xml:space="preserve"> a role in the health of the ash regeneration, but further research is necessary. Specifically, parasitoids should be surveyed in hydric swamp forests with regenerating black ash because previous studies have primarily focused on parasitoids in stands of green or white ash </w:t>
      </w:r>
      <w:r w:rsidRPr="00AD5414">
        <w:rPr>
          <w:rFonts w:eastAsia="Calibri"/>
          <w:kern w:val="0"/>
          <w:sz w:val="24"/>
          <w:szCs w:val="24"/>
          <w14:ligatures w14:val="none"/>
        </w:rPr>
        <w:fldChar w:fldCharType="begin"/>
      </w:r>
      <w:r w:rsidR="00417DC8">
        <w:rPr>
          <w:rFonts w:eastAsia="Calibri"/>
          <w:kern w:val="0"/>
          <w:sz w:val="24"/>
          <w:szCs w:val="24"/>
          <w14:ligatures w14:val="none"/>
        </w:rPr>
        <w:instrText xml:space="preserve"> ADDIN ZOTERO_ITEM CSL_CITATION {"citationID":"2ecqld6d","properties":{"formattedCitation":"(Abell et al. 2014, Quinn et al. 2022b)","plainCitation":"(Abell et al. 2014, Quinn et al. 2022b)","noteIndex":0},"citationItems":[{"id":596,"uris":["http://zotero.org/groups/5270502/items/KAQCRP3Y"],"itemData":{"id":596,"type":"article-journal","container-title":"Biological Control","DOI":"10.1016/j.biocontrol.2014.08.002","ISSN":"10499644","journalAbbreviation":"Biological Control","language":"en","page":"36-42","source":"DOI.org (Crossref)","title":"Long-term monitoring of the introduced emerald ash borer (Coleoptera: Buprestidae) egg parasitoid, &lt;i&gt;Oobius agrili&lt;/i&gt; (Hymenoptera: Encyrtidae), in Michigan, USA and evaluation of a newly developed monitoring technique","title-short":"Long-term monitoring of the introduced emerald ash borer (Coleoptera","volume":"79","author":[{"family":"Abell","given":"Kristopher J."},{"family":"Bauer","given":"Leah S."},{"family":"Duan","given":"Jian J."},{"family":"Van Driesche","given":"Roy"}],"issued":{"date-parts":[["2014",12]]}}},{"id":614,"uris":["http://zotero.org/groups/5270502/items/KQHNQ34X"],"itemData":{"id":614,"type":"article-journal","container-title":"Biological Control","DOI":"10.1016/j.biocontrol.2021.104794","ISSN":"10499644","journalAbbreviation":"Biological Control","language":"en","page":"104794","source":"DOI.org (Crossref)","title":"Spread and phenology of Spathius galinae and Tetrastichus planipennisi, recently introduced for biocontrol of emerald ash borer (Coleoptera: Buprestidae) in the northeastern United States","title-short":"Spread and phenology of Spathius galinae and Tetrastichus planipennisi, recently introduced for biocontrol of emerald ash borer (Coleoptera","volume":"165","author":[{"family":"Quinn","given":"Nicole F."},{"family":"Gould","given":"Juli S."},{"family":"Rutledge","given":"Claire E."},{"family":"Fassler","given":"Aliza"},{"family":"Elkinton","given":"Joseph S."},{"family":"Duan","given":"Jian J."}],"issued":{"date-parts":[["2022",2]]}}}],"schema":"https://github.com/citation-style-language/schema/raw/master/csl-citation.json"}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(Abell et al. 2014, Quinn et al. 2022b)</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We found that in hydric stands, ash trees between 2.5-10 cm DBH were common, whereas in 2009 this size of tree had been completely killed by EAB. Furthermore, some regeneration exhibited symptoms of EAB, like epicormic sprouts, whereas others in the same stand appeared healthy. Multiple factors could be involved in the survival and growth of ash regeneration, including reduced EAB density due to declines in living ash phloem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{"citationID":"UcIVYEUG","properties":{"formattedCitation":"(Duan et al. 2015, Siegert et al. 2021)","plainCitation":"(Duan et al. 2015, Siegert et al. 2021)","noteIndex":0},"citationItems":[{"id":772,"uris":["http://zotero.org/groups/5270502/items/45L5ZIW5"],"itemData":{"id":772,"type":"article-journal","abstract":"Summary\n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2015, Siegert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 development of ash tree resistance to EAB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{"citationID":"yRxdiurC","properties":{"formattedCitation":"(Koch et al. 2015, Villari et al. 2016)","plainCitation":"(Koch et al. 2015, Villari et al. 2016)","noteIndex":0},"citationItems":[{"id":1270,"uris":["http://zotero.org/groups/5270502/items/DZJQ4U9M"],"itemData":{"id":1270,"type":"article-journal","abstract":"The emerald ash borer (EAB; Agrilus planipennis Fairmaire) is a bark and wood boring beetle native to east Asia that was ﬁrst discovered in North America in 2002. Since then, entire stands of highly susceptible green ash (Fraxinus pennsylvanica Marshall) have been killed within a few years of infestation. We have identiﬁed a small number of mature green ash trees which have been attacked by EAB, yet survived the peak EAB infestation that resulted in mortality of the rest of the ash cohort. Adult landing and feeding preference bioassays, leaf volatile quantiﬁcation and EAB egg bioassay experiments were used to characterize potential differences in responses of these select ‘‘lingering’’ green ash trees relative to known EAB susceptible controls. Three selections were identiﬁed as being signiﬁcantly less preferred for adult feeding, but no speciﬁc leaf volatile proﬁle was associated with this reduced preference. Egg bioassays identiﬁed two ash selections that had signiﬁcant differences in larval survival and development; one having a higher number of larvae killed by apparent host tree defenses and the other having lower larval weight. Correlation and validation of the bioassay results in replicated plantings to assess EAB resistance in the ﬁeld is still necessary. However, the differences between lingering ash selections and susceptible controls measured by these bioassays indicate that more than one mechanism is responsible for the increased resistance to EAB that resulted in these selections surviving longer than their counterparts. Efforts to further increase ash resistance to EAB through use of these selections in a breeding program are underway.","container-title":"New Forests","DOI":"10.1007/s11056-015-9494-4","ISSN":"0169-4286, 1573-5095","issue":"5-6","journalAbbreviation":"New Forests","language":"en","page":"995-1011","source":"DOI.org (Crossref)","title":"Intraspecific variation in Fraxinus pennsylvanica responses to emerald ash borer (Agrilus planipennis)","volume":"46","author":[{"family":"Koch","given":"J. L."},{"family":"Carey","given":"D. W."},{"family":"Mason","given":"M. E."},{"family":"Poland","given":"T. M."},{"family":"Knight","given":"K. S."}],"issued":{"date-parts":[["2015",11]]}}},{"id":728,"uris":["http://zotero.org/groups/5270502/items/H28XYNMH"],"itemData":{"id":728,"type":"article-journal","abstract":"Summary\n            \n              We review the literature on host resistance of ash to emerald ash borer (EAB,\n              Agrilus planipennis\n              ), an invasive species that causes widespread mortality of ash. Manchurian ash (\n              Fraxinus mandshurica\n              ), which coevolved with EAB, is more resistant than evolutionarily naïve North American and European congeners. Manchurian ash was less preferred for adult feeding and oviposition than susceptible hosts, more resistant to larval feeding, had higher constitutive concentrations of bark lignans, coumarins, proline, tyramine and defensive proteins, and was characterized by faster oxidation of phenolics. Consistent with EAB being a secondary colonizer of coevolved hosts, drought stress decreased the resistance of Manchurian ash, but had no effect on constitutive bark phenolics, suggesting that they do not contribute to increased susceptibility in response to drought stress. The induced resistance of North American species to EAB in response to the exogenous application of methyl jasmonate was associated with increased bark concentrations of verbascoside, lignin and/or trypsin inhibitors, which decreased larval survival and/or growth in bioassays. This finding suggests that these inherently susceptible species possess latent defenses that are not induced naturally by larval colonization, perhaps because they fail to recognize larval cues or respond quickly enough. Finally, we propose future research directions that would address some critical knowledge gaps.\n            \n            \n              \n                \n                  \n                  \n                  \n                  \n                    \n                      \n                      Contents\n                      \n                    \n                  \n                  \n                    \n                      \n                      Summary\n                      63\n                    \n                    \n                      I.\n                      \n                        Introduction\n                      \n                      64\n                    \n                    \n                      II.\n                      \n                        Emerald ash borer life cycle and host range\n                      \n                      64\n                    \n                    \n                      III.\n                      \n                        Mechanisms of ash resistance to emerald ash borer\n                      \n                      65\n                    \n                    \n                      IV.\n                      \n                        Nutritional quality and primary metabolites\n                      \n                      71\n                    \n                    \n                      V.\n                      \n                        Conclusions and future directions\n                      \n                      72\n                    \n                    \n                      \n                      \n                        Acknowledgements\n                      \n                      75\n                    \n                    \n                      \n                      \n                        References\n                      \n                      75","container-title":"New Phytologist","DOI":"10.1111/nph.13604","ISSN":"0028-646X, 1469-8137","issue":"1","journalAbbreviation":"New Phytologist","language":"en","page":"63-79","source":"DOI.org (Crossref)","title":"Progress and gaps in understanding mechanisms of ash tree resistance to emerald ash borer, a model for wood‐boring insects that kill angiosperms","volume":"209","author":[{"family":"Villari","given":"Caterina"},{"family":"Herms","given":"Daniel A."},{"family":"Whitehill","given":"Justin G. A."},{"family":"Cipollini","given":"Don"},{"family":"Bonello","given":"Pierluigi"}],"issued":{"date-parts":[["2016",1]]}}}],"schema":"https://github.com/citation-style-language/schema/raw/master/csl-citation.json"}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(Koch et al. 2015, Villari et al. 2016)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site conditions including sunlight and water levels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{"citationID":"rZ31Ww58","properties":{"formattedCitation":"(Knight et al. 2013, Davis et al. 2017)","plainCitation":"(Knight et al. 2013, Davis et al. 2017)","noteIndex":0},"citationItems":[{"id":1299,"uris":["http://zotero.org/groups/5270502/items/FWHWRKSQ"],"itemData":{"id":1299,"type":"article-journal","container-title":"Biological Invasions","DOI":"10.1007/s10530-012-0292-z","ISSN":"1387-3547, 1573-1464","issue":"2","journalAbbreviation":"Biol Invasions","language":"en","license":"http://www.springer.com/tdm","page":"371-383","source":"DOI.org (Crossref)","title":"Factors affecting the survival of ash (Fraxinus spp.) trees infested by emerald ash borer (Agrilus planipennis)","volume":"15","author":[{"family":"Knight","given":"Kathleen S."},{"family":"Brown","given":"John P."},{"family":"Long","given":"Robert P."}],"issued":{"date-parts":[["2013",2]]}}},{"id":984,"uris":["http://zotero.org/groups/5270502/items/GCPI93FA"],"itemData":{"id":984,"type":"article-journal","abstract":"The invasive emerald ash borer (EAB) (Agrilus planipennis Fairmaire (Coleoptera: Buprestidae)) is a signiﬁcant threat to biodiversity and ecosystem processes in North American forests. Of particular concern is the fate of Fraxinus nigra (black ash), which is frequently a dominant canopy species across much of its range. To investigate the potential vegetation response to the loss of this foundation species, EAB-induced mortality was simulated in F. nigra dominated wetlands of Upper Michigan, USA. No growth response of residual overstory species occurred over the course of three growing seasons, which may in part be attributed to negative effects of post-treatment growing conditions, including prolonged inundation. A signiﬁcant increase in non-Fraxinus sapling growth rate was observed, however. Mortality of F. nigra did not impact overall stem recruitment or regeneration, although species composition is shifting towards Acer rubrum (red maple) and Betula alleghaniensis (yellow birch) in the seedling layer. The herbaceous community exhibited the greatest response, nearly doubling in areal cover by the end of the study. Importantly, this expanded cover was not associated with decreased establishment of new woody seedlings, suggesting that increased competition between these functional groups has not yet impacted the potential for future recovery of woody vegetation in these forests.","container-title":"Canadian Journal of Forest Research","DOI":"10.1139/cjfr-2016-0105","ISSN":"0045-5067, 1208-6037","issue":"3","journalAbbreviation":"Can. J. For. Res.","language":"en","license":"http://www.nrcresearchpress.com/page/about/CorporateTextAndDataMining","page":"319-330","source":"DOI.org (Crossref)","title":"Vegetation responses to simulated emerald ash borer infestation in &lt;i&gt;Fraxinus nigra&lt;/i&gt; dominated wetlands of Upper Michigan, USA","volume":"47","author":[{"family":"Davis","given":"Joshua C."},{"family":"Shannon","given":"Joseph P."},{"family":"Bolton","given":"Nicholas W."},{"family":"Kolka","given":"Randall K."},{"family":"Pypker","given":"Thomas G."}],"issued":{"date-parts":[["2017",3]]}}}],"schema":"https://github.com/citation-style-language/schema/raw/master/csl-citation.json"}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(Knight et al. 2013, Davis et al. 2017)</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and parasitoid natural enemies. Future research could focus on the host-location strategies of parasitoids, which could improve our knowledge of whether parasitoids could disperse to ash trees that are newly infested with EAB, or if parasitoids only disperse to declining ash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{"citationID":"y3CRwAp1","properties":{"formattedCitation":"(Johnson et al. 2014, Chen et al. 2016, Wilson et al. 2024)","plainCitation":"(Johnson et al. 2014, Chen et al. 2016, Wilson et al. 2024)","noteIndex":0},"citationItems":[{"id":1023,"uris":["http://zotero.org/groups/5270502/items/V2KKJ3WH"],"itemData":{"id":1023,"type":"article-journal","container-title":"Biological Control","DOI":"10.1016/j.biocontrol.2014.05.004","ISSN":"10499644","journalAbbreviation":"Biological Control","language":"en","page":"110-117","source":"DOI.org (Crossref)","title":"Responses of two parasitoids, the exotic Spathius agrili Yang and the native Spathius floridanus Ashmead, to volatile cues associated with the emerald ash borer, Agrilus planipennis Fairmaire","volume":"79","author":[{"family":"Johnson","given":"Todd D."},{"family":"Lelito","given":"Jonathan P."},{"family":"Raffa","given":"Kenneth F."}],"issued":{"date-parts":[["2014",12]]}}},{"id":1037,"uris":["http://zotero.org/groups/5270502/items/3NPCPNXI"],"itemData":{"id":1037,"type":"article-journal","abstract":"Many natural enemies employ plant- and/or herbivore-derived signals for host/prey location. The larval parasitoid Tetrastichus planipennisi Yang (Hymenoptera: Eulophidae) is 1 of 3 biocontrol agents currently being released in an effort to control the emerald ash borer (EAB), Agrilus planipennis Fairmaire (Coloeptera: Burprestidae) in North America. To enhance its efficiency, allelochemicals that attract it need to be assessed. In this study, ash phloem volatile organic compounds (VOCs) of black, green, and white ash, and EAB larval frass were compared. Foraging behavior of T. planipennisi females in response to VOCs of white ash or frass from EAB larvae feeding on white ash phloem was tested using a Y-tube olfactometer. Results indicated that the 3 ash species had similar VOC profiles. EAB larval frass generally contained greater levels of VOCs than phloem. Factor analysis indicated that the 11 VOCs could be broadly divided into 2 groups, with α-bisabolol, β-caryophyllene, (E)-2-hexenal, (Z)-3-hexenal, limonene, methyl benzoate, methyl indole-3-acetic acid, methyl jasmonate, methyl salicylate as the first group and the rest (i.e., methyl linoleate and methyl linolenate) as a second. Abundance of VOCs in white ash phloem tissue and frass, nevertheless, did not attract T. planipennisi females. The concealed feeding of EAB larvae might explain the selection for detectable and reliable virbrational signals, instead of undetectable and relatively unreliable VOC cues from phloem and frass, in short-range foraging by T. planipennisi. Alternatively, it is possible that T. planipennisi is not amenable to the Y-tube olfactometer assay employed.","container-title":"Insect Science","DOI":"10.1111/1744-7917.12227","ISSN":"1672-9609, 1744-7917","issue":"5","journalAbbreviation":"Insect Science","language":"en","page":"712-719","source":"DOI.org (Crossref)","title":"Abundance of volatile organic compounds in white ash phloem and emerald ash borer larval frass does not attract &lt;i&gt;Tetrastichus planipennisi&lt;/i&gt; in a Y‐tube olfactometer","volume":"23","author":[{"family":"Chen","given":"Yigen"},{"family":"Ulyshen","given":"Michael D."},{"family":"Poland","given":"Therese M."}],"issued":{"date-parts":[["2016",10]]}}},{"id":1039,"uris":["http://zotero.org/groups/5270502/items/NR93BFLN"],"itemData":{"id":1039,"type":"article-journal","abstract":"Emerald ash borer (EAB) (Agrilus planipennis Fairmaire) (Coleoptera: Buprestidae) is the most destructive insect to invade North American forests. Identifying habitat features that support EAB natural enemies is necessary to enhance EAB biological control. In many forest ecosystems, tree species diversity has been linked with reduced pest abundance and increases in natural enemy abundance. We assessed the influence of tree species richness, ash density, and proportion of total ash basal area on ash canopy condition, EAB larval densities, and biocontrol by woodpeckers and parasitoids in pairs of healthy and declining overstory (DBH &gt; 10 cm) and recruit-sized ash (DBH 2–10 cm) in 4 post-invasion forests in Michigan, USA. Tree species richness and ash density were not significantly associated with EAB larval densities, ash canopy dieback and transparency, and woodpecker predation of EAB larvae. In declining and healthy overstory ash, woodpeckers killed 38.5 ± 3.9% and 13.2 ± 3.7% of larvae, respectively, while the native parasitoid Phasgonophora sulcata Westwood killed 15.8 ± 3.8% and 8.3 ± 3.0% and the introduced parasitoid Spathius galinae Belokobylskij &amp; Strazanac killed 10.8 ± 2.5% and 5.0 ± 2.6% of EAB larvae. Parasitism by P. sulcata was inversely related to ash density while parasitism by S. galinae was positively associated with ash density. Ash density, but not tree diversity, appears to differentially influence biological control of EAB by parasitoids, but this effect is not associated with reduced EAB densities or improved canopy condition.","container-title":"Environmental Entomology","DOI":"10.1093/ee/nvae060","ISSN":"0046-225X, 1938-2936","issue":"4","language":"en","license":"https://academic.oup.com/pages/standard-publication-reuse-rights","page":"544-560","source":"DOI.org (Crossref)","title":"Tree species richness and ash density have variable effects on emerald ash borer biological control by woodpeckers and parasitoid wasps in post-invasion white ash stands","volume":"53","author":[{"family":"Wilson","given":"Caleb J"},{"family":"Petrice","given":"Toby R"},{"family":"Poland","given":"Therese M"},{"family":"McCullough","given":"Deborah G"}],"editor":[{"family":"Abram","given":"Paul"}],"issued":{"date-parts":[["2024",8,17]]}}}],"schema":"https://github.com/citation-style-language/schema/raw/master/csl-citation.json"}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(Johnson et al. 2014, Chen et al. 2016, Wilson et al.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In summary, the continued presence of ash in </w:t>
      </w:r>
      <w:r w:rsidRPr="00AD5414">
        <w:rPr>
          <w:rFonts w:eastAsia="Calibri"/>
          <w:kern w:val="0"/>
          <w:sz w:val="24"/>
          <w:szCs w:val="24"/>
          <w14:ligatures w14:val="none"/>
        </w:rPr>
        <w:lastRenderedPageBreak/>
        <w:t xml:space="preserve">forests of southeast Michigan is far from </w:t>
      </w:r>
      <w:proofErr w:type="gramStart"/>
      <w:r w:rsidRPr="00AD5414">
        <w:rPr>
          <w:rFonts w:eastAsia="Calibri"/>
          <w:kern w:val="0"/>
          <w:sz w:val="24"/>
          <w:szCs w:val="24"/>
          <w14:ligatures w14:val="none"/>
        </w:rPr>
        <w:t>guaranteed, but</w:t>
      </w:r>
      <w:proofErr w:type="gramEnd"/>
      <w:r w:rsidRPr="00AD5414">
        <w:rPr>
          <w:rFonts w:eastAsia="Calibri"/>
          <w:kern w:val="0"/>
          <w:sz w:val="24"/>
          <w:szCs w:val="24"/>
          <w14:ligatures w14:val="none"/>
        </w:rPr>
        <w:t xml:space="preserve"> instead depends on multiple top-down and bottom-up ecological processes.</w:t>
      </w:r>
    </w:p>
    <w:p w14:paraId="3FF999DA" w14:textId="77777777" w:rsidR="00AD5414" w:rsidRPr="00AD5414" w:rsidRDefault="00AD5414" w:rsidP="00AD5414">
      <w:pPr>
        <w:spacing w:line="480" w:lineRule="auto"/>
        <w:rPr>
          <w:rFonts w:eastAsia="Calibri"/>
          <w:kern w:val="0"/>
          <w:sz w:val="24"/>
          <w:szCs w:val="24"/>
          <w14:ligatures w14:val="none"/>
        </w:rPr>
      </w:pPr>
    </w:p>
    <w:p w14:paraId="65901157" w14:textId="77777777" w:rsidR="00AD5414" w:rsidRPr="00AD5414" w:rsidRDefault="00AD5414" w:rsidP="00AD5414">
      <w:pPr>
        <w:rPr>
          <w:rFonts w:eastAsia="Calibri"/>
          <w:b/>
          <w:bCs/>
          <w:kern w:val="0"/>
          <w:sz w:val="24"/>
          <w:szCs w:val="24"/>
          <w14:ligatures w14:val="none"/>
        </w:rPr>
      </w:pPr>
      <w:commentRangeStart w:id="17"/>
      <w:commentRangeStart w:id="18"/>
      <w:commentRangeStart w:id="19"/>
      <w:r w:rsidRPr="00AD5414">
        <w:rPr>
          <w:rFonts w:eastAsia="Calibri"/>
          <w:b/>
          <w:bCs/>
          <w:kern w:val="0"/>
          <w:sz w:val="24"/>
          <w:szCs w:val="24"/>
          <w14:ligatures w14:val="none"/>
        </w:rPr>
        <w:t>References</w:t>
      </w:r>
      <w:commentRangeEnd w:id="17"/>
      <w:r w:rsidRPr="00AD5414">
        <w:rPr>
          <w:rFonts w:eastAsia="Calibri"/>
          <w:sz w:val="16"/>
          <w:szCs w:val="16"/>
        </w:rPr>
        <w:commentReference w:id="17"/>
      </w:r>
      <w:commentRangeEnd w:id="18"/>
      <w:r w:rsidRPr="00AD5414">
        <w:rPr>
          <w:rFonts w:eastAsia="Calibri"/>
          <w:sz w:val="16"/>
          <w:szCs w:val="16"/>
        </w:rPr>
        <w:commentReference w:id="18"/>
      </w:r>
      <w:commentRangeEnd w:id="19"/>
      <w:r w:rsidR="008C537D">
        <w:rPr>
          <w:rStyle w:val="CommentReference"/>
        </w:rPr>
        <w:commentReference w:id="19"/>
      </w:r>
    </w:p>
    <w:p w14:paraId="62F62BF1" w14:textId="77777777" w:rsidR="00AD5414" w:rsidRPr="00AD5414" w:rsidRDefault="00AD5414" w:rsidP="00AD5414">
      <w:pPr>
        <w:rPr>
          <w:rFonts w:eastAsia="Calibri"/>
          <w:kern w:val="0"/>
          <w:sz w:val="24"/>
          <w:szCs w:val="24"/>
          <w14:ligatures w14:val="none"/>
        </w:rPr>
      </w:pPr>
    </w:p>
    <w:p w14:paraId="2BD27EAC" w14:textId="77777777" w:rsidR="005D0F60" w:rsidRDefault="00AD5414" w:rsidP="005D0F60">
      <w:pPr>
        <w:pStyle w:val="Bibliography"/>
      </w:pPr>
      <w:r w:rsidRPr="00AD5414">
        <w:rPr>
          <w:rFonts w:eastAsia="Calibri"/>
          <w:sz w:val="24"/>
          <w:szCs w:val="24"/>
          <w14:ligatures w14:val="none"/>
        </w:rPr>
        <w:fldChar w:fldCharType="begin"/>
      </w:r>
      <w:r w:rsidR="00787B59">
        <w:rPr>
          <w:rFonts w:eastAsia="Calibri"/>
          <w:sz w:val="24"/>
          <w:szCs w:val="24"/>
          <w14:ligatures w14:val="none"/>
        </w:rPr>
        <w:instrText xml:space="preserve"> ADDIN ZOTERO_BIBL {"uncited":[],"omitted":[],"custom":[]} CSL_BIBLIOGRAPHY </w:instrText>
      </w:r>
      <w:r w:rsidRPr="00AD5414">
        <w:rPr>
          <w:rFonts w:eastAsia="Calibri"/>
          <w:sz w:val="24"/>
          <w:szCs w:val="24"/>
          <w14:ligatures w14:val="none"/>
        </w:rPr>
        <w:fldChar w:fldCharType="separate"/>
      </w:r>
      <w:r w:rsidR="005D0F60">
        <w:t xml:space="preserve">Abell, K. J., L. S. Bauer, J. J. Duan, and R. Van Driesche. 2014. Long-term monitoring of the introduced emerald ash borer (Coleoptera: Buprestidae) egg parasitoid, </w:t>
      </w:r>
      <w:r w:rsidR="005D0F60">
        <w:rPr>
          <w:i/>
          <w:iCs/>
        </w:rPr>
        <w:t>Oobius agrili</w:t>
      </w:r>
      <w:r w:rsidR="005D0F60">
        <w:t xml:space="preserve"> (Hymenoptera: Encyrtidae), in Michigan, USA and evaluation of a newly developed monitoring technique. Biological Control 79:36–42.</w:t>
      </w:r>
    </w:p>
    <w:p w14:paraId="4552625A" w14:textId="77777777" w:rsidR="005D0F60" w:rsidRDefault="005D0F60" w:rsidP="005D0F60">
      <w:pPr>
        <w:pStyle w:val="Bibliography"/>
      </w:pPr>
      <w:r>
        <w:t>Abell, K. J., J. J. Duan, L. Bauer, J. P. Lelito, and R. G. Van Driesche. 2012. The effect of bark thickness on host partitioning between Tetrastichus planipennisi (Hymen: Eulophidae) and Atanycolus spp. (Hymen: Braconidae), two parasitoids of emerald ash borer (Coleop: Buprestidae). Biological Control 63:320–325.</w:t>
      </w:r>
    </w:p>
    <w:p w14:paraId="0493F6AF" w14:textId="77777777" w:rsidR="005D0F60" w:rsidRDefault="005D0F60" w:rsidP="005D0F60">
      <w:pPr>
        <w:pStyle w:val="Bibliography"/>
      </w:pPr>
      <w:r>
        <w:t xml:space="preserve">Abella, S. R., C. E. Hausman, J. F. Jaeger, K. S. Menard, T. A. Schetter, and O. J. Rocha. 2019. Fourteen years of swamp forest change from the </w:t>
      </w:r>
      <w:proofErr w:type="gramStart"/>
      <w:r>
        <w:t>onset,</w:t>
      </w:r>
      <w:proofErr w:type="gramEnd"/>
      <w:r>
        <w:t xml:space="preserve"> during, and after invasion of emerald ash borer. Biological Invasions 21:3685–3696.</w:t>
      </w:r>
    </w:p>
    <w:p w14:paraId="3B6B3ED6" w14:textId="77777777" w:rsidR="005D0F60" w:rsidRDefault="005D0F60" w:rsidP="005D0F60">
      <w:pPr>
        <w:pStyle w:val="Bibliography"/>
      </w:pPr>
      <w:r>
        <w:t>Abella, S. R., K. S. Menard, T. A. Schetter, and C. E. Hausman. 2024. Species and landscape variation in tree regeneration and 17 years of change in forested wetlands invaded by emerald ash borer. Forest Ecology and Management 557:121750.</w:t>
      </w:r>
    </w:p>
    <w:p w14:paraId="1C56787A" w14:textId="77777777" w:rsidR="005D0F60" w:rsidRDefault="005D0F60" w:rsidP="005D0F60">
      <w:pPr>
        <w:pStyle w:val="Bibliography"/>
      </w:pPr>
      <w:r>
        <w:t>Aker, S. A., R. B. De Andrade, J. J. Duan, and D. S. Gruner. 2022. Rapid Spread of an Introduced Parasitoid for Biological Control of Emerald Ash Borer (Coleoptera: Buprestidae) in Maryland. Journal of Economic Entomology 115:381–386.</w:t>
      </w:r>
    </w:p>
    <w:p w14:paraId="3C58A6E7" w14:textId="77777777" w:rsidR="005D0F60" w:rsidRDefault="005D0F60" w:rsidP="005D0F60">
      <w:pPr>
        <w:pStyle w:val="Bibliography"/>
      </w:pPr>
      <w:r>
        <w:t>Aubin, I., F. Cardou, K. Ryall, D. Kreutzweiser, and T. Scarr. 2015. Ash regeneration capacity after emerald ash borer (EAB) outbreaks: Some early results. The Forestry Chronicle 91:291–298.</w:t>
      </w:r>
    </w:p>
    <w:p w14:paraId="3007C9CE" w14:textId="77777777" w:rsidR="005D0F60" w:rsidRDefault="005D0F60" w:rsidP="005D0F60">
      <w:pPr>
        <w:pStyle w:val="Bibliography"/>
      </w:pPr>
      <w:r>
        <w:t>Barnes, B. V. 1976. Succession in deciduous swamp communities of southeastern Michigan formerly dominated by American elm. Canadian Journal of Botany 54:19–24.</w:t>
      </w:r>
    </w:p>
    <w:p w14:paraId="35D5AE2A" w14:textId="77777777" w:rsidR="005D0F60" w:rsidRDefault="005D0F60" w:rsidP="005D0F60">
      <w:pPr>
        <w:pStyle w:val="Bibliography"/>
      </w:pPr>
      <w:r>
        <w:t xml:space="preserve">Bates, D., M. Mächler, B. Bolker, and S. Walker. 2015. Fitting Linear Mixed-Effects Models Using </w:t>
      </w:r>
      <w:r>
        <w:rPr>
          <w:b/>
          <w:bCs/>
        </w:rPr>
        <w:t>lme4</w:t>
      </w:r>
      <w:r>
        <w:t>. Journal of Statistical Software 67.</w:t>
      </w:r>
    </w:p>
    <w:p w14:paraId="6187624A" w14:textId="77777777" w:rsidR="005D0F60" w:rsidRDefault="005D0F60" w:rsidP="005D0F60">
      <w:pPr>
        <w:pStyle w:val="Bibliography"/>
      </w:pPr>
      <w:r>
        <w:t>Benedict, L., and R. David. 2003. Propogation protocol for black ash. Native Plants.</w:t>
      </w:r>
    </w:p>
    <w:p w14:paraId="21D29357" w14:textId="77777777" w:rsidR="005D0F60" w:rsidRDefault="005D0F60" w:rsidP="005D0F60">
      <w:pPr>
        <w:pStyle w:val="Bibliography"/>
      </w:pPr>
      <w:r>
        <w:lastRenderedPageBreak/>
        <w:t>Bolen, A. 2020. A Silent Killer: Black Ash Basket Makers are Battling a Voracious Beetle to Keep Their Heritage Alive. National Museum of the American Indian 21.</w:t>
      </w:r>
    </w:p>
    <w:p w14:paraId="266B3E02" w14:textId="77777777" w:rsidR="005D0F60" w:rsidRDefault="005D0F60" w:rsidP="005D0F60">
      <w:pPr>
        <w:pStyle w:val="Bibliography"/>
      </w:pPr>
      <w:r>
        <w:t>Bolton, N., J. Shannon, J. Davis, M. Grinsven, N. Noh, S. Schooler, R. Kolka, T. Pypker, and J. Wagenbrenner. 2018. Methods to Improve Survival and Growth of Planted Alternative Species Seedlings in Black Ash Ecosystems Threatened by Emerald Ash Borer. Forests 9:146.</w:t>
      </w:r>
    </w:p>
    <w:p w14:paraId="7B369E8D" w14:textId="77777777" w:rsidR="005D0F60" w:rsidRDefault="005D0F60" w:rsidP="005D0F60">
      <w:pPr>
        <w:pStyle w:val="Bibliography"/>
      </w:pPr>
      <w:r>
        <w:t>Braun, E. L. 1989. The woody plants of Ohio: trees, shrubs and woody climbers, native, naturalized, and escaped. Ohio State University Press, Columbus, Ohio.</w:t>
      </w:r>
    </w:p>
    <w:p w14:paraId="796D8087" w14:textId="77777777" w:rsidR="005D0F60" w:rsidRDefault="005D0F60" w:rsidP="005D0F60">
      <w:pPr>
        <w:pStyle w:val="Bibliography"/>
      </w:pPr>
      <w:r>
        <w:t>Burns, R., and B. Honkala. 1990. Silvics of North America: Volume 2, Hardwoods.</w:t>
      </w:r>
    </w:p>
    <w:p w14:paraId="78E8BE3D" w14:textId="77777777" w:rsidR="005D0F60" w:rsidRDefault="005D0F60" w:rsidP="005D0F60">
      <w:pPr>
        <w:pStyle w:val="Bibliography"/>
      </w:pPr>
      <w:r>
        <w:t>Canadian Food Inspection Agency. 2025. Regulated areas and items: Emerald ash borer. https://inspection.canada.ca/en/plant-health/invasive-pests-and-plants/directives/forest-products/03-08/regulated-areas.</w:t>
      </w:r>
    </w:p>
    <w:p w14:paraId="13D72C77" w14:textId="77777777" w:rsidR="005D0F60" w:rsidRDefault="005D0F60" w:rsidP="005D0F60">
      <w:pPr>
        <w:pStyle w:val="Bibliography"/>
      </w:pPr>
      <w:r>
        <w:t xml:space="preserve">Chen, Y., M. D. Ulyshen, and T. M. Poland. 2016. Abundance of volatile organic compounds in white ash phloem and emerald ash borer larval frass does not attract </w:t>
      </w:r>
      <w:r>
        <w:rPr>
          <w:i/>
          <w:iCs/>
        </w:rPr>
        <w:t>Tetrastichus planipennisi</w:t>
      </w:r>
      <w:r>
        <w:t xml:space="preserve"> in a Y‐tube olfactometer. Insect Science 23:712–719.</w:t>
      </w:r>
    </w:p>
    <w:p w14:paraId="40D17FE9" w14:textId="77777777" w:rsidR="005D0F60" w:rsidRDefault="005D0F60" w:rsidP="005D0F60">
      <w:pPr>
        <w:pStyle w:val="Bibliography"/>
      </w:pPr>
      <w:r>
        <w:t>Costilow, K. C., K. S. Knight, and C. E. Flower. 2017. Disturbance severity and canopy position control the radial growth response of maple trees (Acer spp.) in forests of northwest Ohio impacted by emerald ash borer (Agrilus planipennis). Annals of Forest Science 74:10.</w:t>
      </w:r>
    </w:p>
    <w:p w14:paraId="4024EDB4" w14:textId="77777777" w:rsidR="005D0F60" w:rsidRDefault="005D0F60" w:rsidP="005D0F60">
      <w:pPr>
        <w:pStyle w:val="Bibliography"/>
      </w:pPr>
      <w:r>
        <w:t xml:space="preserve">Davis, J. C., J. P. Shannon, N. W. Bolton, R. K. Kolka, and T. G. Pypker. 2017. Vegetation responses to simulated emerald ash borer infestation in </w:t>
      </w:r>
      <w:r>
        <w:rPr>
          <w:i/>
          <w:iCs/>
        </w:rPr>
        <w:t>Fraxinus nigra</w:t>
      </w:r>
      <w:r>
        <w:t xml:space="preserve"> dominated wetlands of Upper Michigan, USA. Canadian Journal of Forest Research 47:319–330.</w:t>
      </w:r>
    </w:p>
    <w:p w14:paraId="63BFE6FC" w14:textId="77777777" w:rsidR="005D0F60" w:rsidRDefault="005D0F60" w:rsidP="005D0F60">
      <w:pPr>
        <w:pStyle w:val="Bibliography"/>
      </w:pPr>
      <w:r>
        <w:t>Duan, J. J., L. S. Bauer, K. J. Abell, M. D. Ulyshen, and R. G. Van Driesche. 2015. Population dynamics of an invasive forest insect and associated natural enemies in the aftermath of invasion: implications for biological control. Journal of Applied Ecology 52:1246–1254.</w:t>
      </w:r>
    </w:p>
    <w:p w14:paraId="540D2E28" w14:textId="77777777" w:rsidR="005D0F60" w:rsidRDefault="005D0F60" w:rsidP="005D0F60">
      <w:pPr>
        <w:pStyle w:val="Bibliography"/>
      </w:pPr>
      <w:r>
        <w:t xml:space="preserve">Duan, J. J., L. S. Bauer, and R. G. Van Driesche. 2017. Emerald ash borer biocontrol in ash saplings: The potential for </w:t>
      </w:r>
      <w:proofErr w:type="gramStart"/>
      <w:r>
        <w:t>early stage</w:t>
      </w:r>
      <w:proofErr w:type="gramEnd"/>
      <w:r>
        <w:t xml:space="preserve"> recovery of North American ash trees. Forest Ecology and Management 394:64–72.</w:t>
      </w:r>
    </w:p>
    <w:p w14:paraId="18B0A1DB" w14:textId="77777777" w:rsidR="005D0F60" w:rsidRDefault="005D0F60" w:rsidP="005D0F60">
      <w:pPr>
        <w:pStyle w:val="Bibliography"/>
      </w:pPr>
      <w:r>
        <w:t>Duan, J. J., J. R. Gould, N. F. Quinn, T. R. Petrice, B. H. Slager, T. M. Poland, L. S. Bauer, C. E. Rutledge, J. S. Elkinton, and R. G. Van Driesche. 2023. Protection of North American ash against emerald ash borer with biological control: ecological premises and progress toward success. BioControl 68:87–100.</w:t>
      </w:r>
    </w:p>
    <w:p w14:paraId="4B3E028F" w14:textId="77777777" w:rsidR="005D0F60" w:rsidRDefault="005D0F60" w:rsidP="005D0F60">
      <w:pPr>
        <w:pStyle w:val="Bibliography"/>
      </w:pPr>
      <w:r>
        <w:lastRenderedPageBreak/>
        <w:t xml:space="preserve">Duan, J. J., C. B. Oppel, M. D. Ulyshen, L. S. Bauer, and J. LeLito. 2011. Biology and Life History of </w:t>
      </w:r>
      <w:r>
        <w:rPr>
          <w:i/>
          <w:iCs/>
        </w:rPr>
        <w:t>Tetrastichus planipennisi</w:t>
      </w:r>
      <w:r>
        <w:t xml:space="preserve"> (Hymenoptera: Eulophidae), a Larval Endoparasitoid of the Emerald Ash Borer (Coleoptera: Buprestidae). Florida Entomologist 94:933–940.</w:t>
      </w:r>
    </w:p>
    <w:p w14:paraId="24F5040A" w14:textId="77777777" w:rsidR="005D0F60" w:rsidRDefault="005D0F60" w:rsidP="005D0F60">
      <w:pPr>
        <w:pStyle w:val="Bibliography"/>
      </w:pPr>
      <w:r>
        <w:t>Duan, J. J., R. G. Van Driesche, J. M. Schmude, N. F. Quinn, T. R. Petrice, C. E. Rutledge, T. M. Poland, L. S. Bauer, and J. S. Elkinton. 2021. Niche partitioning and coexistence of parasitoids of the same feeding guild introduced for biological control of an invasive forest pest. Biological Control 160:104698.</w:t>
      </w:r>
    </w:p>
    <w:p w14:paraId="66A8B02C" w14:textId="77777777" w:rsidR="005D0F60" w:rsidRDefault="005D0F60" w:rsidP="005D0F60">
      <w:pPr>
        <w:pStyle w:val="Bibliography"/>
      </w:pPr>
      <w:r>
        <w:t>Engelken, P. J., M. E. Benbow, and D. G. McCullough. 2020. Legacy effects of emerald ash borer on riparian forest vegetation and structure. Forest Ecology and Management 457:117684.</w:t>
      </w:r>
    </w:p>
    <w:p w14:paraId="707B7F31" w14:textId="77777777" w:rsidR="005D0F60" w:rsidRDefault="005D0F60" w:rsidP="005D0F60">
      <w:pPr>
        <w:pStyle w:val="Bibliography"/>
      </w:pPr>
      <w:r>
        <w:t xml:space="preserve">Fahrner, S. J., J. P. Lelito, K. Blaedow, G. E. Heimpel, and B. H. Aukema. 2014. Factors Affecting the Flight Capacity of </w:t>
      </w:r>
      <w:r>
        <w:rPr>
          <w:i/>
          <w:iCs/>
        </w:rPr>
        <w:t>Tetrastichus planipennisi</w:t>
      </w:r>
      <w:r>
        <w:t xml:space="preserve"> (Hymenoptera: Eulophidae), a Classical Biological Control Agent of </w:t>
      </w:r>
      <w:r>
        <w:rPr>
          <w:i/>
          <w:iCs/>
        </w:rPr>
        <w:t>Agrilus planipennis</w:t>
      </w:r>
      <w:r>
        <w:t xml:space="preserve"> (Coleoptera: Buprestidae). Environmental Entomology 43:1603–1612.</w:t>
      </w:r>
    </w:p>
    <w:p w14:paraId="4CCB7AA1" w14:textId="77777777" w:rsidR="005D0F60" w:rsidRDefault="005D0F60" w:rsidP="005D0F60">
      <w:pPr>
        <w:pStyle w:val="Bibliography"/>
      </w:pPr>
      <w:r>
        <w:t>Fox, J., and S. Weisberg. 2019. An {R} Companion to Applied Regression. Sage, Thousand Oaks {CA}.</w:t>
      </w:r>
    </w:p>
    <w:p w14:paraId="352C47D5" w14:textId="77777777" w:rsidR="005D0F60" w:rsidRDefault="005D0F60" w:rsidP="005D0F60">
      <w:pPr>
        <w:pStyle w:val="Bibliography"/>
      </w:pPr>
      <w:r>
        <w:t>Gandhi, K. J. K., and D. A. Herms. 2010. Direct and indirect effects of alien insect herbivores on ecological processes and interactions in forests of eastern North America. Biological Invasions 12:389–405.</w:t>
      </w:r>
    </w:p>
    <w:p w14:paraId="7ECC8BF2" w14:textId="77777777" w:rsidR="005D0F60" w:rsidRDefault="005D0F60" w:rsidP="005D0F60">
      <w:pPr>
        <w:pStyle w:val="Bibliography"/>
      </w:pPr>
      <w:r>
        <w:t>Gandhi, K. J. K., A. Smith, D. M. Hartzler, and D. A. Herms. 2014. Indirect Effects of Emerald Ash Borer-Induced Ash Mortality and Canopy Gap Formation on Epigaeic Beetles. Environmental Entomology 43:546–555.</w:t>
      </w:r>
    </w:p>
    <w:p w14:paraId="0821AD64" w14:textId="77777777" w:rsidR="005D0F60" w:rsidRDefault="005D0F60" w:rsidP="005D0F60">
      <w:pPr>
        <w:pStyle w:val="Bibliography"/>
      </w:pPr>
      <w:r>
        <w:t>Golet, F. C., J. A. Allen, U. S. Fish, and W. Service. 1993. Ecology of Red Maple Swamps in the Glaciated Northeast: A Community Profile. U.S. Department of the Interior, Fish and Wildlife Service.</w:t>
      </w:r>
    </w:p>
    <w:p w14:paraId="0F058D27" w14:textId="77777777" w:rsidR="005D0F60" w:rsidRDefault="005D0F60" w:rsidP="005D0F60">
      <w:pPr>
        <w:pStyle w:val="Bibliography"/>
      </w:pPr>
      <w:r>
        <w:t xml:space="preserve">Hartig, F. 2024. </w:t>
      </w:r>
      <w:proofErr w:type="gramStart"/>
      <w:r>
        <w:t>DHARMa</w:t>
      </w:r>
      <w:proofErr w:type="gramEnd"/>
      <w:r>
        <w:t>: Residual Diagnostics for Hierarchical (Multi-Level / Mixed) Regression Models. R.</w:t>
      </w:r>
    </w:p>
    <w:p w14:paraId="6304D101" w14:textId="77777777" w:rsidR="005D0F60" w:rsidRDefault="005D0F60" w:rsidP="005D0F60">
      <w:pPr>
        <w:pStyle w:val="Bibliography"/>
      </w:pPr>
      <w:r>
        <w:t>Hoven, B. M., K. S. Knight, V. E. Peters, and D. L. Gorchov. 2020. Release and suppression: forest layer responses to emerald ash borer (</w:t>
      </w:r>
      <w:r>
        <w:rPr>
          <w:i/>
          <w:iCs/>
        </w:rPr>
        <w:t>Agrilus planipennis</w:t>
      </w:r>
      <w:r>
        <w:t>)-caused ash death. Annals of Forest Science 77:10.</w:t>
      </w:r>
    </w:p>
    <w:p w14:paraId="4AD30A46" w14:textId="77777777" w:rsidR="005D0F60" w:rsidRDefault="005D0F60" w:rsidP="005D0F60">
      <w:pPr>
        <w:pStyle w:val="Bibliography"/>
      </w:pPr>
      <w:r>
        <w:t>Johnson, T. D., J. P. Lelito, and K. F. Raffa. 2014. Responses of two parasitoids, the exotic Spathius agrili Yang and the native Spathius floridanus Ashmead, to volatile cues associated with the emerald ash borer, Agrilus planipennis Fairmaire. Biological Control 79:110–117.</w:t>
      </w:r>
    </w:p>
    <w:p w14:paraId="1D3E0363" w14:textId="77777777" w:rsidR="005D0F60" w:rsidRDefault="005D0F60" w:rsidP="005D0F60">
      <w:pPr>
        <w:pStyle w:val="Bibliography"/>
      </w:pPr>
      <w:r>
        <w:t>Jones, M. I., J. R. Gould, H. J. Mahon, and M. K. Fierke. 2020. Phenology of Emerald Ash Borer (Coleoptera: Buprestidae) and Its Introduced Larval Parasitoids in the Northeastern United States. Journal of Economic Entomology 113:622–632.</w:t>
      </w:r>
    </w:p>
    <w:p w14:paraId="6F14AC47" w14:textId="77777777" w:rsidR="005D0F60" w:rsidRDefault="005D0F60" w:rsidP="005D0F60">
      <w:pPr>
        <w:pStyle w:val="Bibliography"/>
      </w:pPr>
      <w:r>
        <w:lastRenderedPageBreak/>
        <w:t>Jones, M. I., J. R. Gould, M. L. Warden, and M. K. Fierke. 2019. Dispersal of emerald ash borer (Coleoptera: Buprestidae) parasitoids along an ash corridor in western New York. Biological Control 128:94–101.</w:t>
      </w:r>
    </w:p>
    <w:p w14:paraId="07220C4B" w14:textId="77777777" w:rsidR="005D0F60" w:rsidRDefault="005D0F60" w:rsidP="005D0F60">
      <w:pPr>
        <w:pStyle w:val="Bibliography"/>
      </w:pPr>
      <w:r>
        <w:t>Kartesz, J. T. 2015. The Biota of North America Program (BONAP). North American Plant Atlas. (http://bonap.net/napa), Chapel Hill, N.C.</w:t>
      </w:r>
    </w:p>
    <w:p w14:paraId="403E4D52" w14:textId="77777777" w:rsidR="005D0F60" w:rsidRDefault="005D0F60" w:rsidP="005D0F60">
      <w:pPr>
        <w:pStyle w:val="Bibliography"/>
      </w:pPr>
      <w:r>
        <w:t>Kashian, D. M. 2016. Sprouting and seed production may promote persistence of green ash in the presence of the emerald ash borer. Ecosphere 7:e01332.</w:t>
      </w:r>
    </w:p>
    <w:p w14:paraId="312925D8" w14:textId="77777777" w:rsidR="005D0F60" w:rsidRDefault="005D0F60" w:rsidP="005D0F60">
      <w:pPr>
        <w:pStyle w:val="Bibliography"/>
      </w:pPr>
      <w:r>
        <w:t>Kashian, D. M., L. S. Bauer, B. A. Spei, J. J. Duan, and J. R. Gould. 2018. Potential Impacts of Emerald Ash Borer Biocontrol on Ash Health and Recovery in Southern Michigan. Forests 9:296.</w:t>
      </w:r>
    </w:p>
    <w:p w14:paraId="129DAE42" w14:textId="77777777" w:rsidR="005D0F60" w:rsidRDefault="005D0F60" w:rsidP="005D0F60">
      <w:pPr>
        <w:pStyle w:val="Bibliography"/>
      </w:pPr>
      <w:r>
        <w:t>Klooster, W., K. Gandhi, L. Long, K. Perry, K. Rice, and D. Herms. 2018. Ecological Impacts of Emerald Ash Borer in Forests at the Epicenter of the Invasion in North America. Forests 9:250.</w:t>
      </w:r>
    </w:p>
    <w:p w14:paraId="4632C4D6" w14:textId="77777777" w:rsidR="005D0F60" w:rsidRDefault="005D0F60" w:rsidP="005D0F60">
      <w:pPr>
        <w:pStyle w:val="Bibliography"/>
      </w:pPr>
      <w:r>
        <w:t>Klooster, W. S. 2012. Forest Responses to Emerald Ash Borer-Induced Ash Mortality. PhD Thesis, The Ohio State University.</w:t>
      </w:r>
    </w:p>
    <w:p w14:paraId="24B61BB0" w14:textId="77777777" w:rsidR="005D0F60" w:rsidRDefault="005D0F60" w:rsidP="005D0F60">
      <w:pPr>
        <w:pStyle w:val="Bibliography"/>
      </w:pPr>
      <w:r>
        <w:t>Klooster, W. S., D. A. Herms, K. S. Knight, C. P. Herms, D. G. McCullough, A. Smith, K. J. K. Gandhi, and J. Cardina. 2013. Ash (Fraxinus spp.) mortality, regeneration, and seed bank dynamics in mixed hardwood forests following invasion by emerald ash borer (Agrilus planipennis). Biological Invasions 16:859–873.</w:t>
      </w:r>
    </w:p>
    <w:p w14:paraId="7950EF86" w14:textId="77777777" w:rsidR="005D0F60" w:rsidRDefault="005D0F60" w:rsidP="005D0F60">
      <w:pPr>
        <w:pStyle w:val="Bibliography"/>
      </w:pPr>
      <w:r>
        <w:t>Knight, K. S., J. P. Brown, and R. P. Long. 2013. Factors affecting the survival of ash (Fraxinus spp.) trees infested by emerald ash borer (Agrilus planipennis). Biological Invasions 15:371–383.</w:t>
      </w:r>
    </w:p>
    <w:p w14:paraId="3101D78D" w14:textId="77777777" w:rsidR="005D0F60" w:rsidRDefault="005D0F60" w:rsidP="005D0F60">
      <w:pPr>
        <w:pStyle w:val="Bibliography"/>
      </w:pPr>
      <w:r>
        <w:t>Knight, K. S., B. P. Flash, R. H. Kappler, J. A. Throckmorton, B. Grafton, and C. E. Flower. 2014. Monitoring Ash (Fraxinus spp.) Decline and Emerald Ash Borer (Agrilus planipennis) Symptoms in Infested Areas. General Technical Report, U.S. Department of Agriculture, Forest Service, Northern Research Station.</w:t>
      </w:r>
    </w:p>
    <w:p w14:paraId="2EB6F70B" w14:textId="77777777" w:rsidR="005D0F60" w:rsidRDefault="005D0F60" w:rsidP="005D0F60">
      <w:pPr>
        <w:pStyle w:val="Bibliography"/>
      </w:pPr>
      <w:r>
        <w:t>Koch, J. L., D. W. Carey, M. E. Mason, T. M. Poland, and K. S. Knight. 2015. Intraspecific variation in Fraxinus pennsylvanica responses to emerald ash borer (Agrilus planipennis). New Forests 46:995–1011.</w:t>
      </w:r>
    </w:p>
    <w:p w14:paraId="3C302B07" w14:textId="77777777" w:rsidR="005D0F60" w:rsidRDefault="005D0F60" w:rsidP="005D0F60">
      <w:pPr>
        <w:pStyle w:val="Bibliography"/>
      </w:pPr>
      <w:r>
        <w:t>Kolka, R., A. D’Amato, J. Wagenbrenner, R. Slesak, T. Pypker, M. Youngquist, A. Grinde, and B. Palik. 2018. Review of Ecosystem Level Impacts of Emerald Ash Borer on Black Ash Wetlands: What Does the Future Hold? Forests 9:179.</w:t>
      </w:r>
    </w:p>
    <w:p w14:paraId="1EEF70B4" w14:textId="77777777" w:rsidR="005D0F60" w:rsidRDefault="005D0F60" w:rsidP="005D0F60">
      <w:pPr>
        <w:pStyle w:val="Bibliography"/>
      </w:pPr>
      <w:r>
        <w:t>Kost, M. A., and R. P. O’Connor. 2003. Natural Features Inventory and Management Recommendations for Kensington and Oakwoods Metroparks. Michigan Natural Features Inventory, Huron-Clinton Metropolitan Authority.</w:t>
      </w:r>
    </w:p>
    <w:p w14:paraId="62C375F7" w14:textId="77777777" w:rsidR="005D0F60" w:rsidRDefault="005D0F60" w:rsidP="005D0F60">
      <w:pPr>
        <w:pStyle w:val="Bibliography"/>
      </w:pPr>
      <w:r>
        <w:lastRenderedPageBreak/>
        <w:t>Lenth, R. V. 2024. emmeans: Estimated Marginal Means, aka Least-Squares Means. R.</w:t>
      </w:r>
    </w:p>
    <w:p w14:paraId="7F9176FE" w14:textId="77777777" w:rsidR="005D0F60" w:rsidRDefault="005D0F60" w:rsidP="005D0F60">
      <w:pPr>
        <w:pStyle w:val="Bibliography"/>
      </w:pPr>
      <w:r>
        <w:t>Lovett, G. M., C. D. Canham, M. A. Arthur, K. C. Weathers, and R. D. Fitzhugh. 2006. Forest Ecosystem Responses to Exotic Pests and Pathogens in Eastern North America. BioScience 56:395.</w:t>
      </w:r>
    </w:p>
    <w:p w14:paraId="0A8EEE8E" w14:textId="77777777" w:rsidR="005D0F60" w:rsidRDefault="005D0F60" w:rsidP="005D0F60">
      <w:pPr>
        <w:pStyle w:val="Bibliography"/>
      </w:pPr>
      <w:r>
        <w:t>mapBioControl (Midwest Invasive Species Information Network). 2024. .</w:t>
      </w:r>
    </w:p>
    <w:p w14:paraId="28626FDD" w14:textId="77777777" w:rsidR="005D0F60" w:rsidRDefault="005D0F60" w:rsidP="005D0F60">
      <w:pPr>
        <w:pStyle w:val="Bibliography"/>
      </w:pPr>
      <w:r>
        <w:t>McCormick, J. F., and R. B. Platt. 1980. Recovery of an Appalachian Forest Following the Chestnut Blight or Catherine Keever-You Were Right! American Midland Naturalist 104:264.</w:t>
      </w:r>
    </w:p>
    <w:p w14:paraId="636A468D" w14:textId="77777777" w:rsidR="005D0F60" w:rsidRDefault="005D0F60" w:rsidP="005D0F60">
      <w:pPr>
        <w:pStyle w:val="Bibliography"/>
      </w:pPr>
      <w:r>
        <w:t>McCullough, D. G. 2019. Challenges, tactics and integrated management of emerald ash borer in North America. Forestry: An International Journal of Forest Research 93:197–211.</w:t>
      </w:r>
    </w:p>
    <w:p w14:paraId="7F21842F" w14:textId="77777777" w:rsidR="005D0F60" w:rsidRDefault="005D0F60" w:rsidP="005D0F60">
      <w:pPr>
        <w:pStyle w:val="Bibliography"/>
      </w:pPr>
      <w:r>
        <w:t>Mech, A. M., K. A. Thomas, T. D. Marsico, D. A. Herms, C. R. Allen, M. P. Ayres, K. J. K. Gandhi, J. Gurevitch, N. P. Havill, R. A. Hufbauer, A. M. Liebhold, K. F. Raffa, A. N. Schulz, D. R. Uden, and P. C. Tobin. 2019. Evolutionary history predicts high‐impact invasions by herbivorous insects. Ecology and Evolution 9:12216–12230.</w:t>
      </w:r>
    </w:p>
    <w:p w14:paraId="43D8EDAB" w14:textId="77777777" w:rsidR="005D0F60" w:rsidRDefault="005D0F60" w:rsidP="005D0F60">
      <w:pPr>
        <w:pStyle w:val="Bibliography"/>
      </w:pPr>
      <w:r>
        <w:t>Megonigal, J. P., W. H. Conner, S. Kroeger, and R. R. Sharitz. 1997. Aboveground Production in Southeastern Floodplain Forests: A Test of the Subsidy-Stress Hypothesis. Ecology 78:370–384.</w:t>
      </w:r>
    </w:p>
    <w:p w14:paraId="742296DB" w14:textId="77777777" w:rsidR="005D0F60" w:rsidRDefault="005D0F60" w:rsidP="005D0F60">
      <w:pPr>
        <w:pStyle w:val="Bibliography"/>
      </w:pPr>
      <w:r>
        <w:t>Morris, T. D., J. R. Gould, J. Drake, and M. K. Fierke. 2023. Status of ash forests and regeneration a decade after first detection of emerald ash borer infestation in New York state. Forest Ecology and Management 549:121464.</w:t>
      </w:r>
    </w:p>
    <w:p w14:paraId="6E023250" w14:textId="77777777" w:rsidR="005D0F60" w:rsidRDefault="005D0F60" w:rsidP="005D0F60">
      <w:pPr>
        <w:pStyle w:val="Bibliography"/>
      </w:pPr>
      <w:r>
        <w:t>Murphy, T. C., R. G. Van Driesche, J. R. Gould, and J. S. Elkinton. 2017. Can Spathius galinae attack emerald ash borer larvae feeding in large ash trees? Biological Control 114:8–13.</w:t>
      </w:r>
    </w:p>
    <w:p w14:paraId="6551107C" w14:textId="77777777" w:rsidR="005D0F60" w:rsidRDefault="005D0F60" w:rsidP="005D0F60">
      <w:pPr>
        <w:pStyle w:val="Bibliography"/>
      </w:pPr>
      <w:r>
        <w:t>Niinemets, Ü., and F. Valladares. 2006. Tolerance to Shade, Drought, and Waterlogging of Temperate Northern Hemisphere Trees and Shrubs. Ecological Monographs 76:521–547.</w:t>
      </w:r>
    </w:p>
    <w:p w14:paraId="71F254C3" w14:textId="77777777" w:rsidR="005D0F60" w:rsidRDefault="005D0F60" w:rsidP="005D0F60">
      <w:pPr>
        <w:pStyle w:val="Bibliography"/>
      </w:pPr>
      <w:r>
        <w:t>Oksanen, J., G. Simpson, F. Blanchet, Kindt R, Legendre P, Minchin P, O’Hara R, Solymos P, Stevens M, Szoecs E, Wagner H, Barbour M, Bedward M, Bolker B, Borcard D, Carvalho G, Chirico M, De Caceres, M, Durand S, Evangelista H, FitzJohn R, Friendly M, Furneaux B, Hannigan G, Hill M, Lahti L, McGlinn D, Ouellette M, Ribeiro, and Cunha E, Smith T, Stier A, Ter Braak C, Weedon J. 2024. _vegan: Community Ecology Package_. R.</w:t>
      </w:r>
    </w:p>
    <w:p w14:paraId="78AAB65F" w14:textId="77777777" w:rsidR="005D0F60" w:rsidRDefault="005D0F60" w:rsidP="005D0F60">
      <w:pPr>
        <w:pStyle w:val="Bibliography"/>
      </w:pPr>
      <w:r>
        <w:t>Olatinwo, R. O., S. W. Fraedrich, and A. E. Mayfield. 2021. Laurel Wilt: Current and Potential Impacts and Possibilities for Prevention and Management. Forests 12:181.</w:t>
      </w:r>
    </w:p>
    <w:p w14:paraId="48234C54" w14:textId="77777777" w:rsidR="005D0F60" w:rsidRDefault="005D0F60" w:rsidP="005D0F60">
      <w:pPr>
        <w:pStyle w:val="Bibliography"/>
      </w:pPr>
      <w:r>
        <w:lastRenderedPageBreak/>
        <w:t>Oliver, C. D., and B. C. Larson. 1996. Forest stand dynamics. Update ed. Wiley, New York.</w:t>
      </w:r>
    </w:p>
    <w:p w14:paraId="0D340910" w14:textId="77777777" w:rsidR="005D0F60" w:rsidRDefault="005D0F60" w:rsidP="005D0F60">
      <w:pPr>
        <w:pStyle w:val="Bibliography"/>
      </w:pPr>
      <w:r>
        <w:t>Online Phenology and Degree-day Models. 2022. . https://uspest.org/dd/model_app.</w:t>
      </w:r>
    </w:p>
    <w:p w14:paraId="204C566C" w14:textId="77777777" w:rsidR="005D0F60" w:rsidRDefault="005D0F60" w:rsidP="005D0F60">
      <w:pPr>
        <w:pStyle w:val="Bibliography"/>
      </w:pPr>
      <w:r>
        <w:t>Palik, B. J., A. W. D’Amato, R. A. Slesak, D. Kastendick, C. Looney, and J. Kragthorpe. 2021. Eighth-year survival and growth of planted replacement tree species in black ash (Fraxinus nigra) wetlands threatened by emerald ash borer in Minnesota, USA. Forest Ecology and Management 484:118958.</w:t>
      </w:r>
    </w:p>
    <w:p w14:paraId="2B9C3C23" w14:textId="77777777" w:rsidR="005D0F60" w:rsidRDefault="005D0F60" w:rsidP="005D0F60">
      <w:pPr>
        <w:pStyle w:val="Bibliography"/>
      </w:pPr>
      <w:r>
        <w:t>Parsons, G. 2008. Emerald Ash Borer: A guide to identification and comparison to similar species. Michigan State University Department of Entomology.</w:t>
      </w:r>
    </w:p>
    <w:p w14:paraId="23BBC875" w14:textId="77777777" w:rsidR="005D0F60" w:rsidRDefault="005D0F60" w:rsidP="005D0F60">
      <w:pPr>
        <w:pStyle w:val="Bibliography"/>
      </w:pPr>
      <w:r>
        <w:t>Perry, K., and D. Herms. 2019. Dynamic Responses of Ground-Dwelling Invertebrate Communities to Disturbance in Forest Ecosystems. Insects 10:61.</w:t>
      </w:r>
    </w:p>
    <w:p w14:paraId="7605FDC1" w14:textId="77777777" w:rsidR="005D0F60" w:rsidRDefault="005D0F60" w:rsidP="005D0F60">
      <w:pPr>
        <w:pStyle w:val="Bibliography"/>
      </w:pPr>
      <w:r>
        <w:t xml:space="preserve">Petrice, T. R., L. S. Bauer, D. L. Miller, T. M. Poland, and F. W. Ravlin. 2021a. A Phenology Model for Simulating </w:t>
      </w:r>
      <w:r>
        <w:rPr>
          <w:i/>
          <w:iCs/>
        </w:rPr>
        <w:t>Oobius agrili</w:t>
      </w:r>
      <w:r>
        <w:t xml:space="preserve"> (Hymenoptera: Encyrtidae) Seasonal Voltinism and Synchrony </w:t>
      </w:r>
      <w:proofErr w:type="gramStart"/>
      <w:r>
        <w:t>With</w:t>
      </w:r>
      <w:proofErr w:type="gramEnd"/>
      <w:r>
        <w:t xml:space="preserve"> Emerald Ash Borer Oviposition. Environmental Entomology 50:280–292.</w:t>
      </w:r>
    </w:p>
    <w:p w14:paraId="5EE4B95E" w14:textId="77777777" w:rsidR="005D0F60" w:rsidRDefault="005D0F60" w:rsidP="005D0F60">
      <w:pPr>
        <w:pStyle w:val="Bibliography"/>
      </w:pPr>
      <w:r>
        <w:t>Petrice, T. R., L. S. Bauer, D. L. Miller, J. S. Stanovick, T. M. Poland, and F. W. Ravlin. 2021b. Monitoring field establishment of the emerald ash borer biocontrol agent Oobius agrili Zhang and Huang (Hymenoptera: Encyrtidae): Sampling methods, sample size, and phenology. Biological Control 156:104535.</w:t>
      </w:r>
    </w:p>
    <w:p w14:paraId="07A8267D" w14:textId="77777777" w:rsidR="005D0F60" w:rsidRDefault="005D0F60" w:rsidP="005D0F60">
      <w:pPr>
        <w:pStyle w:val="Bibliography"/>
      </w:pPr>
      <w:r>
        <w:t>Quinn, N. F., J. J. Duan, and J. Elkinton. 2022a. Monitoring the impact of introduced emerald ash borer parasitoids: factors affecting Oobius agrili dispersal and parasitization of sentinel host eggs. BioControl 67:387–394.</w:t>
      </w:r>
    </w:p>
    <w:p w14:paraId="58D94CFF" w14:textId="77777777" w:rsidR="005D0F60" w:rsidRDefault="005D0F60" w:rsidP="005D0F60">
      <w:pPr>
        <w:pStyle w:val="Bibliography"/>
      </w:pPr>
      <w:r>
        <w:t>Quinn, N. F., J. S. Gould, C. E. Rutledge, A. Fassler, J. S. Elkinton, and J. J. Duan. 2022b. Spread and phenology of Spathius galinae and Tetrastichus planipennisi, recently introduced for biocontrol of emerald ash borer (Coleoptera: Buprestidae) in the northeastern United States. Biological Control 165:104794.</w:t>
      </w:r>
    </w:p>
    <w:p w14:paraId="236BA655" w14:textId="77777777" w:rsidR="005D0F60" w:rsidRDefault="005D0F60" w:rsidP="005D0F60">
      <w:pPr>
        <w:pStyle w:val="Bibliography"/>
      </w:pPr>
      <w:r>
        <w:t xml:space="preserve">Quinn, N. F., T. R. Petrice, J. M. Schmude, T. M. Poland, L. S. Bauer, C. E. Rutlege, R. G. Van Driesche, J. S. Elkinton, and J. J. Duan. 2023. Postrelease assessment of </w:t>
      </w:r>
      <w:r>
        <w:rPr>
          <w:i/>
          <w:iCs/>
        </w:rPr>
        <w:t>Oobius agrili</w:t>
      </w:r>
      <w:r>
        <w:t xml:space="preserve"> (Hymenoptera: Encyrtidae) establishment and persistence in Michigan and the Northeastern United States. Journal of Economic Entomology 116:1165–1170.</w:t>
      </w:r>
    </w:p>
    <w:p w14:paraId="73D8E098" w14:textId="77777777" w:rsidR="005D0F60" w:rsidRDefault="005D0F60" w:rsidP="005D0F60">
      <w:pPr>
        <w:pStyle w:val="Bibliography"/>
      </w:pPr>
      <w:r>
        <w:t>R Core Team. 2024. R: A Language and Environment for Statistical Computing. R Foundation for Statistical Computing, Vienna, Austria.</w:t>
      </w:r>
    </w:p>
    <w:p w14:paraId="622D1FA0" w14:textId="77777777" w:rsidR="005D0F60" w:rsidRDefault="005D0F60" w:rsidP="005D0F60">
      <w:pPr>
        <w:pStyle w:val="Bibliography"/>
      </w:pPr>
      <w:r>
        <w:t xml:space="preserve">Robinett, M. A., and D. G. McCullough. 2019. White ash ( </w:t>
      </w:r>
      <w:r>
        <w:rPr>
          <w:i/>
          <w:iCs/>
        </w:rPr>
        <w:t>Fraxinus americana</w:t>
      </w:r>
      <w:r>
        <w:t xml:space="preserve"> ) survival in the core of the emerald ash borer ( </w:t>
      </w:r>
      <w:r>
        <w:rPr>
          <w:i/>
          <w:iCs/>
        </w:rPr>
        <w:t>Agrilus planipennis</w:t>
      </w:r>
      <w:r>
        <w:t xml:space="preserve"> ) invasion. Canadian Journal of Forest Research 49:510–520.</w:t>
      </w:r>
    </w:p>
    <w:p w14:paraId="7823396E" w14:textId="77777777" w:rsidR="005D0F60" w:rsidRDefault="005D0F60" w:rsidP="005D0F60">
      <w:pPr>
        <w:pStyle w:val="Bibliography"/>
      </w:pPr>
      <w:r>
        <w:lastRenderedPageBreak/>
        <w:t>Roy, H. E., L.-J. Lawson Handley, K. Schönrogge, R. L. Poland, and B. V. Purse. 2011. Can the enemy release hypothesis explain the success of invasive alien predators and parasitoids? BioControl 56:451–468.</w:t>
      </w:r>
    </w:p>
    <w:p w14:paraId="7A5F17E9" w14:textId="77777777" w:rsidR="005D0F60" w:rsidRDefault="005D0F60" w:rsidP="005D0F60">
      <w:pPr>
        <w:pStyle w:val="Bibliography"/>
      </w:pPr>
      <w:r>
        <w:t>Royo, A. A., and K. S. Knight. 2012. White ash (Fraxinus americana) decline and mortality: The role of site nutrition and stress history. Forest Ecology and Management 286:8–15.</w:t>
      </w:r>
    </w:p>
    <w:p w14:paraId="2D2535AA" w14:textId="77777777" w:rsidR="005D0F60" w:rsidRDefault="005D0F60" w:rsidP="005D0F60">
      <w:pPr>
        <w:pStyle w:val="Bibliography"/>
      </w:pPr>
      <w:r>
        <w:t>Runkle, J. R., and T. C. Yetter. 1987. Treefalls Revisited: Gap Dynamics in the Southern Appalachians. Ecology 68:417–424.</w:t>
      </w:r>
    </w:p>
    <w:p w14:paraId="07888384" w14:textId="77777777" w:rsidR="005D0F60" w:rsidRDefault="005D0F60" w:rsidP="005D0F60">
      <w:pPr>
        <w:pStyle w:val="Bibliography"/>
      </w:pPr>
      <w:r>
        <w:t>Rutledge, C. E., R. G. Van Driesche, and J. J. Duan. 2021. Comparative efficacy of three techniques for monitoring the establishment and spread of larval parasitoids recently introduced for biological control of emerald ash borer, Agrilus planipennis (Coleoptera: Buprestidae). Biological Control 161:104704.</w:t>
      </w:r>
    </w:p>
    <w:p w14:paraId="1B2A20BE" w14:textId="77777777" w:rsidR="005D0F60" w:rsidRDefault="005D0F60" w:rsidP="005D0F60">
      <w:pPr>
        <w:pStyle w:val="Bibliography"/>
      </w:pPr>
      <w:r>
        <w:t>Siegert, N. W., P. J. Engelken, and D. G. McCullough. 2021. Changes in demography and carrying capacity of green ash and black ash ten years after emerald ash borer invasion of two ash-dominant forests. Forest Ecology and Management 494:119335.</w:t>
      </w:r>
    </w:p>
    <w:p w14:paraId="3A36DEEF" w14:textId="77777777" w:rsidR="005D0F60" w:rsidRDefault="005D0F60" w:rsidP="005D0F60">
      <w:pPr>
        <w:pStyle w:val="Bibliography"/>
      </w:pPr>
      <w:r>
        <w:t>Siegert, N. W., D. G. McCullough, T. Luther, L. Benedict, S. Crocker, K. Church, and J. Banks. 2023. Biological invasion threatens keystone species indelibly entwined with Indigenous cultures. Frontiers in Ecology and the Environment 21:310–316.</w:t>
      </w:r>
    </w:p>
    <w:p w14:paraId="66133C5B" w14:textId="77777777" w:rsidR="005D0F60" w:rsidRDefault="005D0F60" w:rsidP="005D0F60">
      <w:pPr>
        <w:pStyle w:val="Bibliography"/>
      </w:pPr>
      <w:r>
        <w:t>Smith, A. 2006. Effects of Community Structure on Forest susceptibility and Response to the Emerald Ash Borer Invasion of the Huron River Watershed in Southeast Michigan. Master’s Thesis, The Ohio State University.</w:t>
      </w:r>
    </w:p>
    <w:p w14:paraId="0AFF5E7B" w14:textId="77777777" w:rsidR="005D0F60" w:rsidRDefault="005D0F60" w:rsidP="005D0F60">
      <w:pPr>
        <w:pStyle w:val="Bibliography"/>
      </w:pPr>
      <w:r>
        <w:t>Telander, A. C., R. A. Slesak, A. W. D’Amato, B. J. Palik, K. N. Brooks, and C. F. Lenhart. 2015. Sap flow of black ash in wetland forests of northern Minnesota, USA: Hydrologic implications of tree mortality due to emerald ash borer. Agricultural and Forest Meteorology 206:4–11.</w:t>
      </w:r>
    </w:p>
    <w:p w14:paraId="01D84BFC" w14:textId="77777777" w:rsidR="005D0F60" w:rsidRDefault="005D0F60" w:rsidP="005D0F60">
      <w:pPr>
        <w:pStyle w:val="Bibliography"/>
      </w:pPr>
      <w:r>
        <w:t xml:space="preserve">Timms, L. L., S. M. Smith, and P. De Groot. 2006. Patterns in the within‐tree distribution of the emerald ash borer </w:t>
      </w:r>
      <w:r>
        <w:rPr>
          <w:i/>
          <w:iCs/>
        </w:rPr>
        <w:t>Agrilus planipennis</w:t>
      </w:r>
      <w:r>
        <w:t xml:space="preserve"> (Fairmaire) in young, green‐ash plantations of south‐western Ontario, Canada. Agricultural and Forest Entomology 8:313–321.</w:t>
      </w:r>
    </w:p>
    <w:p w14:paraId="61E7B7F8" w14:textId="77777777" w:rsidR="005D0F60" w:rsidRDefault="005D0F60" w:rsidP="005D0F60">
      <w:pPr>
        <w:pStyle w:val="Bibliography"/>
      </w:pPr>
      <w:r>
        <w:t>USDA–APHIS. 2025. Emerald ash borer (EAB) known infested counties. https://www.aphis.usda.gov/plant-pests-diseases/eab/eab-infestation-map.</w:t>
      </w:r>
    </w:p>
    <w:p w14:paraId="1189927F" w14:textId="77777777" w:rsidR="005D0F60" w:rsidRDefault="005D0F60" w:rsidP="005D0F60">
      <w:pPr>
        <w:pStyle w:val="Bibliography"/>
      </w:pPr>
      <w:r>
        <w:t>USDA–APHIS/ARS/FS. 2021. Emerald Ash Borer Biological Control Release and Recovery Guidelines. USDA–APHIS–ARS–FS, Riverdale, Maryland.</w:t>
      </w:r>
    </w:p>
    <w:p w14:paraId="65C5BDBE" w14:textId="77777777" w:rsidR="005D0F60" w:rsidRDefault="005D0F60" w:rsidP="005D0F60">
      <w:pPr>
        <w:pStyle w:val="Bibliography"/>
      </w:pPr>
      <w:r>
        <w:lastRenderedPageBreak/>
        <w:t>Van Driesche, R., and R. Reardon. 2016. The Use of Classical Biological Control to Preserve Forests in North America. USDA Forest Service, Morgantown, WV.</w:t>
      </w:r>
    </w:p>
    <w:p w14:paraId="6E0D1749" w14:textId="77777777" w:rsidR="005D0F60" w:rsidRDefault="005D0F60" w:rsidP="005D0F60">
      <w:pPr>
        <w:pStyle w:val="Bibliography"/>
      </w:pPr>
      <w:r>
        <w:t>Venables, W. N., B. D. Ripley, and W. N. Venables. 2002. Modern applied statistics with S. 4th ed. Springer, New York.</w:t>
      </w:r>
    </w:p>
    <w:p w14:paraId="07432FA1" w14:textId="77777777" w:rsidR="005D0F60" w:rsidRDefault="005D0F60" w:rsidP="005D0F60">
      <w:pPr>
        <w:pStyle w:val="Bibliography"/>
      </w:pPr>
      <w:r>
        <w:t>Villari, C., D. A. Herms, J. G. A. Whitehill, D. Cipollini, and P. Bonello. 2016. Progress and gaps in understanding mechanisms of ash tree resistance to emerald ash borer, a model for wood‐boring insects that kill angiosperms. New Phytologist 209:63–79.</w:t>
      </w:r>
    </w:p>
    <w:p w14:paraId="3786DA60" w14:textId="77777777" w:rsidR="005D0F60" w:rsidRDefault="005D0F60" w:rsidP="005D0F60">
      <w:pPr>
        <w:pStyle w:val="Bibliography"/>
      </w:pPr>
      <w:r>
        <w:t>Wagner, D. L., and K. J. Todd. 2015. Chapter 2: Ecological Impacts of Emerald Ash Borer. Page Biology and Control of Emerald Ash Borer. USDA Forest Service.</w:t>
      </w:r>
    </w:p>
    <w:p w14:paraId="4B747921" w14:textId="77777777" w:rsidR="005D0F60" w:rsidRDefault="005D0F60" w:rsidP="005D0F60">
      <w:pPr>
        <w:pStyle w:val="Bibliography"/>
      </w:pPr>
      <w:r>
        <w:t>Ward, S. F., S. Fei, and A. M. Liebhold. 2020. Temporal dynamics and drivers of landscape‐level spread by emerald ash borer. Journal of Applied Ecology 57:1020–1030.</w:t>
      </w:r>
    </w:p>
    <w:p w14:paraId="4E57C22D" w14:textId="77777777" w:rsidR="005D0F60" w:rsidRDefault="005D0F60" w:rsidP="005D0F60">
      <w:pPr>
        <w:pStyle w:val="Bibliography"/>
      </w:pPr>
      <w:r>
        <w:t>Ward, S. F., A. M. Liebhold, R. S. Morin, and S. Fei. 2021. Population dynamics of ash across the eastern USA following invasion by emerald ash borer. Forest Ecology and Management 479:1–8.</w:t>
      </w:r>
    </w:p>
    <w:p w14:paraId="17C1145D" w14:textId="77777777" w:rsidR="005D0F60" w:rsidRDefault="005D0F60" w:rsidP="005D0F60">
      <w:pPr>
        <w:pStyle w:val="Bibliography"/>
      </w:pPr>
      <w:r>
        <w:t>Wilson, C. J., T. R. Petrice, T. M. Poland, and D. G. McCullough. 2024. Tree species richness and ash density have variable effects on emerald ash borer biological control by woodpeckers and parasitoid wasps in post-invasion white ash stands. Environmental Entomology 53:544–560.</w:t>
      </w:r>
    </w:p>
    <w:p w14:paraId="6536E95B" w14:textId="77777777" w:rsidR="005D0F60" w:rsidRDefault="005D0F60" w:rsidP="005D0F60">
      <w:pPr>
        <w:pStyle w:val="Bibliography"/>
      </w:pPr>
      <w:r>
        <w:t>Youngquist, M. B., S. L. Eggert, A. W. D’Amato, B. J. Palik, and R. A. Slesak. 2017. Potential Effects of Foundation Species Loss on Wetland Communities: A Case Study of Black Ash Wetlands Threatened by Emerald Ash Borer. Wetlands 37:787–799.</w:t>
      </w:r>
    </w:p>
    <w:p w14:paraId="06A34365" w14:textId="77777777" w:rsidR="005D0F60" w:rsidRDefault="005D0F60" w:rsidP="005D0F60">
      <w:pPr>
        <w:pStyle w:val="Bibliography"/>
      </w:pPr>
      <w:r>
        <w:t>Zhang, Y.-Z., D.-W. Huang, T.-H. Zho, H.-P. Liu, and L. S. Bauer. 2005. Two new species of egg parasitoids (Hymenoptera: Encyrtidae) of wood-boring beetle pests from China. Phytoparasitica 33:253–260.</w:t>
      </w:r>
    </w:p>
    <w:p w14:paraId="7C23C28D" w14:textId="64AA9FBA" w:rsidR="00712D79" w:rsidRPr="00176C16" w:rsidRDefault="00AD5414">
      <w:pPr>
        <w:rPr>
          <w:rFonts w:eastAsia="Calibri"/>
          <w:kern w:val="0"/>
          <w:sz w:val="24"/>
          <w:szCs w:val="24"/>
          <w14:ligatures w14:val="none"/>
        </w:rPr>
      </w:pPr>
      <w:r w:rsidRPr="00AD5414">
        <w:rPr>
          <w:rFonts w:eastAsia="Calibri"/>
          <w:kern w:val="0"/>
          <w:sz w:val="24"/>
          <w:szCs w:val="24"/>
          <w14:ligatures w14:val="none"/>
        </w:rPr>
        <w:fldChar w:fldCharType="end"/>
      </w:r>
    </w:p>
    <w:sectPr w:rsidR="00712D79" w:rsidRPr="00176C16" w:rsidSect="00AD5414">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erry, Kayla" w:date="2025-11-08T07:51:00Z" w:initials="KP">
    <w:p w14:paraId="2CD5B2A7" w14:textId="77777777" w:rsidR="00AD5414" w:rsidRDefault="00AD5414" w:rsidP="00AD5414">
      <w:pPr>
        <w:pStyle w:val="CommentText1"/>
      </w:pPr>
      <w:r>
        <w:rPr>
          <w:rStyle w:val="CommentReference"/>
        </w:rPr>
        <w:annotationRef/>
      </w:r>
      <w:r>
        <w:t>Technically, since this is your thesis, statements like this should be “I”</w:t>
      </w:r>
    </w:p>
  </w:comment>
  <w:comment w:id="3" w:author="Aaron Tayal" w:date="2025-11-19T19:01:00Z" w:initials="AT">
    <w:p w14:paraId="190E8A30" w14:textId="77777777" w:rsidR="00975566" w:rsidRDefault="00975566" w:rsidP="00975566">
      <w:pPr>
        <w:pStyle w:val="CommentText"/>
      </w:pPr>
      <w:r>
        <w:rPr>
          <w:rStyle w:val="CommentReference"/>
        </w:rPr>
        <w:annotationRef/>
      </w:r>
      <w:r>
        <w:t>How many funnels per trap?</w:t>
      </w:r>
    </w:p>
  </w:comment>
  <w:comment w:id="4" w:author="Aaron Tayal" w:date="2025-03-05T12:08:00Z" w:initials="AT">
    <w:p w14:paraId="1D3387AA" w14:textId="4D48EFD8" w:rsidR="00AD5414" w:rsidRDefault="00AD5414" w:rsidP="00AD5414">
      <w:pPr>
        <w:pStyle w:val="CommentText1"/>
      </w:pPr>
      <w:r>
        <w:rPr>
          <w:rStyle w:val="CommentReference"/>
        </w:rPr>
        <w:annotationRef/>
      </w:r>
      <w:r>
        <w:t>Brand?</w:t>
      </w:r>
    </w:p>
  </w:comment>
  <w:comment w:id="5" w:author="Perry, Kayla" w:date="2025-11-08T08:02:00Z" w:initials="KP">
    <w:p w14:paraId="5CE833D0" w14:textId="77777777" w:rsidR="00AD5414" w:rsidRDefault="00AD5414" w:rsidP="00AD5414">
      <w:pPr>
        <w:pStyle w:val="CommentText1"/>
      </w:pPr>
      <w:r>
        <w:rPr>
          <w:rStyle w:val="CommentReference"/>
        </w:rPr>
        <w:annotationRef/>
      </w:r>
      <w:r>
        <w:t>I wonder if we have any left in the chest freezer. If not, we can ask Mary Mason</w:t>
      </w:r>
    </w:p>
  </w:comment>
  <w:comment w:id="6" w:author="Aaron Tayal" w:date="2025-03-05T12:34:00Z" w:initials="AT">
    <w:p w14:paraId="2EDD8905" w14:textId="09ECC957" w:rsidR="00AD5414" w:rsidRDefault="00AD5414" w:rsidP="00AD5414">
      <w:pPr>
        <w:pStyle w:val="CommentText1"/>
      </w:pPr>
      <w:r>
        <w:rPr>
          <w:rStyle w:val="CommentReference"/>
        </w:rPr>
        <w:annotationRef/>
      </w:r>
      <w:r>
        <w:t>Find brands</w:t>
      </w:r>
    </w:p>
  </w:comment>
  <w:comment w:id="14" w:author="Aaron Tayal" w:date="2025-11-11T22:40:00Z" w:initials="AT">
    <w:p w14:paraId="66EB49AD" w14:textId="77777777" w:rsidR="003B3F84" w:rsidRDefault="003B3F84" w:rsidP="003B3F84">
      <w:pPr>
        <w:pStyle w:val="CommentText"/>
      </w:pPr>
      <w:r>
        <w:rPr>
          <w:rStyle w:val="CommentReference"/>
        </w:rPr>
        <w:annotationRef/>
      </w:r>
      <w:r>
        <w:t>The only reason I’m hesitant to say larger canopy gaps is that Smith 2006 states that the canopy gaps were actually larger for mesic and xeric forests, due to the larger white ash trees. Apparently, the black ash trees were smaller. That’s why I preferred to say multi-tree gaps rather than larger gaps</w:t>
      </w:r>
    </w:p>
  </w:comment>
  <w:comment w:id="15" w:author="Perry, Kayla" w:date="2025-11-08T10:54:00Z" w:initials="KP">
    <w:p w14:paraId="6788DAA5" w14:textId="70C4899F" w:rsidR="00AD5414" w:rsidRDefault="00AD5414" w:rsidP="00AD5414">
      <w:pPr>
        <w:pStyle w:val="CommentText1"/>
      </w:pPr>
      <w:r>
        <w:rPr>
          <w:rStyle w:val="CommentReference"/>
        </w:rPr>
        <w:annotationRef/>
      </w:r>
      <w:r>
        <w:t>Technically, similar information for understory plants is not presented</w:t>
      </w:r>
    </w:p>
  </w:comment>
  <w:comment w:id="16" w:author="Aaron Tayal" w:date="2025-11-11T22:46:00Z" w:initials="AT">
    <w:p w14:paraId="218157E0" w14:textId="77777777" w:rsidR="00D655AB" w:rsidRDefault="00D655AB" w:rsidP="00D655AB">
      <w:pPr>
        <w:pStyle w:val="CommentText"/>
      </w:pPr>
      <w:r>
        <w:rPr>
          <w:rStyle w:val="CommentReference"/>
        </w:rPr>
        <w:annotationRef/>
      </w:r>
      <w:r>
        <w:t>Worth emphasizing that really the natural enemy survey we did was preliminary, and only at one plot at one park</w:t>
      </w:r>
    </w:p>
  </w:comment>
  <w:comment w:id="17" w:author="Perry, Kayla" w:date="2025-11-08T11:08:00Z" w:initials="KP">
    <w:p w14:paraId="0838D392" w14:textId="064F3186" w:rsidR="00AD5414" w:rsidRDefault="00AD5414" w:rsidP="00AD5414">
      <w:pPr>
        <w:pStyle w:val="CommentText1"/>
      </w:pPr>
      <w:r>
        <w:rPr>
          <w:rStyle w:val="CommentReference"/>
        </w:rPr>
        <w:annotationRef/>
      </w:r>
      <w:r>
        <w:t>Don’t forget to check over references for formatting, completeness, etc.</w:t>
      </w:r>
    </w:p>
  </w:comment>
  <w:comment w:id="18" w:author="Perry, Kayla" w:date="2025-11-08T11:09:00Z" w:initials="KP">
    <w:p w14:paraId="07194389" w14:textId="77777777" w:rsidR="00AD5414" w:rsidRDefault="00AD5414" w:rsidP="00AD5414">
      <w:pPr>
        <w:pStyle w:val="CommentText1"/>
      </w:pPr>
      <w:r>
        <w:rPr>
          <w:rStyle w:val="CommentReference"/>
        </w:rPr>
        <w:annotationRef/>
      </w:r>
      <w:r>
        <w:t>Do these need to be double spaced?</w:t>
      </w:r>
    </w:p>
  </w:comment>
  <w:comment w:id="19" w:author="Aaron Tayal" w:date="2025-11-25T19:21:00Z" w:initials="AT">
    <w:p w14:paraId="42A99EEE" w14:textId="77777777" w:rsidR="008C537D" w:rsidRDefault="008C537D" w:rsidP="008C537D">
      <w:pPr>
        <w:pStyle w:val="CommentText"/>
      </w:pPr>
      <w:r>
        <w:rPr>
          <w:rStyle w:val="CommentReference"/>
        </w:rPr>
        <w:annotationRef/>
      </w:r>
      <w:r>
        <w:t>For websites, include weblink and date website was accessed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5B2A7" w15:done="0"/>
  <w15:commentEx w15:paraId="190E8A30" w15:done="0"/>
  <w15:commentEx w15:paraId="1D3387AA" w15:done="0"/>
  <w15:commentEx w15:paraId="5CE833D0" w15:paraIdParent="1D3387AA" w15:done="0"/>
  <w15:commentEx w15:paraId="2EDD8905" w15:done="0"/>
  <w15:commentEx w15:paraId="66EB49AD" w15:done="0"/>
  <w15:commentEx w15:paraId="6788DAA5" w15:done="0"/>
  <w15:commentEx w15:paraId="218157E0" w15:done="0"/>
  <w15:commentEx w15:paraId="0838D392" w15:done="0"/>
  <w15:commentEx w15:paraId="07194389" w15:paraIdParent="0838D392" w15:done="0"/>
  <w15:commentEx w15:paraId="42A99EEE" w15:paraIdParent="0838D3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C54806" w16cex:dateUtc="2025-11-08T12:51:00Z"/>
  <w16cex:commentExtensible w16cex:durableId="41C31E6B" w16cex:dateUtc="2025-11-20T00:01:00Z"/>
  <w16cex:commentExtensible w16cex:durableId="17A2DAAA" w16cex:dateUtc="2025-03-05T17:08:00Z"/>
  <w16cex:commentExtensible w16cex:durableId="3C5E4596" w16cex:dateUtc="2025-11-08T13:02:00Z"/>
  <w16cex:commentExtensible w16cex:durableId="00931AD5" w16cex:dateUtc="2025-03-05T17:34:00Z"/>
  <w16cex:commentExtensible w16cex:durableId="0047275E" w16cex:dateUtc="2025-11-12T03:40:00Z"/>
  <w16cex:commentExtensible w16cex:durableId="7A8DF369" w16cex:dateUtc="2025-11-08T15:54:00Z"/>
  <w16cex:commentExtensible w16cex:durableId="6193C9E7" w16cex:dateUtc="2025-11-12T03:46:00Z"/>
  <w16cex:commentExtensible w16cex:durableId="65571EC5" w16cex:dateUtc="2025-11-08T16:08:00Z"/>
  <w16cex:commentExtensible w16cex:durableId="72B2B853" w16cex:dateUtc="2025-11-08T16:09:00Z"/>
  <w16cex:commentExtensible w16cex:durableId="2AF65A05" w16cex:dateUtc="2025-11-26T0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5B2A7" w16cid:durableId="19C54806"/>
  <w16cid:commentId w16cid:paraId="190E8A30" w16cid:durableId="41C31E6B"/>
  <w16cid:commentId w16cid:paraId="1D3387AA" w16cid:durableId="17A2DAAA"/>
  <w16cid:commentId w16cid:paraId="5CE833D0" w16cid:durableId="3C5E4596"/>
  <w16cid:commentId w16cid:paraId="2EDD8905" w16cid:durableId="00931AD5"/>
  <w16cid:commentId w16cid:paraId="66EB49AD" w16cid:durableId="0047275E"/>
  <w16cid:commentId w16cid:paraId="6788DAA5" w16cid:durableId="7A8DF369"/>
  <w16cid:commentId w16cid:paraId="218157E0" w16cid:durableId="6193C9E7"/>
  <w16cid:commentId w16cid:paraId="0838D392" w16cid:durableId="65571EC5"/>
  <w16cid:commentId w16cid:paraId="07194389" w16cid:durableId="72B2B853"/>
  <w16cid:commentId w16cid:paraId="42A99EEE" w16cid:durableId="2AF65A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B0E"/>
    <w:multiLevelType w:val="hybridMultilevel"/>
    <w:tmpl w:val="6CFEDF80"/>
    <w:lvl w:ilvl="0" w:tplc="E1D0761E">
      <w:start w:val="1"/>
      <w:numFmt w:val="decimal"/>
      <w:lvlText w:val="%1)"/>
      <w:lvlJc w:val="left"/>
      <w:pPr>
        <w:ind w:left="1020" w:hanging="360"/>
      </w:pPr>
    </w:lvl>
    <w:lvl w:ilvl="1" w:tplc="BB60F464">
      <w:start w:val="1"/>
      <w:numFmt w:val="decimal"/>
      <w:lvlText w:val="%2)"/>
      <w:lvlJc w:val="left"/>
      <w:pPr>
        <w:ind w:left="1020" w:hanging="360"/>
      </w:pPr>
    </w:lvl>
    <w:lvl w:ilvl="2" w:tplc="34CE1D98">
      <w:start w:val="1"/>
      <w:numFmt w:val="decimal"/>
      <w:lvlText w:val="%3)"/>
      <w:lvlJc w:val="left"/>
      <w:pPr>
        <w:ind w:left="1020" w:hanging="360"/>
      </w:pPr>
    </w:lvl>
    <w:lvl w:ilvl="3" w:tplc="ADD44F2C">
      <w:start w:val="1"/>
      <w:numFmt w:val="decimal"/>
      <w:lvlText w:val="%4)"/>
      <w:lvlJc w:val="left"/>
      <w:pPr>
        <w:ind w:left="1020" w:hanging="360"/>
      </w:pPr>
    </w:lvl>
    <w:lvl w:ilvl="4" w:tplc="9CCE0126">
      <w:start w:val="1"/>
      <w:numFmt w:val="decimal"/>
      <w:lvlText w:val="%5)"/>
      <w:lvlJc w:val="left"/>
      <w:pPr>
        <w:ind w:left="1020" w:hanging="360"/>
      </w:pPr>
    </w:lvl>
    <w:lvl w:ilvl="5" w:tplc="8EB4FECE">
      <w:start w:val="1"/>
      <w:numFmt w:val="decimal"/>
      <w:lvlText w:val="%6)"/>
      <w:lvlJc w:val="left"/>
      <w:pPr>
        <w:ind w:left="1020" w:hanging="360"/>
      </w:pPr>
    </w:lvl>
    <w:lvl w:ilvl="6" w:tplc="F0467506">
      <w:start w:val="1"/>
      <w:numFmt w:val="decimal"/>
      <w:lvlText w:val="%7)"/>
      <w:lvlJc w:val="left"/>
      <w:pPr>
        <w:ind w:left="1020" w:hanging="360"/>
      </w:pPr>
    </w:lvl>
    <w:lvl w:ilvl="7" w:tplc="E55EDF7E">
      <w:start w:val="1"/>
      <w:numFmt w:val="decimal"/>
      <w:lvlText w:val="%8)"/>
      <w:lvlJc w:val="left"/>
      <w:pPr>
        <w:ind w:left="1020" w:hanging="360"/>
      </w:pPr>
    </w:lvl>
    <w:lvl w:ilvl="8" w:tplc="98FECBDE">
      <w:start w:val="1"/>
      <w:numFmt w:val="decimal"/>
      <w:lvlText w:val="%9)"/>
      <w:lvlJc w:val="left"/>
      <w:pPr>
        <w:ind w:left="1020" w:hanging="360"/>
      </w:pPr>
    </w:lvl>
  </w:abstractNum>
  <w:abstractNum w:abstractNumId="1" w15:restartNumberingAfterBreak="0">
    <w:nsid w:val="044902F2"/>
    <w:multiLevelType w:val="multilevel"/>
    <w:tmpl w:val="9BA80432"/>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70329E2"/>
    <w:multiLevelType w:val="multilevel"/>
    <w:tmpl w:val="0F5A72D8"/>
    <w:lvl w:ilvl="0">
      <w:start w:val="1"/>
      <w:numFmt w:val="decimal"/>
      <w:suff w:val="nothing"/>
      <w:lvlText w:val="Chapter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79B6921"/>
    <w:multiLevelType w:val="multilevel"/>
    <w:tmpl w:val="0A4A36A8"/>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EF045DB"/>
    <w:multiLevelType w:val="hybridMultilevel"/>
    <w:tmpl w:val="638665B2"/>
    <w:lvl w:ilvl="0" w:tplc="BD4CAE58">
      <w:start w:val="1"/>
      <w:numFmt w:val="bullet"/>
      <w:lvlText w:val="•"/>
      <w:lvlJc w:val="left"/>
      <w:pPr>
        <w:tabs>
          <w:tab w:val="num" w:pos="720"/>
        </w:tabs>
        <w:ind w:left="720" w:hanging="360"/>
      </w:pPr>
      <w:rPr>
        <w:rFonts w:ascii="Arial" w:hAnsi="Arial" w:hint="default"/>
      </w:rPr>
    </w:lvl>
    <w:lvl w:ilvl="1" w:tplc="ECA6500A" w:tentative="1">
      <w:start w:val="1"/>
      <w:numFmt w:val="bullet"/>
      <w:lvlText w:val="•"/>
      <w:lvlJc w:val="left"/>
      <w:pPr>
        <w:tabs>
          <w:tab w:val="num" w:pos="1440"/>
        </w:tabs>
        <w:ind w:left="1440" w:hanging="360"/>
      </w:pPr>
      <w:rPr>
        <w:rFonts w:ascii="Arial" w:hAnsi="Arial" w:hint="default"/>
      </w:rPr>
    </w:lvl>
    <w:lvl w:ilvl="2" w:tplc="088C660A" w:tentative="1">
      <w:start w:val="1"/>
      <w:numFmt w:val="bullet"/>
      <w:lvlText w:val="•"/>
      <w:lvlJc w:val="left"/>
      <w:pPr>
        <w:tabs>
          <w:tab w:val="num" w:pos="2160"/>
        </w:tabs>
        <w:ind w:left="2160" w:hanging="360"/>
      </w:pPr>
      <w:rPr>
        <w:rFonts w:ascii="Arial" w:hAnsi="Arial" w:hint="default"/>
      </w:rPr>
    </w:lvl>
    <w:lvl w:ilvl="3" w:tplc="F6E45202" w:tentative="1">
      <w:start w:val="1"/>
      <w:numFmt w:val="bullet"/>
      <w:lvlText w:val="•"/>
      <w:lvlJc w:val="left"/>
      <w:pPr>
        <w:tabs>
          <w:tab w:val="num" w:pos="2880"/>
        </w:tabs>
        <w:ind w:left="2880" w:hanging="360"/>
      </w:pPr>
      <w:rPr>
        <w:rFonts w:ascii="Arial" w:hAnsi="Arial" w:hint="default"/>
      </w:rPr>
    </w:lvl>
    <w:lvl w:ilvl="4" w:tplc="855C80B8" w:tentative="1">
      <w:start w:val="1"/>
      <w:numFmt w:val="bullet"/>
      <w:lvlText w:val="•"/>
      <w:lvlJc w:val="left"/>
      <w:pPr>
        <w:tabs>
          <w:tab w:val="num" w:pos="3600"/>
        </w:tabs>
        <w:ind w:left="3600" w:hanging="360"/>
      </w:pPr>
      <w:rPr>
        <w:rFonts w:ascii="Arial" w:hAnsi="Arial" w:hint="default"/>
      </w:rPr>
    </w:lvl>
    <w:lvl w:ilvl="5" w:tplc="A70883B8" w:tentative="1">
      <w:start w:val="1"/>
      <w:numFmt w:val="bullet"/>
      <w:lvlText w:val="•"/>
      <w:lvlJc w:val="left"/>
      <w:pPr>
        <w:tabs>
          <w:tab w:val="num" w:pos="4320"/>
        </w:tabs>
        <w:ind w:left="4320" w:hanging="360"/>
      </w:pPr>
      <w:rPr>
        <w:rFonts w:ascii="Arial" w:hAnsi="Arial" w:hint="default"/>
      </w:rPr>
    </w:lvl>
    <w:lvl w:ilvl="6" w:tplc="94BEAFF6" w:tentative="1">
      <w:start w:val="1"/>
      <w:numFmt w:val="bullet"/>
      <w:lvlText w:val="•"/>
      <w:lvlJc w:val="left"/>
      <w:pPr>
        <w:tabs>
          <w:tab w:val="num" w:pos="5040"/>
        </w:tabs>
        <w:ind w:left="5040" w:hanging="360"/>
      </w:pPr>
      <w:rPr>
        <w:rFonts w:ascii="Arial" w:hAnsi="Arial" w:hint="default"/>
      </w:rPr>
    </w:lvl>
    <w:lvl w:ilvl="7" w:tplc="1714D3CE" w:tentative="1">
      <w:start w:val="1"/>
      <w:numFmt w:val="bullet"/>
      <w:lvlText w:val="•"/>
      <w:lvlJc w:val="left"/>
      <w:pPr>
        <w:tabs>
          <w:tab w:val="num" w:pos="5760"/>
        </w:tabs>
        <w:ind w:left="5760" w:hanging="360"/>
      </w:pPr>
      <w:rPr>
        <w:rFonts w:ascii="Arial" w:hAnsi="Arial" w:hint="default"/>
      </w:rPr>
    </w:lvl>
    <w:lvl w:ilvl="8" w:tplc="FD16C98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E46742"/>
    <w:multiLevelType w:val="hybridMultilevel"/>
    <w:tmpl w:val="92BCA6E6"/>
    <w:lvl w:ilvl="0" w:tplc="558E7896">
      <w:start w:val="1"/>
      <w:numFmt w:val="decimal"/>
      <w:lvlText w:val="%1)"/>
      <w:lvlJc w:val="left"/>
      <w:pPr>
        <w:ind w:left="1020" w:hanging="360"/>
      </w:pPr>
    </w:lvl>
    <w:lvl w:ilvl="1" w:tplc="78B4F5FC">
      <w:start w:val="1"/>
      <w:numFmt w:val="decimal"/>
      <w:lvlText w:val="%2)"/>
      <w:lvlJc w:val="left"/>
      <w:pPr>
        <w:ind w:left="1020" w:hanging="360"/>
      </w:pPr>
    </w:lvl>
    <w:lvl w:ilvl="2" w:tplc="5B8682DA">
      <w:start w:val="1"/>
      <w:numFmt w:val="decimal"/>
      <w:lvlText w:val="%3)"/>
      <w:lvlJc w:val="left"/>
      <w:pPr>
        <w:ind w:left="1020" w:hanging="360"/>
      </w:pPr>
    </w:lvl>
    <w:lvl w:ilvl="3" w:tplc="8C426A40">
      <w:start w:val="1"/>
      <w:numFmt w:val="decimal"/>
      <w:lvlText w:val="%4)"/>
      <w:lvlJc w:val="left"/>
      <w:pPr>
        <w:ind w:left="1020" w:hanging="360"/>
      </w:pPr>
    </w:lvl>
    <w:lvl w:ilvl="4" w:tplc="72801CFC">
      <w:start w:val="1"/>
      <w:numFmt w:val="decimal"/>
      <w:lvlText w:val="%5)"/>
      <w:lvlJc w:val="left"/>
      <w:pPr>
        <w:ind w:left="1020" w:hanging="360"/>
      </w:pPr>
    </w:lvl>
    <w:lvl w:ilvl="5" w:tplc="70303FD0">
      <w:start w:val="1"/>
      <w:numFmt w:val="decimal"/>
      <w:lvlText w:val="%6)"/>
      <w:lvlJc w:val="left"/>
      <w:pPr>
        <w:ind w:left="1020" w:hanging="360"/>
      </w:pPr>
    </w:lvl>
    <w:lvl w:ilvl="6" w:tplc="99DAE4CE">
      <w:start w:val="1"/>
      <w:numFmt w:val="decimal"/>
      <w:lvlText w:val="%7)"/>
      <w:lvlJc w:val="left"/>
      <w:pPr>
        <w:ind w:left="1020" w:hanging="360"/>
      </w:pPr>
    </w:lvl>
    <w:lvl w:ilvl="7" w:tplc="6F1AD940">
      <w:start w:val="1"/>
      <w:numFmt w:val="decimal"/>
      <w:lvlText w:val="%8)"/>
      <w:lvlJc w:val="left"/>
      <w:pPr>
        <w:ind w:left="1020" w:hanging="360"/>
      </w:pPr>
    </w:lvl>
    <w:lvl w:ilvl="8" w:tplc="07A8FCB2">
      <w:start w:val="1"/>
      <w:numFmt w:val="decimal"/>
      <w:lvlText w:val="%9)"/>
      <w:lvlJc w:val="left"/>
      <w:pPr>
        <w:ind w:left="1020" w:hanging="360"/>
      </w:pPr>
    </w:lvl>
  </w:abstractNum>
  <w:abstractNum w:abstractNumId="6" w15:restartNumberingAfterBreak="0">
    <w:nsid w:val="51322511"/>
    <w:multiLevelType w:val="hybridMultilevel"/>
    <w:tmpl w:val="5DECB746"/>
    <w:lvl w:ilvl="0" w:tplc="9ABE0560">
      <w:start w:val="1"/>
      <w:numFmt w:val="decimal"/>
      <w:lvlText w:val="%1)"/>
      <w:lvlJc w:val="left"/>
      <w:pPr>
        <w:ind w:left="1020" w:hanging="360"/>
      </w:pPr>
    </w:lvl>
    <w:lvl w:ilvl="1" w:tplc="8E26BD5C">
      <w:start w:val="1"/>
      <w:numFmt w:val="decimal"/>
      <w:lvlText w:val="%2)"/>
      <w:lvlJc w:val="left"/>
      <w:pPr>
        <w:ind w:left="1020" w:hanging="360"/>
      </w:pPr>
    </w:lvl>
    <w:lvl w:ilvl="2" w:tplc="17EC0E80">
      <w:start w:val="1"/>
      <w:numFmt w:val="decimal"/>
      <w:lvlText w:val="%3)"/>
      <w:lvlJc w:val="left"/>
      <w:pPr>
        <w:ind w:left="1020" w:hanging="360"/>
      </w:pPr>
    </w:lvl>
    <w:lvl w:ilvl="3" w:tplc="C23287E2">
      <w:start w:val="1"/>
      <w:numFmt w:val="decimal"/>
      <w:lvlText w:val="%4)"/>
      <w:lvlJc w:val="left"/>
      <w:pPr>
        <w:ind w:left="1020" w:hanging="360"/>
      </w:pPr>
    </w:lvl>
    <w:lvl w:ilvl="4" w:tplc="84E82C58">
      <w:start w:val="1"/>
      <w:numFmt w:val="decimal"/>
      <w:lvlText w:val="%5)"/>
      <w:lvlJc w:val="left"/>
      <w:pPr>
        <w:ind w:left="1020" w:hanging="360"/>
      </w:pPr>
    </w:lvl>
    <w:lvl w:ilvl="5" w:tplc="98B0FF28">
      <w:start w:val="1"/>
      <w:numFmt w:val="decimal"/>
      <w:lvlText w:val="%6)"/>
      <w:lvlJc w:val="left"/>
      <w:pPr>
        <w:ind w:left="1020" w:hanging="360"/>
      </w:pPr>
    </w:lvl>
    <w:lvl w:ilvl="6" w:tplc="3D40390A">
      <w:start w:val="1"/>
      <w:numFmt w:val="decimal"/>
      <w:lvlText w:val="%7)"/>
      <w:lvlJc w:val="left"/>
      <w:pPr>
        <w:ind w:left="1020" w:hanging="360"/>
      </w:pPr>
    </w:lvl>
    <w:lvl w:ilvl="7" w:tplc="BE7E74C2">
      <w:start w:val="1"/>
      <w:numFmt w:val="decimal"/>
      <w:lvlText w:val="%8)"/>
      <w:lvlJc w:val="left"/>
      <w:pPr>
        <w:ind w:left="1020" w:hanging="360"/>
      </w:pPr>
    </w:lvl>
    <w:lvl w:ilvl="8" w:tplc="D7046B04">
      <w:start w:val="1"/>
      <w:numFmt w:val="decimal"/>
      <w:lvlText w:val="%9)"/>
      <w:lvlJc w:val="left"/>
      <w:pPr>
        <w:ind w:left="1020" w:hanging="360"/>
      </w:pPr>
    </w:lvl>
  </w:abstractNum>
  <w:abstractNum w:abstractNumId="7" w15:restartNumberingAfterBreak="0">
    <w:nsid w:val="5B7E3D0F"/>
    <w:multiLevelType w:val="hybridMultilevel"/>
    <w:tmpl w:val="63005168"/>
    <w:lvl w:ilvl="0" w:tplc="83B2E1AE">
      <w:start w:val="1"/>
      <w:numFmt w:val="decimal"/>
      <w:lvlText w:val="%1)"/>
      <w:lvlJc w:val="left"/>
      <w:pPr>
        <w:ind w:left="1020" w:hanging="360"/>
      </w:pPr>
    </w:lvl>
    <w:lvl w:ilvl="1" w:tplc="71425684">
      <w:start w:val="1"/>
      <w:numFmt w:val="decimal"/>
      <w:lvlText w:val="%2)"/>
      <w:lvlJc w:val="left"/>
      <w:pPr>
        <w:ind w:left="1020" w:hanging="360"/>
      </w:pPr>
    </w:lvl>
    <w:lvl w:ilvl="2" w:tplc="5A700BC2">
      <w:start w:val="1"/>
      <w:numFmt w:val="decimal"/>
      <w:lvlText w:val="%3)"/>
      <w:lvlJc w:val="left"/>
      <w:pPr>
        <w:ind w:left="1020" w:hanging="360"/>
      </w:pPr>
    </w:lvl>
    <w:lvl w:ilvl="3" w:tplc="5E42824A">
      <w:start w:val="1"/>
      <w:numFmt w:val="decimal"/>
      <w:lvlText w:val="%4)"/>
      <w:lvlJc w:val="left"/>
      <w:pPr>
        <w:ind w:left="1020" w:hanging="360"/>
      </w:pPr>
    </w:lvl>
    <w:lvl w:ilvl="4" w:tplc="F4FC0386">
      <w:start w:val="1"/>
      <w:numFmt w:val="decimal"/>
      <w:lvlText w:val="%5)"/>
      <w:lvlJc w:val="left"/>
      <w:pPr>
        <w:ind w:left="1020" w:hanging="360"/>
      </w:pPr>
    </w:lvl>
    <w:lvl w:ilvl="5" w:tplc="A948A0C4">
      <w:start w:val="1"/>
      <w:numFmt w:val="decimal"/>
      <w:lvlText w:val="%6)"/>
      <w:lvlJc w:val="left"/>
      <w:pPr>
        <w:ind w:left="1020" w:hanging="360"/>
      </w:pPr>
    </w:lvl>
    <w:lvl w:ilvl="6" w:tplc="1284B420">
      <w:start w:val="1"/>
      <w:numFmt w:val="decimal"/>
      <w:lvlText w:val="%7)"/>
      <w:lvlJc w:val="left"/>
      <w:pPr>
        <w:ind w:left="1020" w:hanging="360"/>
      </w:pPr>
    </w:lvl>
    <w:lvl w:ilvl="7" w:tplc="D0D653A4">
      <w:start w:val="1"/>
      <w:numFmt w:val="decimal"/>
      <w:lvlText w:val="%8)"/>
      <w:lvlJc w:val="left"/>
      <w:pPr>
        <w:ind w:left="1020" w:hanging="360"/>
      </w:pPr>
    </w:lvl>
    <w:lvl w:ilvl="8" w:tplc="2E9A2DEE">
      <w:start w:val="1"/>
      <w:numFmt w:val="decimal"/>
      <w:lvlText w:val="%9)"/>
      <w:lvlJc w:val="left"/>
      <w:pPr>
        <w:ind w:left="1020" w:hanging="360"/>
      </w:pPr>
    </w:lvl>
  </w:abstractNum>
  <w:abstractNum w:abstractNumId="8" w15:restartNumberingAfterBreak="0">
    <w:nsid w:val="648920CB"/>
    <w:multiLevelType w:val="hybridMultilevel"/>
    <w:tmpl w:val="8D405200"/>
    <w:lvl w:ilvl="0" w:tplc="6016B008">
      <w:start w:val="1"/>
      <w:numFmt w:val="decimal"/>
      <w:lvlText w:val="%1)"/>
      <w:lvlJc w:val="left"/>
      <w:pPr>
        <w:ind w:left="1020" w:hanging="360"/>
      </w:pPr>
    </w:lvl>
    <w:lvl w:ilvl="1" w:tplc="94EEE694">
      <w:start w:val="1"/>
      <w:numFmt w:val="decimal"/>
      <w:lvlText w:val="%2)"/>
      <w:lvlJc w:val="left"/>
      <w:pPr>
        <w:ind w:left="1020" w:hanging="360"/>
      </w:pPr>
    </w:lvl>
    <w:lvl w:ilvl="2" w:tplc="3E18AA2C">
      <w:start w:val="1"/>
      <w:numFmt w:val="decimal"/>
      <w:lvlText w:val="%3)"/>
      <w:lvlJc w:val="left"/>
      <w:pPr>
        <w:ind w:left="1020" w:hanging="360"/>
      </w:pPr>
    </w:lvl>
    <w:lvl w:ilvl="3" w:tplc="E8D27280">
      <w:start w:val="1"/>
      <w:numFmt w:val="decimal"/>
      <w:lvlText w:val="%4)"/>
      <w:lvlJc w:val="left"/>
      <w:pPr>
        <w:ind w:left="1020" w:hanging="360"/>
      </w:pPr>
    </w:lvl>
    <w:lvl w:ilvl="4" w:tplc="224E7F3C">
      <w:start w:val="1"/>
      <w:numFmt w:val="decimal"/>
      <w:lvlText w:val="%5)"/>
      <w:lvlJc w:val="left"/>
      <w:pPr>
        <w:ind w:left="1020" w:hanging="360"/>
      </w:pPr>
    </w:lvl>
    <w:lvl w:ilvl="5" w:tplc="87B6EDF6">
      <w:start w:val="1"/>
      <w:numFmt w:val="decimal"/>
      <w:lvlText w:val="%6)"/>
      <w:lvlJc w:val="left"/>
      <w:pPr>
        <w:ind w:left="1020" w:hanging="360"/>
      </w:pPr>
    </w:lvl>
    <w:lvl w:ilvl="6" w:tplc="B53C490A">
      <w:start w:val="1"/>
      <w:numFmt w:val="decimal"/>
      <w:lvlText w:val="%7)"/>
      <w:lvlJc w:val="left"/>
      <w:pPr>
        <w:ind w:left="1020" w:hanging="360"/>
      </w:pPr>
    </w:lvl>
    <w:lvl w:ilvl="7" w:tplc="7026F352">
      <w:start w:val="1"/>
      <w:numFmt w:val="decimal"/>
      <w:lvlText w:val="%8)"/>
      <w:lvlJc w:val="left"/>
      <w:pPr>
        <w:ind w:left="1020" w:hanging="360"/>
      </w:pPr>
    </w:lvl>
    <w:lvl w:ilvl="8" w:tplc="2ABAA40E">
      <w:start w:val="1"/>
      <w:numFmt w:val="decimal"/>
      <w:lvlText w:val="%9)"/>
      <w:lvlJc w:val="left"/>
      <w:pPr>
        <w:ind w:left="1020" w:hanging="360"/>
      </w:pPr>
    </w:lvl>
  </w:abstractNum>
  <w:abstractNum w:abstractNumId="9" w15:restartNumberingAfterBreak="0">
    <w:nsid w:val="67422568"/>
    <w:multiLevelType w:val="hybridMultilevel"/>
    <w:tmpl w:val="705269B0"/>
    <w:lvl w:ilvl="0" w:tplc="1324A60C">
      <w:start w:val="1"/>
      <w:numFmt w:val="decimal"/>
      <w:lvlText w:val="%1)"/>
      <w:lvlJc w:val="left"/>
      <w:pPr>
        <w:ind w:left="1020" w:hanging="360"/>
      </w:pPr>
    </w:lvl>
    <w:lvl w:ilvl="1" w:tplc="A74800D0">
      <w:start w:val="1"/>
      <w:numFmt w:val="decimal"/>
      <w:lvlText w:val="%2)"/>
      <w:lvlJc w:val="left"/>
      <w:pPr>
        <w:ind w:left="1020" w:hanging="360"/>
      </w:pPr>
    </w:lvl>
    <w:lvl w:ilvl="2" w:tplc="A120D014">
      <w:start w:val="1"/>
      <w:numFmt w:val="decimal"/>
      <w:lvlText w:val="%3)"/>
      <w:lvlJc w:val="left"/>
      <w:pPr>
        <w:ind w:left="1020" w:hanging="360"/>
      </w:pPr>
    </w:lvl>
    <w:lvl w:ilvl="3" w:tplc="309ADDE8">
      <w:start w:val="1"/>
      <w:numFmt w:val="decimal"/>
      <w:lvlText w:val="%4)"/>
      <w:lvlJc w:val="left"/>
      <w:pPr>
        <w:ind w:left="1020" w:hanging="360"/>
      </w:pPr>
    </w:lvl>
    <w:lvl w:ilvl="4" w:tplc="B044D128">
      <w:start w:val="1"/>
      <w:numFmt w:val="decimal"/>
      <w:lvlText w:val="%5)"/>
      <w:lvlJc w:val="left"/>
      <w:pPr>
        <w:ind w:left="1020" w:hanging="360"/>
      </w:pPr>
    </w:lvl>
    <w:lvl w:ilvl="5" w:tplc="7152B3D4">
      <w:start w:val="1"/>
      <w:numFmt w:val="decimal"/>
      <w:lvlText w:val="%6)"/>
      <w:lvlJc w:val="left"/>
      <w:pPr>
        <w:ind w:left="1020" w:hanging="360"/>
      </w:pPr>
    </w:lvl>
    <w:lvl w:ilvl="6" w:tplc="389037B2">
      <w:start w:val="1"/>
      <w:numFmt w:val="decimal"/>
      <w:lvlText w:val="%7)"/>
      <w:lvlJc w:val="left"/>
      <w:pPr>
        <w:ind w:left="1020" w:hanging="360"/>
      </w:pPr>
    </w:lvl>
    <w:lvl w:ilvl="7" w:tplc="07CA0ACC">
      <w:start w:val="1"/>
      <w:numFmt w:val="decimal"/>
      <w:lvlText w:val="%8)"/>
      <w:lvlJc w:val="left"/>
      <w:pPr>
        <w:ind w:left="1020" w:hanging="360"/>
      </w:pPr>
    </w:lvl>
    <w:lvl w:ilvl="8" w:tplc="B7D85214">
      <w:start w:val="1"/>
      <w:numFmt w:val="decimal"/>
      <w:lvlText w:val="%9)"/>
      <w:lvlJc w:val="left"/>
      <w:pPr>
        <w:ind w:left="1020" w:hanging="360"/>
      </w:pPr>
    </w:lvl>
  </w:abstractNum>
  <w:abstractNum w:abstractNumId="10" w15:restartNumberingAfterBreak="0">
    <w:nsid w:val="69F238B7"/>
    <w:multiLevelType w:val="hybridMultilevel"/>
    <w:tmpl w:val="ECD44662"/>
    <w:lvl w:ilvl="0" w:tplc="8DF68F9A">
      <w:start w:val="1"/>
      <w:numFmt w:val="decimal"/>
      <w:lvlText w:val="%1)"/>
      <w:lvlJc w:val="left"/>
      <w:pPr>
        <w:ind w:left="1020" w:hanging="360"/>
      </w:pPr>
    </w:lvl>
    <w:lvl w:ilvl="1" w:tplc="A508C702">
      <w:start w:val="1"/>
      <w:numFmt w:val="decimal"/>
      <w:lvlText w:val="%2)"/>
      <w:lvlJc w:val="left"/>
      <w:pPr>
        <w:ind w:left="1020" w:hanging="360"/>
      </w:pPr>
    </w:lvl>
    <w:lvl w:ilvl="2" w:tplc="13E21428">
      <w:start w:val="1"/>
      <w:numFmt w:val="decimal"/>
      <w:lvlText w:val="%3)"/>
      <w:lvlJc w:val="left"/>
      <w:pPr>
        <w:ind w:left="1020" w:hanging="360"/>
      </w:pPr>
    </w:lvl>
    <w:lvl w:ilvl="3" w:tplc="A2F050B6">
      <w:start w:val="1"/>
      <w:numFmt w:val="decimal"/>
      <w:lvlText w:val="%4)"/>
      <w:lvlJc w:val="left"/>
      <w:pPr>
        <w:ind w:left="1020" w:hanging="360"/>
      </w:pPr>
    </w:lvl>
    <w:lvl w:ilvl="4" w:tplc="D4D44808">
      <w:start w:val="1"/>
      <w:numFmt w:val="decimal"/>
      <w:lvlText w:val="%5)"/>
      <w:lvlJc w:val="left"/>
      <w:pPr>
        <w:ind w:left="1020" w:hanging="360"/>
      </w:pPr>
    </w:lvl>
    <w:lvl w:ilvl="5" w:tplc="BCE422CA">
      <w:start w:val="1"/>
      <w:numFmt w:val="decimal"/>
      <w:lvlText w:val="%6)"/>
      <w:lvlJc w:val="left"/>
      <w:pPr>
        <w:ind w:left="1020" w:hanging="360"/>
      </w:pPr>
    </w:lvl>
    <w:lvl w:ilvl="6" w:tplc="128A8156">
      <w:start w:val="1"/>
      <w:numFmt w:val="decimal"/>
      <w:lvlText w:val="%7)"/>
      <w:lvlJc w:val="left"/>
      <w:pPr>
        <w:ind w:left="1020" w:hanging="360"/>
      </w:pPr>
    </w:lvl>
    <w:lvl w:ilvl="7" w:tplc="45566F90">
      <w:start w:val="1"/>
      <w:numFmt w:val="decimal"/>
      <w:lvlText w:val="%8)"/>
      <w:lvlJc w:val="left"/>
      <w:pPr>
        <w:ind w:left="1020" w:hanging="360"/>
      </w:pPr>
    </w:lvl>
    <w:lvl w:ilvl="8" w:tplc="584252F2">
      <w:start w:val="1"/>
      <w:numFmt w:val="decimal"/>
      <w:lvlText w:val="%9)"/>
      <w:lvlJc w:val="left"/>
      <w:pPr>
        <w:ind w:left="1020" w:hanging="360"/>
      </w:pPr>
    </w:lvl>
  </w:abstractNum>
  <w:num w:numId="1" w16cid:durableId="1795899760">
    <w:abstractNumId w:val="4"/>
  </w:num>
  <w:num w:numId="2" w16cid:durableId="783236092">
    <w:abstractNumId w:val="7"/>
  </w:num>
  <w:num w:numId="3" w16cid:durableId="1531727158">
    <w:abstractNumId w:val="0"/>
  </w:num>
  <w:num w:numId="4" w16cid:durableId="1849127217">
    <w:abstractNumId w:val="5"/>
  </w:num>
  <w:num w:numId="5" w16cid:durableId="1874725974">
    <w:abstractNumId w:val="6"/>
  </w:num>
  <w:num w:numId="6" w16cid:durableId="740296215">
    <w:abstractNumId w:val="8"/>
  </w:num>
  <w:num w:numId="7" w16cid:durableId="1186359295">
    <w:abstractNumId w:val="10"/>
  </w:num>
  <w:num w:numId="8" w16cid:durableId="815991786">
    <w:abstractNumId w:val="9"/>
  </w:num>
  <w:num w:numId="9" w16cid:durableId="1326668286">
    <w:abstractNumId w:val="3"/>
  </w:num>
  <w:num w:numId="10" w16cid:durableId="1548183837">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05308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146681">
    <w:abstractNumId w:val="1"/>
  </w:num>
  <w:num w:numId="13" w16cid:durableId="424690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96989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ry, Kayla">
    <w15:presenceInfo w15:providerId="AD" w15:userId="S::perry.1864@osu.edu::abdcef40-c999-4136-8b23-bb8d2cd56ae7"/>
  </w15:person>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80"/>
    <w:rsid w:val="00000AB4"/>
    <w:rsid w:val="00003A2F"/>
    <w:rsid w:val="000050E1"/>
    <w:rsid w:val="00013018"/>
    <w:rsid w:val="00044F3A"/>
    <w:rsid w:val="0004783A"/>
    <w:rsid w:val="00050DD0"/>
    <w:rsid w:val="00054837"/>
    <w:rsid w:val="00055B7A"/>
    <w:rsid w:val="00085A8D"/>
    <w:rsid w:val="00092F9E"/>
    <w:rsid w:val="000944DA"/>
    <w:rsid w:val="00096879"/>
    <w:rsid w:val="000971BF"/>
    <w:rsid w:val="000A3500"/>
    <w:rsid w:val="000A3A89"/>
    <w:rsid w:val="000A65E5"/>
    <w:rsid w:val="000A6F6E"/>
    <w:rsid w:val="000C1B6B"/>
    <w:rsid w:val="000D7E1E"/>
    <w:rsid w:val="000F2FDF"/>
    <w:rsid w:val="000F6452"/>
    <w:rsid w:val="00103E75"/>
    <w:rsid w:val="00114EB8"/>
    <w:rsid w:val="00151870"/>
    <w:rsid w:val="0016378E"/>
    <w:rsid w:val="00176C16"/>
    <w:rsid w:val="00190806"/>
    <w:rsid w:val="001A2299"/>
    <w:rsid w:val="001A4531"/>
    <w:rsid w:val="001A523E"/>
    <w:rsid w:val="001B32E5"/>
    <w:rsid w:val="001B79AD"/>
    <w:rsid w:val="001C1042"/>
    <w:rsid w:val="001C417D"/>
    <w:rsid w:val="001D2A4A"/>
    <w:rsid w:val="001D4074"/>
    <w:rsid w:val="001E382A"/>
    <w:rsid w:val="001F5233"/>
    <w:rsid w:val="00226831"/>
    <w:rsid w:val="00226ED7"/>
    <w:rsid w:val="002455A5"/>
    <w:rsid w:val="00250B86"/>
    <w:rsid w:val="00257316"/>
    <w:rsid w:val="002742E8"/>
    <w:rsid w:val="0028471D"/>
    <w:rsid w:val="00296C57"/>
    <w:rsid w:val="002B5A44"/>
    <w:rsid w:val="002D4267"/>
    <w:rsid w:val="003175AF"/>
    <w:rsid w:val="003222D3"/>
    <w:rsid w:val="00327691"/>
    <w:rsid w:val="00333E5E"/>
    <w:rsid w:val="003362D8"/>
    <w:rsid w:val="00337DDB"/>
    <w:rsid w:val="00361954"/>
    <w:rsid w:val="003647E8"/>
    <w:rsid w:val="00374AA0"/>
    <w:rsid w:val="003779AA"/>
    <w:rsid w:val="00394D1D"/>
    <w:rsid w:val="003B17C8"/>
    <w:rsid w:val="003B3F84"/>
    <w:rsid w:val="003C68B6"/>
    <w:rsid w:val="003D1BC3"/>
    <w:rsid w:val="0040127A"/>
    <w:rsid w:val="00415D45"/>
    <w:rsid w:val="00417DC8"/>
    <w:rsid w:val="00442989"/>
    <w:rsid w:val="00445EC3"/>
    <w:rsid w:val="00466146"/>
    <w:rsid w:val="00481475"/>
    <w:rsid w:val="0049504C"/>
    <w:rsid w:val="004B323F"/>
    <w:rsid w:val="004C0787"/>
    <w:rsid w:val="00530DEF"/>
    <w:rsid w:val="00532AF0"/>
    <w:rsid w:val="00547889"/>
    <w:rsid w:val="00547BF0"/>
    <w:rsid w:val="00576D5A"/>
    <w:rsid w:val="00583B8A"/>
    <w:rsid w:val="00594C80"/>
    <w:rsid w:val="005C6173"/>
    <w:rsid w:val="005C786D"/>
    <w:rsid w:val="005C7F13"/>
    <w:rsid w:val="005D0F60"/>
    <w:rsid w:val="005D2350"/>
    <w:rsid w:val="006335DB"/>
    <w:rsid w:val="0065709B"/>
    <w:rsid w:val="006771A8"/>
    <w:rsid w:val="00691B71"/>
    <w:rsid w:val="00691EDA"/>
    <w:rsid w:val="00694735"/>
    <w:rsid w:val="0069636F"/>
    <w:rsid w:val="006A2CCC"/>
    <w:rsid w:val="006B17B1"/>
    <w:rsid w:val="006B3378"/>
    <w:rsid w:val="006B4862"/>
    <w:rsid w:val="006E4D9D"/>
    <w:rsid w:val="006E6BC1"/>
    <w:rsid w:val="006F0630"/>
    <w:rsid w:val="00710A9A"/>
    <w:rsid w:val="00711C70"/>
    <w:rsid w:val="00712D79"/>
    <w:rsid w:val="0071535E"/>
    <w:rsid w:val="00725109"/>
    <w:rsid w:val="00740894"/>
    <w:rsid w:val="007500B7"/>
    <w:rsid w:val="00787B59"/>
    <w:rsid w:val="00795314"/>
    <w:rsid w:val="007B16E9"/>
    <w:rsid w:val="007B3951"/>
    <w:rsid w:val="007C08FE"/>
    <w:rsid w:val="007C0FDA"/>
    <w:rsid w:val="007C1342"/>
    <w:rsid w:val="007D27CD"/>
    <w:rsid w:val="007D36A7"/>
    <w:rsid w:val="007D38BC"/>
    <w:rsid w:val="007E01F2"/>
    <w:rsid w:val="007E7C15"/>
    <w:rsid w:val="007F1663"/>
    <w:rsid w:val="007F1B23"/>
    <w:rsid w:val="007F678D"/>
    <w:rsid w:val="008121D7"/>
    <w:rsid w:val="00820AA1"/>
    <w:rsid w:val="00824344"/>
    <w:rsid w:val="0082540E"/>
    <w:rsid w:val="0084675E"/>
    <w:rsid w:val="00850F23"/>
    <w:rsid w:val="00857A09"/>
    <w:rsid w:val="00861771"/>
    <w:rsid w:val="00874BA5"/>
    <w:rsid w:val="00882D1F"/>
    <w:rsid w:val="008B279F"/>
    <w:rsid w:val="008B2EC9"/>
    <w:rsid w:val="008B6515"/>
    <w:rsid w:val="008C537D"/>
    <w:rsid w:val="008D2B5E"/>
    <w:rsid w:val="008D45D3"/>
    <w:rsid w:val="008F7298"/>
    <w:rsid w:val="009018D8"/>
    <w:rsid w:val="00907426"/>
    <w:rsid w:val="009117FB"/>
    <w:rsid w:val="00916250"/>
    <w:rsid w:val="009166F6"/>
    <w:rsid w:val="0091710A"/>
    <w:rsid w:val="00933463"/>
    <w:rsid w:val="00975566"/>
    <w:rsid w:val="009862C8"/>
    <w:rsid w:val="00994AF4"/>
    <w:rsid w:val="009A5B46"/>
    <w:rsid w:val="009A7FD0"/>
    <w:rsid w:val="009B08F7"/>
    <w:rsid w:val="009B0D40"/>
    <w:rsid w:val="009B6FBD"/>
    <w:rsid w:val="009C4F59"/>
    <w:rsid w:val="009E1713"/>
    <w:rsid w:val="009E59EE"/>
    <w:rsid w:val="009F081E"/>
    <w:rsid w:val="00A00389"/>
    <w:rsid w:val="00A025B7"/>
    <w:rsid w:val="00A1422F"/>
    <w:rsid w:val="00A4596C"/>
    <w:rsid w:val="00A558E5"/>
    <w:rsid w:val="00A721BB"/>
    <w:rsid w:val="00A81EC5"/>
    <w:rsid w:val="00A83DBD"/>
    <w:rsid w:val="00A8439D"/>
    <w:rsid w:val="00A876B6"/>
    <w:rsid w:val="00A932D3"/>
    <w:rsid w:val="00AB170E"/>
    <w:rsid w:val="00AD5414"/>
    <w:rsid w:val="00AE5CE6"/>
    <w:rsid w:val="00B13856"/>
    <w:rsid w:val="00B17DEC"/>
    <w:rsid w:val="00B203EA"/>
    <w:rsid w:val="00B34A5A"/>
    <w:rsid w:val="00B37810"/>
    <w:rsid w:val="00B40680"/>
    <w:rsid w:val="00B670C5"/>
    <w:rsid w:val="00B72805"/>
    <w:rsid w:val="00B84BB8"/>
    <w:rsid w:val="00B946D5"/>
    <w:rsid w:val="00BA54C2"/>
    <w:rsid w:val="00BC05B7"/>
    <w:rsid w:val="00BC154F"/>
    <w:rsid w:val="00BD58C9"/>
    <w:rsid w:val="00BD73C7"/>
    <w:rsid w:val="00BF339A"/>
    <w:rsid w:val="00C03C8F"/>
    <w:rsid w:val="00C04A58"/>
    <w:rsid w:val="00C07DAF"/>
    <w:rsid w:val="00C13308"/>
    <w:rsid w:val="00C21AA4"/>
    <w:rsid w:val="00C363B3"/>
    <w:rsid w:val="00C40FC8"/>
    <w:rsid w:val="00C61A3F"/>
    <w:rsid w:val="00C9390F"/>
    <w:rsid w:val="00CB62F7"/>
    <w:rsid w:val="00CC1A79"/>
    <w:rsid w:val="00CC29DB"/>
    <w:rsid w:val="00CC7C2F"/>
    <w:rsid w:val="00CD6E76"/>
    <w:rsid w:val="00CF05EB"/>
    <w:rsid w:val="00CF1D26"/>
    <w:rsid w:val="00D02EEA"/>
    <w:rsid w:val="00D144A8"/>
    <w:rsid w:val="00D16DB0"/>
    <w:rsid w:val="00D655AB"/>
    <w:rsid w:val="00D66F5C"/>
    <w:rsid w:val="00D85680"/>
    <w:rsid w:val="00D858F3"/>
    <w:rsid w:val="00D932A3"/>
    <w:rsid w:val="00DA04C7"/>
    <w:rsid w:val="00DA569B"/>
    <w:rsid w:val="00DA6F14"/>
    <w:rsid w:val="00E158C1"/>
    <w:rsid w:val="00E61343"/>
    <w:rsid w:val="00EA0C8B"/>
    <w:rsid w:val="00EC1369"/>
    <w:rsid w:val="00EC7D80"/>
    <w:rsid w:val="00ED78F8"/>
    <w:rsid w:val="00EF01A5"/>
    <w:rsid w:val="00F05E2A"/>
    <w:rsid w:val="00F110B2"/>
    <w:rsid w:val="00F11946"/>
    <w:rsid w:val="00F16019"/>
    <w:rsid w:val="00F207D2"/>
    <w:rsid w:val="00F23278"/>
    <w:rsid w:val="00F377C3"/>
    <w:rsid w:val="00F439C8"/>
    <w:rsid w:val="00F54A29"/>
    <w:rsid w:val="00F60A3F"/>
    <w:rsid w:val="00F65742"/>
    <w:rsid w:val="00F660E0"/>
    <w:rsid w:val="00F92A1F"/>
    <w:rsid w:val="00FA1447"/>
    <w:rsid w:val="00FA17C0"/>
    <w:rsid w:val="00FE0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C67F"/>
  <w15:chartTrackingRefBased/>
  <w15:docId w15:val="{AC925B0C-7584-4402-A4D6-7343C3BB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D0"/>
  </w:style>
  <w:style w:type="paragraph" w:styleId="Heading1">
    <w:name w:val="heading 1"/>
    <w:basedOn w:val="Normal"/>
    <w:next w:val="Normal"/>
    <w:link w:val="Heading1Char"/>
    <w:uiPriority w:val="9"/>
    <w:qFormat/>
    <w:rsid w:val="0005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D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0D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D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D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D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05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D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0D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0D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D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D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D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D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D0"/>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050DD0"/>
    <w:pPr>
      <w:ind w:left="720"/>
      <w:contextualSpacing/>
    </w:pPr>
  </w:style>
  <w:style w:type="paragraph" w:styleId="Quote">
    <w:name w:val="Quote"/>
    <w:basedOn w:val="Normal"/>
    <w:next w:val="Normal"/>
    <w:link w:val="QuoteChar"/>
    <w:uiPriority w:val="29"/>
    <w:qFormat/>
    <w:rsid w:val="00050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0DD0"/>
    <w:rPr>
      <w:i/>
      <w:iCs/>
      <w:color w:val="404040" w:themeColor="text1" w:themeTint="BF"/>
    </w:rPr>
  </w:style>
  <w:style w:type="paragraph" w:styleId="IntenseQuote">
    <w:name w:val="Intense Quote"/>
    <w:basedOn w:val="Normal"/>
    <w:next w:val="Normal"/>
    <w:link w:val="IntenseQuoteChar"/>
    <w:uiPriority w:val="30"/>
    <w:qFormat/>
    <w:rsid w:val="0005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D0"/>
    <w:rPr>
      <w:i/>
      <w:iCs/>
      <w:color w:val="0F4761" w:themeColor="accent1" w:themeShade="BF"/>
    </w:rPr>
  </w:style>
  <w:style w:type="character" w:styleId="IntenseEmphasis">
    <w:name w:val="Intense Emphasis"/>
    <w:basedOn w:val="DefaultParagraphFont"/>
    <w:uiPriority w:val="21"/>
    <w:qFormat/>
    <w:rsid w:val="00050DD0"/>
    <w:rPr>
      <w:i/>
      <w:iCs/>
      <w:color w:val="0F4761" w:themeColor="accent1" w:themeShade="BF"/>
    </w:rPr>
  </w:style>
  <w:style w:type="character" w:styleId="IntenseReference">
    <w:name w:val="Intense Reference"/>
    <w:basedOn w:val="DefaultParagraphFont"/>
    <w:uiPriority w:val="32"/>
    <w:qFormat/>
    <w:rsid w:val="00050DD0"/>
    <w:rPr>
      <w:b/>
      <w:bCs/>
      <w:smallCaps/>
      <w:color w:val="0F4761" w:themeColor="accent1" w:themeShade="BF"/>
      <w:spacing w:val="5"/>
    </w:rPr>
  </w:style>
  <w:style w:type="numbering" w:customStyle="1" w:styleId="NoList1">
    <w:name w:val="No List1"/>
    <w:next w:val="NoList"/>
    <w:uiPriority w:val="99"/>
    <w:semiHidden/>
    <w:unhideWhenUsed/>
    <w:rsid w:val="00AD5414"/>
  </w:style>
  <w:style w:type="paragraph" w:customStyle="1" w:styleId="Caption1">
    <w:name w:val="Caption1"/>
    <w:basedOn w:val="Normal"/>
    <w:next w:val="Normal"/>
    <w:autoRedefine/>
    <w:uiPriority w:val="35"/>
    <w:unhideWhenUsed/>
    <w:qFormat/>
    <w:rsid w:val="00AD5414"/>
    <w:pPr>
      <w:spacing w:after="200"/>
    </w:pPr>
    <w:rPr>
      <w:iCs/>
      <w:kern w:val="0"/>
      <w:sz w:val="24"/>
      <w:szCs w:val="18"/>
      <w14:ligatures w14:val="none"/>
    </w:rPr>
  </w:style>
  <w:style w:type="paragraph" w:customStyle="1" w:styleId="Header1">
    <w:name w:val="Header1"/>
    <w:basedOn w:val="Normal"/>
    <w:next w:val="Header"/>
    <w:link w:val="HeaderChar"/>
    <w:uiPriority w:val="99"/>
    <w:unhideWhenUsed/>
    <w:rsid w:val="00AD5414"/>
    <w:pPr>
      <w:tabs>
        <w:tab w:val="center" w:pos="4680"/>
        <w:tab w:val="right" w:pos="9360"/>
      </w:tabs>
    </w:pPr>
  </w:style>
  <w:style w:type="character" w:customStyle="1" w:styleId="HeaderChar">
    <w:name w:val="Header Char"/>
    <w:basedOn w:val="DefaultParagraphFont"/>
    <w:link w:val="Header1"/>
    <w:uiPriority w:val="99"/>
    <w:rsid w:val="00AD5414"/>
    <w:rPr>
      <w:rFonts w:ascii="Times New Roman" w:hAnsi="Times New Roman"/>
    </w:rPr>
  </w:style>
  <w:style w:type="paragraph" w:customStyle="1" w:styleId="Footer1">
    <w:name w:val="Footer1"/>
    <w:basedOn w:val="Normal"/>
    <w:next w:val="Footer"/>
    <w:link w:val="FooterChar"/>
    <w:uiPriority w:val="99"/>
    <w:unhideWhenUsed/>
    <w:rsid w:val="00AD5414"/>
    <w:pPr>
      <w:tabs>
        <w:tab w:val="center" w:pos="4680"/>
        <w:tab w:val="right" w:pos="9360"/>
      </w:tabs>
    </w:pPr>
  </w:style>
  <w:style w:type="character" w:customStyle="1" w:styleId="FooterChar">
    <w:name w:val="Footer Char"/>
    <w:basedOn w:val="DefaultParagraphFont"/>
    <w:link w:val="Footer1"/>
    <w:uiPriority w:val="99"/>
    <w:rsid w:val="00AD5414"/>
    <w:rPr>
      <w:rFonts w:ascii="Times New Roman" w:hAnsi="Times New Roman"/>
    </w:rPr>
  </w:style>
  <w:style w:type="paragraph" w:customStyle="1" w:styleId="TOCHeading1">
    <w:name w:val="TOC Heading1"/>
    <w:basedOn w:val="Heading1"/>
    <w:next w:val="Normal"/>
    <w:uiPriority w:val="39"/>
    <w:unhideWhenUsed/>
    <w:qFormat/>
    <w:rsid w:val="00AD5414"/>
    <w:pPr>
      <w:spacing w:before="240" w:after="0" w:line="259" w:lineRule="auto"/>
      <w:ind w:left="360" w:hanging="360"/>
      <w:outlineLvl w:val="9"/>
    </w:pPr>
    <w:rPr>
      <w:b/>
      <w:bCs/>
      <w:kern w:val="0"/>
      <w:sz w:val="32"/>
      <w:szCs w:val="32"/>
      <w14:ligatures w14:val="none"/>
    </w:rPr>
  </w:style>
  <w:style w:type="paragraph" w:customStyle="1" w:styleId="TOC11">
    <w:name w:val="TOC 11"/>
    <w:basedOn w:val="Normal"/>
    <w:next w:val="Normal"/>
    <w:autoRedefine/>
    <w:uiPriority w:val="39"/>
    <w:unhideWhenUsed/>
    <w:rsid w:val="00AD5414"/>
    <w:pPr>
      <w:spacing w:after="100"/>
    </w:pPr>
    <w:rPr>
      <w:kern w:val="0"/>
      <w:sz w:val="24"/>
      <w:szCs w:val="24"/>
      <w14:ligatures w14:val="none"/>
    </w:rPr>
  </w:style>
  <w:style w:type="character" w:customStyle="1" w:styleId="Hyperlink1">
    <w:name w:val="Hyperlink1"/>
    <w:basedOn w:val="DefaultParagraphFont"/>
    <w:uiPriority w:val="99"/>
    <w:unhideWhenUsed/>
    <w:rsid w:val="00AD5414"/>
    <w:rPr>
      <w:color w:val="0563C1"/>
      <w:u w:val="single"/>
    </w:rPr>
  </w:style>
  <w:style w:type="paragraph" w:customStyle="1" w:styleId="TableofFigures1">
    <w:name w:val="Table of Figures1"/>
    <w:basedOn w:val="Normal"/>
    <w:next w:val="Normal"/>
    <w:uiPriority w:val="99"/>
    <w:unhideWhenUsed/>
    <w:rsid w:val="00AD5414"/>
    <w:rPr>
      <w:kern w:val="0"/>
      <w:sz w:val="24"/>
      <w:szCs w:val="24"/>
      <w14:ligatures w14:val="none"/>
    </w:rPr>
  </w:style>
  <w:style w:type="paragraph" w:customStyle="1" w:styleId="TOC21">
    <w:name w:val="TOC 21"/>
    <w:basedOn w:val="Normal"/>
    <w:next w:val="Normal"/>
    <w:autoRedefine/>
    <w:uiPriority w:val="39"/>
    <w:unhideWhenUsed/>
    <w:rsid w:val="00AD5414"/>
    <w:pPr>
      <w:spacing w:after="100"/>
      <w:ind w:left="240"/>
    </w:pPr>
    <w:rPr>
      <w:kern w:val="0"/>
      <w:sz w:val="24"/>
      <w:szCs w:val="24"/>
      <w14:ligatures w14:val="none"/>
    </w:rPr>
  </w:style>
  <w:style w:type="paragraph" w:customStyle="1" w:styleId="TOC31">
    <w:name w:val="TOC 31"/>
    <w:basedOn w:val="Normal"/>
    <w:next w:val="Normal"/>
    <w:autoRedefine/>
    <w:uiPriority w:val="39"/>
    <w:unhideWhenUsed/>
    <w:rsid w:val="00AD5414"/>
    <w:pPr>
      <w:spacing w:after="100"/>
      <w:ind w:left="480"/>
    </w:pPr>
    <w:rPr>
      <w:kern w:val="0"/>
      <w:sz w:val="24"/>
      <w:szCs w:val="24"/>
      <w14:ligatures w14:val="none"/>
    </w:rPr>
  </w:style>
  <w:style w:type="table" w:customStyle="1" w:styleId="Aaronsinsectlabels1">
    <w:name w:val="Aaron's insect labels1"/>
    <w:basedOn w:val="TableNormal"/>
    <w:next w:val="TableGrid"/>
    <w:uiPriority w:val="39"/>
    <w:rsid w:val="00AD5414"/>
    <w:rPr>
      <w:rFonts w:ascii="Calibri" w:hAnsi="Calibri"/>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AD5414"/>
    <w:rPr>
      <w:color w:val="954F72"/>
      <w:u w:val="single"/>
    </w:rPr>
  </w:style>
  <w:style w:type="character" w:styleId="PlaceholderText">
    <w:name w:val="Placeholder Text"/>
    <w:basedOn w:val="DefaultParagraphFont"/>
    <w:uiPriority w:val="99"/>
    <w:semiHidden/>
    <w:rsid w:val="00AD5414"/>
    <w:rPr>
      <w:color w:val="808080"/>
    </w:rPr>
  </w:style>
  <w:style w:type="paragraph" w:customStyle="1" w:styleId="BalloonText1">
    <w:name w:val="Balloon Text1"/>
    <w:basedOn w:val="Normal"/>
    <w:next w:val="BalloonText"/>
    <w:link w:val="BalloonTextChar"/>
    <w:uiPriority w:val="99"/>
    <w:semiHidden/>
    <w:unhideWhenUsed/>
    <w:rsid w:val="00AD5414"/>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AD5414"/>
    <w:rPr>
      <w:rFonts w:ascii="Segoe UI" w:hAnsi="Segoe UI" w:cs="Segoe UI"/>
      <w:sz w:val="18"/>
      <w:szCs w:val="18"/>
    </w:rPr>
  </w:style>
  <w:style w:type="character" w:styleId="UnresolvedMention">
    <w:name w:val="Unresolved Mention"/>
    <w:basedOn w:val="DefaultParagraphFont"/>
    <w:uiPriority w:val="99"/>
    <w:semiHidden/>
    <w:unhideWhenUsed/>
    <w:rsid w:val="00AD5414"/>
    <w:rPr>
      <w:color w:val="605E5C"/>
      <w:shd w:val="clear" w:color="auto" w:fill="E1DFDD"/>
    </w:rPr>
  </w:style>
  <w:style w:type="paragraph" w:customStyle="1" w:styleId="Bibliography1">
    <w:name w:val="Bibliography1"/>
    <w:basedOn w:val="Normal"/>
    <w:next w:val="Normal"/>
    <w:uiPriority w:val="37"/>
    <w:unhideWhenUsed/>
    <w:rsid w:val="00AD5414"/>
    <w:pPr>
      <w:spacing w:line="480" w:lineRule="auto"/>
      <w:ind w:left="720" w:hanging="720"/>
    </w:pPr>
    <w:rPr>
      <w:sz w:val="24"/>
      <w:szCs w:val="24"/>
    </w:rPr>
  </w:style>
  <w:style w:type="character" w:styleId="CommentReference">
    <w:name w:val="annotation reference"/>
    <w:basedOn w:val="DefaultParagraphFont"/>
    <w:uiPriority w:val="99"/>
    <w:semiHidden/>
    <w:unhideWhenUsed/>
    <w:rsid w:val="00AD5414"/>
    <w:rPr>
      <w:sz w:val="16"/>
      <w:szCs w:val="16"/>
    </w:rPr>
  </w:style>
  <w:style w:type="paragraph" w:customStyle="1" w:styleId="CommentText1">
    <w:name w:val="Comment Text1"/>
    <w:basedOn w:val="Normal"/>
    <w:next w:val="CommentText"/>
    <w:link w:val="CommentTextChar"/>
    <w:uiPriority w:val="99"/>
    <w:unhideWhenUsed/>
    <w:rsid w:val="00AD5414"/>
  </w:style>
  <w:style w:type="character" w:customStyle="1" w:styleId="CommentTextChar">
    <w:name w:val="Comment Text Char"/>
    <w:basedOn w:val="DefaultParagraphFont"/>
    <w:link w:val="CommentText1"/>
    <w:uiPriority w:val="99"/>
    <w:rsid w:val="00AD5414"/>
    <w:rPr>
      <w:rFonts w:ascii="Times New Roman" w:hAnsi="Times New Roman" w:cs="Times New Roman"/>
      <w:kern w:val="2"/>
      <w:sz w:val="20"/>
      <w:szCs w:val="20"/>
      <w14:ligatures w14:val="standardContextual"/>
    </w:rPr>
  </w:style>
  <w:style w:type="paragraph" w:customStyle="1" w:styleId="CommentSubject1">
    <w:name w:val="Comment Subject1"/>
    <w:basedOn w:val="CommentText"/>
    <w:next w:val="CommentText"/>
    <w:uiPriority w:val="99"/>
    <w:semiHidden/>
    <w:unhideWhenUsed/>
    <w:rsid w:val="00AD5414"/>
    <w:rPr>
      <w:b/>
      <w:bCs/>
    </w:rPr>
  </w:style>
  <w:style w:type="character" w:customStyle="1" w:styleId="CommentSubjectChar">
    <w:name w:val="Comment Subject Char"/>
    <w:basedOn w:val="CommentTextChar"/>
    <w:link w:val="CommentSubject"/>
    <w:uiPriority w:val="99"/>
    <w:semiHidden/>
    <w:rsid w:val="00AD5414"/>
    <w:rPr>
      <w:rFonts w:ascii="Times New Roman" w:hAnsi="Times New Roman" w:cs="Times New Roman"/>
      <w:b/>
      <w:bCs/>
      <w:kern w:val="2"/>
      <w:sz w:val="20"/>
      <w:szCs w:val="20"/>
      <w14:ligatures w14:val="standardContextual"/>
    </w:rPr>
  </w:style>
  <w:style w:type="paragraph" w:customStyle="1" w:styleId="Revision1">
    <w:name w:val="Revision1"/>
    <w:next w:val="Revision"/>
    <w:hidden/>
    <w:uiPriority w:val="99"/>
    <w:semiHidden/>
    <w:rsid w:val="00AD5414"/>
    <w:rPr>
      <w:sz w:val="24"/>
      <w:szCs w:val="24"/>
    </w:rPr>
  </w:style>
  <w:style w:type="paragraph" w:customStyle="1" w:styleId="msonormal0">
    <w:name w:val="msonormal"/>
    <w:basedOn w:val="Normal"/>
    <w:rsid w:val="00AD5414"/>
    <w:pPr>
      <w:spacing w:before="100" w:beforeAutospacing="1" w:after="100" w:afterAutospacing="1"/>
    </w:pPr>
    <w:rPr>
      <w:rFonts w:eastAsia="Times New Roman"/>
      <w:kern w:val="0"/>
      <w:sz w:val="24"/>
      <w:szCs w:val="24"/>
      <w14:ligatures w14:val="none"/>
    </w:rPr>
  </w:style>
  <w:style w:type="paragraph" w:customStyle="1" w:styleId="xl65">
    <w:name w:val="xl65"/>
    <w:basedOn w:val="Normal"/>
    <w:rsid w:val="00AD5414"/>
    <w:pPr>
      <w:spacing w:before="100" w:beforeAutospacing="1" w:after="100" w:afterAutospacing="1"/>
    </w:pPr>
    <w:rPr>
      <w:rFonts w:eastAsia="Times New Roman"/>
      <w:b/>
      <w:bCs/>
      <w:kern w:val="0"/>
      <w:sz w:val="24"/>
      <w:szCs w:val="24"/>
      <w14:ligatures w14:val="none"/>
    </w:rPr>
  </w:style>
  <w:style w:type="table" w:customStyle="1" w:styleId="Aaronsinsectlabels11">
    <w:name w:val="Aaron's insect labels11"/>
    <w:basedOn w:val="TableNormal"/>
    <w:next w:val="TableGrid"/>
    <w:uiPriority w:val="39"/>
    <w:rsid w:val="00AD5414"/>
    <w:rPr>
      <w:sz w:val="8"/>
      <w:szCs w:val="24"/>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table" w:customStyle="1" w:styleId="TableGrid1">
    <w:name w:val="Table Grid1"/>
    <w:basedOn w:val="TableNormal"/>
    <w:next w:val="TableGrid"/>
    <w:uiPriority w:val="39"/>
    <w:rsid w:val="00AD54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Text1">
    <w:name w:val="Footnote Text1"/>
    <w:basedOn w:val="Normal"/>
    <w:next w:val="FootnoteText"/>
    <w:link w:val="FootnoteTextChar"/>
    <w:uiPriority w:val="99"/>
    <w:semiHidden/>
    <w:unhideWhenUsed/>
    <w:rsid w:val="00AD5414"/>
  </w:style>
  <w:style w:type="character" w:customStyle="1" w:styleId="FootnoteTextChar">
    <w:name w:val="Footnote Text Char"/>
    <w:basedOn w:val="DefaultParagraphFont"/>
    <w:link w:val="FootnoteText1"/>
    <w:uiPriority w:val="99"/>
    <w:semiHidden/>
    <w:rsid w:val="00AD5414"/>
    <w:rPr>
      <w:rFonts w:ascii="Times New Roman" w:hAnsi="Times New Roman" w:cs="Times New Roman"/>
      <w:kern w:val="2"/>
      <w:sz w:val="20"/>
      <w:szCs w:val="20"/>
      <w14:ligatures w14:val="standardContextual"/>
    </w:rPr>
  </w:style>
  <w:style w:type="character" w:styleId="FootnoteReference">
    <w:name w:val="footnote reference"/>
    <w:basedOn w:val="DefaultParagraphFont"/>
    <w:uiPriority w:val="99"/>
    <w:semiHidden/>
    <w:unhideWhenUsed/>
    <w:rsid w:val="00AD5414"/>
    <w:rPr>
      <w:vertAlign w:val="superscript"/>
    </w:rPr>
  </w:style>
  <w:style w:type="paragraph" w:styleId="NormalWeb">
    <w:name w:val="Normal (Web)"/>
    <w:basedOn w:val="Normal"/>
    <w:uiPriority w:val="99"/>
    <w:unhideWhenUsed/>
    <w:rsid w:val="00AD5414"/>
    <w:pPr>
      <w:spacing w:before="100" w:beforeAutospacing="1" w:after="100" w:afterAutospacing="1"/>
    </w:pPr>
    <w:rPr>
      <w:rFonts w:eastAsia="Times New Roman"/>
      <w:kern w:val="0"/>
      <w:sz w:val="24"/>
      <w:szCs w:val="24"/>
      <w14:ligatures w14:val="none"/>
    </w:rPr>
  </w:style>
  <w:style w:type="paragraph" w:styleId="Header">
    <w:name w:val="header"/>
    <w:basedOn w:val="Normal"/>
    <w:link w:val="HeaderChar1"/>
    <w:uiPriority w:val="99"/>
    <w:semiHidden/>
    <w:unhideWhenUsed/>
    <w:rsid w:val="00AD5414"/>
    <w:pPr>
      <w:tabs>
        <w:tab w:val="center" w:pos="4680"/>
        <w:tab w:val="right" w:pos="9360"/>
      </w:tabs>
    </w:pPr>
  </w:style>
  <w:style w:type="character" w:customStyle="1" w:styleId="HeaderChar1">
    <w:name w:val="Header Char1"/>
    <w:basedOn w:val="DefaultParagraphFont"/>
    <w:link w:val="Header"/>
    <w:uiPriority w:val="99"/>
    <w:semiHidden/>
    <w:rsid w:val="00AD5414"/>
  </w:style>
  <w:style w:type="paragraph" w:styleId="Footer">
    <w:name w:val="footer"/>
    <w:basedOn w:val="Normal"/>
    <w:link w:val="FooterChar1"/>
    <w:uiPriority w:val="99"/>
    <w:semiHidden/>
    <w:unhideWhenUsed/>
    <w:rsid w:val="00AD5414"/>
    <w:pPr>
      <w:tabs>
        <w:tab w:val="center" w:pos="4680"/>
        <w:tab w:val="right" w:pos="9360"/>
      </w:tabs>
    </w:pPr>
  </w:style>
  <w:style w:type="character" w:customStyle="1" w:styleId="FooterChar1">
    <w:name w:val="Footer Char1"/>
    <w:basedOn w:val="DefaultParagraphFont"/>
    <w:link w:val="Footer"/>
    <w:uiPriority w:val="99"/>
    <w:semiHidden/>
    <w:rsid w:val="00AD5414"/>
  </w:style>
  <w:style w:type="character" w:styleId="Hyperlink">
    <w:name w:val="Hyperlink"/>
    <w:basedOn w:val="DefaultParagraphFont"/>
    <w:uiPriority w:val="99"/>
    <w:semiHidden/>
    <w:unhideWhenUsed/>
    <w:rsid w:val="00AD5414"/>
    <w:rPr>
      <w:color w:val="467886" w:themeColor="hyperlink"/>
      <w:u w:val="single"/>
    </w:rPr>
  </w:style>
  <w:style w:type="character" w:styleId="FollowedHyperlink">
    <w:name w:val="FollowedHyperlink"/>
    <w:basedOn w:val="DefaultParagraphFont"/>
    <w:uiPriority w:val="99"/>
    <w:semiHidden/>
    <w:unhideWhenUsed/>
    <w:rsid w:val="00AD5414"/>
    <w:rPr>
      <w:color w:val="96607D" w:themeColor="followedHyperlink"/>
      <w:u w:val="single"/>
    </w:rPr>
  </w:style>
  <w:style w:type="paragraph" w:styleId="BalloonText">
    <w:name w:val="Balloon Text"/>
    <w:basedOn w:val="Normal"/>
    <w:link w:val="BalloonTextChar1"/>
    <w:uiPriority w:val="99"/>
    <w:semiHidden/>
    <w:unhideWhenUsed/>
    <w:rsid w:val="00AD5414"/>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AD5414"/>
    <w:rPr>
      <w:rFonts w:ascii="Segoe UI" w:hAnsi="Segoe UI" w:cs="Segoe UI"/>
      <w:sz w:val="18"/>
      <w:szCs w:val="18"/>
    </w:rPr>
  </w:style>
  <w:style w:type="paragraph" w:styleId="CommentText">
    <w:name w:val="annotation text"/>
    <w:basedOn w:val="Normal"/>
    <w:link w:val="CommentTextChar1"/>
    <w:uiPriority w:val="99"/>
    <w:unhideWhenUsed/>
    <w:rsid w:val="00AD5414"/>
  </w:style>
  <w:style w:type="character" w:customStyle="1" w:styleId="CommentTextChar1">
    <w:name w:val="Comment Text Char1"/>
    <w:basedOn w:val="DefaultParagraphFont"/>
    <w:link w:val="CommentText"/>
    <w:uiPriority w:val="99"/>
    <w:rsid w:val="00AD5414"/>
  </w:style>
  <w:style w:type="paragraph" w:styleId="CommentSubject">
    <w:name w:val="annotation subject"/>
    <w:basedOn w:val="CommentText"/>
    <w:next w:val="CommentText"/>
    <w:link w:val="CommentSubjectChar"/>
    <w:uiPriority w:val="99"/>
    <w:semiHidden/>
    <w:unhideWhenUsed/>
    <w:rsid w:val="00AD5414"/>
    <w:rPr>
      <w:b/>
      <w:bCs/>
    </w:rPr>
  </w:style>
  <w:style w:type="character" w:customStyle="1" w:styleId="CommentSubjectChar1">
    <w:name w:val="Comment Subject Char1"/>
    <w:basedOn w:val="CommentTextChar1"/>
    <w:uiPriority w:val="99"/>
    <w:semiHidden/>
    <w:rsid w:val="00AD5414"/>
    <w:rPr>
      <w:b/>
      <w:bCs/>
    </w:rPr>
  </w:style>
  <w:style w:type="paragraph" w:styleId="Revision">
    <w:name w:val="Revision"/>
    <w:hidden/>
    <w:uiPriority w:val="99"/>
    <w:semiHidden/>
    <w:rsid w:val="00AD5414"/>
  </w:style>
  <w:style w:type="paragraph" w:styleId="FootnoteText">
    <w:name w:val="footnote text"/>
    <w:basedOn w:val="Normal"/>
    <w:link w:val="FootnoteTextChar1"/>
    <w:uiPriority w:val="99"/>
    <w:semiHidden/>
    <w:unhideWhenUsed/>
    <w:rsid w:val="00AD5414"/>
  </w:style>
  <w:style w:type="character" w:customStyle="1" w:styleId="FootnoteTextChar1">
    <w:name w:val="Footnote Text Char1"/>
    <w:basedOn w:val="DefaultParagraphFont"/>
    <w:link w:val="FootnoteText"/>
    <w:uiPriority w:val="99"/>
    <w:semiHidden/>
    <w:rsid w:val="00AD5414"/>
  </w:style>
  <w:style w:type="paragraph" w:styleId="Bibliography">
    <w:name w:val="Bibliography"/>
    <w:basedOn w:val="Normal"/>
    <w:next w:val="Normal"/>
    <w:uiPriority w:val="37"/>
    <w:unhideWhenUsed/>
    <w:rsid w:val="001C417D"/>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sv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svg"/><Relationship Id="rId5" Type="http://schemas.openxmlformats.org/officeDocument/2006/relationships/comments" Target="comments.xml"/><Relationship Id="rId15" Type="http://schemas.openxmlformats.org/officeDocument/2006/relationships/image" Target="media/image7.sv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1276</TotalTime>
  <Pages>37</Pages>
  <Words>50016</Words>
  <Characters>285096</Characters>
  <Application>Microsoft Office Word</Application>
  <DocSecurity>0</DocSecurity>
  <Lines>2375</Lines>
  <Paragraphs>668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202</cp:revision>
  <dcterms:created xsi:type="dcterms:W3CDTF">2025-11-10T20:12:00Z</dcterms:created>
  <dcterms:modified xsi:type="dcterms:W3CDTF">2025-11-26T23:48:00Z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id="xpPL2Oiz"/&gt;&lt;style id="http://www.zotero.org/styles/ecology" hasBibliography="1" bibliographyStyleHasBeenSet="1"/&gt;&lt;prefs&gt;&lt;pref name="fieldType" value="Field"/&gt;&lt;/prefs&gt;&lt;/data&gt;</vt:lpwstr>
  </property>
</Properties>
</file>