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3CDC0" w14:textId="1B19AE46" w:rsidR="00712D79" w:rsidRPr="0043059B" w:rsidRDefault="0043059B">
      <w:pPr>
        <w:rPr>
          <w:u w:val="single"/>
        </w:rPr>
      </w:pPr>
      <w:r w:rsidRPr="0043059B">
        <w:rPr>
          <w:u w:val="single"/>
        </w:rPr>
        <w:t>The impact of tornado and salvage-logging on ground beetle (Coleoptera: Carabidae) taxonomic and functional diversity</w:t>
      </w:r>
    </w:p>
    <w:p w14:paraId="750AA50B" w14:textId="77777777" w:rsidR="0043059B" w:rsidRDefault="0043059B"/>
    <w:p w14:paraId="3A57E5DD" w14:textId="23E99DC8" w:rsidR="0043059B" w:rsidRPr="0043059B" w:rsidRDefault="0043059B">
      <w:pPr>
        <w:rPr>
          <w:b/>
          <w:bCs/>
        </w:rPr>
      </w:pPr>
      <w:r w:rsidRPr="0043059B">
        <w:rPr>
          <w:b/>
          <w:bCs/>
        </w:rPr>
        <w:t>Methods</w:t>
      </w:r>
    </w:p>
    <w:p w14:paraId="4426C5CC" w14:textId="77777777" w:rsidR="0043059B" w:rsidRDefault="0043059B"/>
    <w:p w14:paraId="096FDFCE" w14:textId="04B6F6ED" w:rsidR="0043059B" w:rsidRPr="0043059B" w:rsidRDefault="0043059B">
      <w:pPr>
        <w:rPr>
          <w:u w:val="single"/>
        </w:rPr>
      </w:pPr>
      <w:r w:rsidRPr="0043059B">
        <w:rPr>
          <w:u w:val="single"/>
        </w:rPr>
        <w:t>Study site</w:t>
      </w:r>
      <w:r w:rsidR="001D3CA4">
        <w:rPr>
          <w:u w:val="single"/>
        </w:rPr>
        <w:t xml:space="preserve"> and tornado event</w:t>
      </w:r>
    </w:p>
    <w:p w14:paraId="2A8A83DE" w14:textId="77777777" w:rsidR="0043059B" w:rsidRDefault="0043059B"/>
    <w:p w14:paraId="3506A50C" w14:textId="2DC87391" w:rsidR="0043059B" w:rsidRDefault="0043059B">
      <w:r>
        <w:t>Research was conducted at</w:t>
      </w:r>
      <w:r>
        <w:t xml:space="preserve"> </w:t>
      </w:r>
      <w:proofErr w:type="spellStart"/>
      <w:r>
        <w:t>Powdermill</w:t>
      </w:r>
      <w:proofErr w:type="spellEnd"/>
      <w:r>
        <w:t xml:space="preserve"> Nature Preserve in Rector, Westmoreland County, Pennsylvania. This is an area of temperate deciduous forest which serves as the field research station for the Carnegie Museum of Natural History. In June 2012, a tornado touched down, uprooting canopy trees in two areas, each about 120 × 480 m. </w:t>
      </w:r>
      <w:r>
        <w:t>The areas are located approximately at (</w:t>
      </w:r>
      <w:r w:rsidRPr="0043059B">
        <w:t>40.14266, -79.27889</w:t>
      </w:r>
      <w:r>
        <w:t>) and (</w:t>
      </w:r>
      <w:r w:rsidRPr="0043059B">
        <w:t>40.1447, -79.27491</w:t>
      </w:r>
      <w:r>
        <w:t xml:space="preserve">). </w:t>
      </w:r>
      <w:r>
        <w:t xml:space="preserve">These two areas </w:t>
      </w:r>
      <w:r>
        <w:t xml:space="preserve">are </w:t>
      </w:r>
      <w:r>
        <w:t>on the north- or northwest-facing slopes, which were dominated by maples (</w:t>
      </w:r>
      <w:r w:rsidRPr="00CF1440">
        <w:rPr>
          <w:i/>
          <w:iCs/>
        </w:rPr>
        <w:t>Acer</w:t>
      </w:r>
      <w:r>
        <w:t xml:space="preserve"> spp.), </w:t>
      </w:r>
      <w:proofErr w:type="spellStart"/>
      <w:r>
        <w:t>tuliptree</w:t>
      </w:r>
      <w:proofErr w:type="spellEnd"/>
      <w:r>
        <w:t xml:space="preserve"> (</w:t>
      </w:r>
      <w:r w:rsidRPr="00CF1440">
        <w:rPr>
          <w:i/>
          <w:iCs/>
        </w:rPr>
        <w:t xml:space="preserve">Liriodendron </w:t>
      </w:r>
      <w:proofErr w:type="spellStart"/>
      <w:r w:rsidRPr="00CF1440">
        <w:rPr>
          <w:i/>
          <w:iCs/>
        </w:rPr>
        <w:t>tulipifera</w:t>
      </w:r>
      <w:proofErr w:type="spellEnd"/>
      <w:r>
        <w:t>), black cherry (</w:t>
      </w:r>
      <w:r w:rsidRPr="00CF1440">
        <w:rPr>
          <w:i/>
          <w:iCs/>
        </w:rPr>
        <w:t>Prunus serotina</w:t>
      </w:r>
      <w:r>
        <w:t>), and other deciduous trees</w:t>
      </w:r>
      <w:r w:rsidR="00CF1440">
        <w:t xml:space="preserve"> </w:t>
      </w:r>
      <w:r w:rsidR="00CF1440">
        <w:fldChar w:fldCharType="begin"/>
      </w:r>
      <w:r w:rsidR="00CF1440">
        <w:instrText xml:space="preserve"> ADDIN ZOTERO_ITEM CSL_CITATION {"citationID":"ujqXIm2a","properties":{"formattedCitation":"(Murphy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w:instrText>
      </w:r>
      <w:r w:rsidR="00CF1440">
        <w:rPr>
          <w:rFonts w:ascii="Cambria Math" w:hAnsi="Cambria Math" w:cs="Cambria Math"/>
        </w:rPr>
        <w:instrText>‐</w:instrText>
      </w:r>
      <w:r w:rsidR="00CF1440">
        <w:instrText>diversity in forests has not been well explored. Here we use variance partitioning to analyze ~40</w:instrText>
      </w:r>
      <w:r w:rsidR="00CF1440">
        <w:rPr>
          <w:rFonts w:ascii="Arial" w:hAnsi="Arial" w:cs="Arial"/>
        </w:rPr>
        <w:instrText> </w:instrText>
      </w:r>
      <w:r w:rsidR="00CF1440">
        <w:instrText>000 individual trees of 49 species, collected within 137 ha of sampling area spread across a 900</w:instrText>
      </w:r>
      <w:r w:rsidR="00CF1440">
        <w:rPr>
          <w:rFonts w:ascii="Cambria Math" w:hAnsi="Cambria Math" w:cs="Cambria Math"/>
        </w:rPr>
        <w:instrText>‐</w:instrText>
      </w:r>
      <w:r w:rsidR="00CF1440">
        <w:instrText>ha temperate deciduous forest reserve in Pennsylvania to ask (1) To what extent is site</w:instrText>
      </w:r>
      <w:r w:rsidR="00CF1440">
        <w:rPr>
          <w:rFonts w:ascii="Cambria Math" w:hAnsi="Cambria Math" w:cs="Cambria Math"/>
        </w:rPr>
        <w:instrText>‐</w:instrText>
      </w:r>
      <w:r w:rsidR="00CF1440">
        <w:instrText>to</w:instrText>
      </w:r>
      <w:r w:rsidR="00CF1440">
        <w:rPr>
          <w:rFonts w:ascii="Cambria Math" w:hAnsi="Cambria Math" w:cs="Cambria Math"/>
        </w:rPr>
        <w:instrText>‐</w:instrText>
      </w:r>
      <w:r w:rsidR="00CF1440">
        <w:instrText>site variation in species richness and community composition of a temperate forest explained by measured environmental gradients and by spatial descriptors (used here to estimate dispersal</w:instrText>
      </w:r>
      <w:r w:rsidR="00CF1440">
        <w:rPr>
          <w:rFonts w:ascii="Cambria Math" w:hAnsi="Cambria Math" w:cs="Cambria Math"/>
        </w:rPr>
        <w:instrText>‐</w:instrText>
      </w:r>
      <w:r w:rsidR="00CF1440">
        <w:instrText>assembly or unmeasured, spatially structured processes)? (2) How does the incorporation of land</w:instrText>
      </w:r>
      <w:r w:rsidR="00CF1440">
        <w:rPr>
          <w:rFonts w:ascii="Cambria Math" w:hAnsi="Cambria Math" w:cs="Cambria Math"/>
        </w:rPr>
        <w:instrText>‐</w:instrText>
      </w:r>
      <w:r w:rsidR="00CF1440">
        <w:instrText>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w:instrText>
      </w:r>
      <w:r w:rsidR="00CF1440">
        <w:rPr>
          <w:rFonts w:ascii="Cambria Math" w:hAnsi="Cambria Math" w:cs="Cambria Math"/>
        </w:rPr>
        <w:instrText>‐</w:instrText>
      </w:r>
      <w:r w:rsidR="00CF1440">
        <w:instrText>use history variables (i.e., land</w:instrText>
      </w:r>
      <w:r w:rsidR="00CF1440">
        <w:rPr>
          <w:rFonts w:ascii="Cambria Math" w:hAnsi="Cambria Math" w:cs="Cambria Math"/>
        </w:rPr>
        <w:instrText>‐</w:instrText>
      </w:r>
      <w:r w:rsidR="00CF1440">
        <w:instrText>use type and intensity, forest age, and distance to road), explained about half of the variation in both species richness and community composition. Spatial descriptors explained the most variation, followed by measured environmental variables and then by land</w:instrText>
      </w:r>
      <w:r w:rsidR="00CF1440">
        <w:rPr>
          <w:rFonts w:ascii="Cambria Math" w:hAnsi="Cambria Math" w:cs="Cambria Math"/>
        </w:rPr>
        <w:instrText>‐</w:instrText>
      </w:r>
      <w:r w:rsidR="00CF1440">
        <w:instrText>use history. Individual species revealed variable responses to each of these sets of predictor variables. Several species were associated with stream habitats, and others were strictly delimited across opposing north</w:instrText>
      </w:r>
      <w:r w:rsidR="00CF1440">
        <w:rPr>
          <w:rFonts w:ascii="Cambria Math" w:hAnsi="Cambria Math" w:cs="Cambria Math"/>
        </w:rPr>
        <w:instrText>‐</w:instrText>
      </w:r>
      <w:r w:rsidR="00CF1440">
        <w:instrText xml:space="preserve"> and south</w:instrText>
      </w:r>
      <w:r w:rsidR="00CF1440">
        <w:rPr>
          <w:rFonts w:ascii="Cambria Math" w:hAnsi="Cambria Math" w:cs="Cambria Math"/>
        </w:rPr>
        <w:instrText>‐</w:instrText>
      </w:r>
      <w:r w:rsidR="00CF1440">
        <w:instrText>facing slopes. Several species were also associated with areas that experienced recent (i.e., &lt;100 years) human land</w:instrText>
      </w:r>
      <w:r w:rsidR="00CF1440">
        <w:rPr>
          <w:rFonts w:ascii="Cambria Math" w:hAnsi="Cambria Math" w:cs="Cambria Math"/>
        </w:rPr>
        <w:instrText>‐</w:instrText>
      </w:r>
      <w:r w:rsidR="00CF1440">
        <w:instrText>use impacts. These results indicate that deterministic factors, including environmental and land</w:instrText>
      </w:r>
      <w:r w:rsidR="00CF1440">
        <w:rPr>
          <w:rFonts w:ascii="Cambria Math" w:hAnsi="Cambria Math" w:cs="Cambria Math"/>
        </w:rPr>
        <w:instrText>‐</w:instrText>
      </w:r>
      <w:r w:rsidR="00CF1440">
        <w:instrText xml:space="preserve">use history variables, are important drivers of community response. The large amount of </w:instrText>
      </w:r>
      <w:r w:rsidR="00CF1440">
        <w:rPr>
          <w:rFonts w:ascii="Aptos" w:hAnsi="Aptos" w:cs="Aptos"/>
        </w:rPr>
        <w:instrText>“</w:instrText>
      </w:r>
      <w:r w:rsidR="00CF1440">
        <w:instrText>unexplained</w:instrText>
      </w:r>
      <w:r w:rsidR="00CF1440">
        <w:rPr>
          <w:rFonts w:ascii="Aptos" w:hAnsi="Aptos" w:cs="Aptos"/>
        </w:rPr>
        <w:instrText>”</w:instrText>
      </w:r>
      <w:r w:rsidR="00CF1440">
        <w:instrText xml:space="preserve">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w:instrText>
      </w:r>
      <w:r w:rsidR="00CF1440">
        <w:rPr>
          <w:rFonts w:ascii="Cambria Math" w:hAnsi="Cambria Math" w:cs="Cambria Math"/>
        </w:rPr>
        <w:instrText>‐</w:instrText>
      </w:r>
      <w:r w:rsidR="00CF1440">
        <w:instrText>use history promote beta</w:instrText>
      </w:r>
      <w:r w:rsidR="00CF1440">
        <w:rPr>
          <w:rFonts w:ascii="Cambria Math" w:hAnsi="Cambria Math" w:cs="Cambria Math"/>
        </w:rPr>
        <w:instrText>‐</w:instrText>
      </w:r>
      <w:r w:rsidR="00CF1440">
        <w:instrText>diversity in a temperate forest","volume":"96","author":[{"family":"Murphy","given":"Stephen J."},{"family":"Audino","given":"L</w:instrText>
      </w:r>
      <w:r w:rsidR="00CF1440">
        <w:rPr>
          <w:rFonts w:ascii="Aptos" w:hAnsi="Aptos" w:cs="Aptos"/>
        </w:rPr>
        <w:instrText>í</w:instrText>
      </w:r>
      <w:r w:rsidR="00CF1440">
        <w:instrText xml:space="preserve">via D."},{"family":"Whitacre","given":"James"},{"family":"Eck","given":"Jenalle L."},{"family":"Wenzel","given":"John W."},{"family":"Queenborough","given":"Simon A."},{"family":"Comita","given":"Liza S."}],"issued":{"date-parts":[["2015",3]]}}}],"schema":"https://github.com/citation-style-language/schema/raw/master/csl-citation.json"} </w:instrText>
      </w:r>
      <w:r w:rsidR="00CF1440">
        <w:fldChar w:fldCharType="separate"/>
      </w:r>
      <w:r w:rsidR="00CF1440" w:rsidRPr="00CF1440">
        <w:rPr>
          <w:rFonts w:ascii="Aptos" w:hAnsi="Aptos"/>
        </w:rPr>
        <w:t>(Murphy et al. 2015)</w:t>
      </w:r>
      <w:r w:rsidR="00CF1440">
        <w:fldChar w:fldCharType="end"/>
      </w:r>
      <w:r>
        <w:t>, with an understory of predominately spicebush (</w:t>
      </w:r>
      <w:r w:rsidRPr="00CF1440">
        <w:rPr>
          <w:i/>
          <w:iCs/>
        </w:rPr>
        <w:t>Lindera benzoin</w:t>
      </w:r>
      <w:r>
        <w:t>)</w:t>
      </w:r>
      <w:r w:rsidR="00CF1440">
        <w:t xml:space="preserve"> </w:t>
      </w:r>
      <w:r w:rsidR="00CF1440">
        <w:fldChar w:fldCharType="begin"/>
      </w:r>
      <w:r w:rsidR="00CF1440">
        <w:instrText xml:space="preserve"> ADDIN ZOTERO_ITEM CSL_CITATION {"citationID":"mxNUA9wL","properties":{"formattedCitation":"(Calinger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CF1440">
        <w:fldChar w:fldCharType="separate"/>
      </w:r>
      <w:r w:rsidR="00CF1440" w:rsidRPr="00CF1440">
        <w:rPr>
          <w:rFonts w:ascii="Aptos" w:hAnsi="Aptos"/>
        </w:rPr>
        <w:t>(</w:t>
      </w:r>
      <w:proofErr w:type="spellStart"/>
      <w:r w:rsidR="00CF1440" w:rsidRPr="00CF1440">
        <w:rPr>
          <w:rFonts w:ascii="Aptos" w:hAnsi="Aptos"/>
        </w:rPr>
        <w:t>Calinger</w:t>
      </w:r>
      <w:proofErr w:type="spellEnd"/>
      <w:r w:rsidR="00CF1440" w:rsidRPr="00CF1440">
        <w:rPr>
          <w:rFonts w:ascii="Aptos" w:hAnsi="Aptos"/>
        </w:rPr>
        <w:t xml:space="preserve"> et al. 2015)</w:t>
      </w:r>
      <w:r w:rsidR="00CF1440">
        <w:fldChar w:fldCharType="end"/>
      </w:r>
      <w:r>
        <w:t>. Before the tornado, this area had been forested since at least 1939</w:t>
      </w:r>
      <w:r w:rsidR="00CF1440">
        <w:t xml:space="preserve"> </w:t>
      </w:r>
      <w:r w:rsidR="00CF1440">
        <w:fldChar w:fldCharType="begin"/>
      </w:r>
      <w:r w:rsidR="00CF1440">
        <w:instrText xml:space="preserve"> ADDIN ZOTERO_ITEM CSL_CITATION {"citationID":"XExOpggP","properties":{"formattedCitation":"(Murphy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w:instrText>
      </w:r>
      <w:r w:rsidR="00CF1440">
        <w:rPr>
          <w:rFonts w:ascii="Cambria Math" w:hAnsi="Cambria Math" w:cs="Cambria Math"/>
        </w:rPr>
        <w:instrText>‐</w:instrText>
      </w:r>
      <w:r w:rsidR="00CF1440">
        <w:instrText>diversity in forests has not been well explored. Here we use variance partitioning to analyze ~40</w:instrText>
      </w:r>
      <w:r w:rsidR="00CF1440">
        <w:rPr>
          <w:rFonts w:ascii="Arial" w:hAnsi="Arial" w:cs="Arial"/>
        </w:rPr>
        <w:instrText> </w:instrText>
      </w:r>
      <w:r w:rsidR="00CF1440">
        <w:instrText>000 individual trees of 49 species, collected within 137 ha of sampling area spread across a 900</w:instrText>
      </w:r>
      <w:r w:rsidR="00CF1440">
        <w:rPr>
          <w:rFonts w:ascii="Cambria Math" w:hAnsi="Cambria Math" w:cs="Cambria Math"/>
        </w:rPr>
        <w:instrText>‐</w:instrText>
      </w:r>
      <w:r w:rsidR="00CF1440">
        <w:instrText>ha temperate deciduous forest reserve in Pennsylvania to ask (1) To what extent is site</w:instrText>
      </w:r>
      <w:r w:rsidR="00CF1440">
        <w:rPr>
          <w:rFonts w:ascii="Cambria Math" w:hAnsi="Cambria Math" w:cs="Cambria Math"/>
        </w:rPr>
        <w:instrText>‐</w:instrText>
      </w:r>
      <w:r w:rsidR="00CF1440">
        <w:instrText>to</w:instrText>
      </w:r>
      <w:r w:rsidR="00CF1440">
        <w:rPr>
          <w:rFonts w:ascii="Cambria Math" w:hAnsi="Cambria Math" w:cs="Cambria Math"/>
        </w:rPr>
        <w:instrText>‐</w:instrText>
      </w:r>
      <w:r w:rsidR="00CF1440">
        <w:instrText>site variation in species richness and community composition of a temperate forest explained by measured environmental gradients and by spatial descriptors (used here to estimate dispersal</w:instrText>
      </w:r>
      <w:r w:rsidR="00CF1440">
        <w:rPr>
          <w:rFonts w:ascii="Cambria Math" w:hAnsi="Cambria Math" w:cs="Cambria Math"/>
        </w:rPr>
        <w:instrText>‐</w:instrText>
      </w:r>
      <w:r w:rsidR="00CF1440">
        <w:instrText>assembly or unmeasured, spatially structured processes)? (2) How does the incorporation of land</w:instrText>
      </w:r>
      <w:r w:rsidR="00CF1440">
        <w:rPr>
          <w:rFonts w:ascii="Cambria Math" w:hAnsi="Cambria Math" w:cs="Cambria Math"/>
        </w:rPr>
        <w:instrText>‐</w:instrText>
      </w:r>
      <w:r w:rsidR="00CF1440">
        <w:instrText>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w:instrText>
      </w:r>
      <w:r w:rsidR="00CF1440">
        <w:rPr>
          <w:rFonts w:ascii="Cambria Math" w:hAnsi="Cambria Math" w:cs="Cambria Math"/>
        </w:rPr>
        <w:instrText>‐</w:instrText>
      </w:r>
      <w:r w:rsidR="00CF1440">
        <w:instrText>use history variables (i.e., land</w:instrText>
      </w:r>
      <w:r w:rsidR="00CF1440">
        <w:rPr>
          <w:rFonts w:ascii="Cambria Math" w:hAnsi="Cambria Math" w:cs="Cambria Math"/>
        </w:rPr>
        <w:instrText>‐</w:instrText>
      </w:r>
      <w:r w:rsidR="00CF1440">
        <w:instrText>use type and intensity, forest age, and distance to road), explained about half of the variation in both species richness and community composition. Spatial descriptors explained the most variation, followed by measured environmental variables and then by land</w:instrText>
      </w:r>
      <w:r w:rsidR="00CF1440">
        <w:rPr>
          <w:rFonts w:ascii="Cambria Math" w:hAnsi="Cambria Math" w:cs="Cambria Math"/>
        </w:rPr>
        <w:instrText>‐</w:instrText>
      </w:r>
      <w:r w:rsidR="00CF1440">
        <w:instrText>use history. Individual species revealed variable responses to each of these sets of predictor variables. Several species were associated with stream habitats, and others were strictly delimited across opposing north</w:instrText>
      </w:r>
      <w:r w:rsidR="00CF1440">
        <w:rPr>
          <w:rFonts w:ascii="Cambria Math" w:hAnsi="Cambria Math" w:cs="Cambria Math"/>
        </w:rPr>
        <w:instrText>‐</w:instrText>
      </w:r>
      <w:r w:rsidR="00CF1440">
        <w:instrText xml:space="preserve"> and south</w:instrText>
      </w:r>
      <w:r w:rsidR="00CF1440">
        <w:rPr>
          <w:rFonts w:ascii="Cambria Math" w:hAnsi="Cambria Math" w:cs="Cambria Math"/>
        </w:rPr>
        <w:instrText>‐</w:instrText>
      </w:r>
      <w:r w:rsidR="00CF1440">
        <w:instrText>facing slopes. Several species were also associated with areas that experienced recent (i.e., &lt;100 years) human land</w:instrText>
      </w:r>
      <w:r w:rsidR="00CF1440">
        <w:rPr>
          <w:rFonts w:ascii="Cambria Math" w:hAnsi="Cambria Math" w:cs="Cambria Math"/>
        </w:rPr>
        <w:instrText>‐</w:instrText>
      </w:r>
      <w:r w:rsidR="00CF1440">
        <w:instrText>use impacts. These results indicate that deterministic factors, including environmental and land</w:instrText>
      </w:r>
      <w:r w:rsidR="00CF1440">
        <w:rPr>
          <w:rFonts w:ascii="Cambria Math" w:hAnsi="Cambria Math" w:cs="Cambria Math"/>
        </w:rPr>
        <w:instrText>‐</w:instrText>
      </w:r>
      <w:r w:rsidR="00CF1440">
        <w:instrText xml:space="preserve">use history variables, are important drivers of community response. The large amount of </w:instrText>
      </w:r>
      <w:r w:rsidR="00CF1440">
        <w:rPr>
          <w:rFonts w:ascii="Aptos" w:hAnsi="Aptos" w:cs="Aptos"/>
        </w:rPr>
        <w:instrText>“</w:instrText>
      </w:r>
      <w:r w:rsidR="00CF1440">
        <w:instrText>unexplained</w:instrText>
      </w:r>
      <w:r w:rsidR="00CF1440">
        <w:rPr>
          <w:rFonts w:ascii="Aptos" w:hAnsi="Aptos" w:cs="Aptos"/>
        </w:rPr>
        <w:instrText>”</w:instrText>
      </w:r>
      <w:r w:rsidR="00CF1440">
        <w:instrText xml:space="preserve">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w:instrText>
      </w:r>
      <w:r w:rsidR="00CF1440">
        <w:rPr>
          <w:rFonts w:ascii="Cambria Math" w:hAnsi="Cambria Math" w:cs="Cambria Math"/>
        </w:rPr>
        <w:instrText>‐</w:instrText>
      </w:r>
      <w:r w:rsidR="00CF1440">
        <w:instrText>use history promote beta</w:instrText>
      </w:r>
      <w:r w:rsidR="00CF1440">
        <w:rPr>
          <w:rFonts w:ascii="Cambria Math" w:hAnsi="Cambria Math" w:cs="Cambria Math"/>
        </w:rPr>
        <w:instrText>‐</w:instrText>
      </w:r>
      <w:r w:rsidR="00CF1440">
        <w:instrText>diversity in a temperate forest","volume":"96","author":[{"family":"Murphy","given":"Stephen J."},{"family":"Audino","given":"L</w:instrText>
      </w:r>
      <w:r w:rsidR="00CF1440">
        <w:rPr>
          <w:rFonts w:ascii="Aptos" w:hAnsi="Aptos" w:cs="Aptos"/>
        </w:rPr>
        <w:instrText>í</w:instrText>
      </w:r>
      <w:r w:rsidR="00CF1440">
        <w:instrText xml:space="preserve">via D."},{"family":"Whitacre","given":"James"},{"family":"Eck","given":"Jenalle L."},{"family":"Wenzel","given":"John W."},{"family":"Queenborough","given":"Simon A."},{"family":"Comita","given":"Liza S."}],"issued":{"date-parts":[["2015",3]]}}}],"schema":"https://github.com/citation-style-language/schema/raw/master/csl-citation.json"} </w:instrText>
      </w:r>
      <w:r w:rsidR="00CF1440">
        <w:fldChar w:fldCharType="separate"/>
      </w:r>
      <w:r w:rsidR="00CF1440" w:rsidRPr="00CF1440">
        <w:rPr>
          <w:rFonts w:ascii="Aptos" w:hAnsi="Aptos"/>
        </w:rPr>
        <w:t>(Murphy et al. 2015)</w:t>
      </w:r>
      <w:r w:rsidR="00CF1440">
        <w:fldChar w:fldCharType="end"/>
      </w:r>
      <w:r>
        <w:t>.</w:t>
      </w:r>
    </w:p>
    <w:p w14:paraId="64318375" w14:textId="77777777" w:rsidR="00AA63C0" w:rsidRDefault="00AA63C0"/>
    <w:p w14:paraId="7D6C0F04" w14:textId="166AB9D0" w:rsidR="00CF1440" w:rsidRDefault="001D3CA4">
      <w:pPr>
        <w:rPr>
          <w:u w:val="single"/>
        </w:rPr>
      </w:pPr>
      <w:r>
        <w:rPr>
          <w:u w:val="single"/>
        </w:rPr>
        <w:t>Salvage logging</w:t>
      </w:r>
    </w:p>
    <w:p w14:paraId="6B8F11BD" w14:textId="77777777" w:rsidR="001D3CA4" w:rsidRDefault="001D3CA4">
      <w:pPr>
        <w:rPr>
          <w:u w:val="single"/>
        </w:rPr>
      </w:pPr>
    </w:p>
    <w:p w14:paraId="28C5C5CB" w14:textId="20A1743B" w:rsidR="006A0353" w:rsidRDefault="00627607">
      <w:r w:rsidRPr="00627607">
        <w:t>In summer through winter of 2013, half of each wind-disturbed area was salvage-logged using heavy machinery to remove the fallen and residual standing trees</w:t>
      </w:r>
      <w:r>
        <w:t>.</w:t>
      </w:r>
      <w:r w:rsidR="008B28D8">
        <w:t xml:space="preserve"> </w:t>
      </w:r>
      <w:r w:rsidR="004B0250">
        <w:t xml:space="preserve">In the southwest tornado-impacted area, the northwestern </w:t>
      </w:r>
      <w:r w:rsidR="00FE405A">
        <w:t>(</w:t>
      </w:r>
      <w:r w:rsidR="0087034F">
        <w:t xml:space="preserve">lower elevation) </w:t>
      </w:r>
      <w:r w:rsidR="004B0250">
        <w:t xml:space="preserve">side was </w:t>
      </w:r>
      <w:r w:rsidR="00FE405A">
        <w:t>logged, while in the northeast tornado-impacted area, the southeastern</w:t>
      </w:r>
      <w:r w:rsidR="0087034F">
        <w:t xml:space="preserve"> (higher elevation)</w:t>
      </w:r>
      <w:r w:rsidR="00FE405A">
        <w:t xml:space="preserve"> side was logged.</w:t>
      </w:r>
      <w:r>
        <w:t xml:space="preserve"> </w:t>
      </w:r>
      <w:r w:rsidR="006A0353">
        <w:t xml:space="preserve">The </w:t>
      </w:r>
      <w:r w:rsidR="005503F2">
        <w:t xml:space="preserve">operation of salvage logging on only half of the </w:t>
      </w:r>
      <w:r w:rsidR="00D81EBF">
        <w:t>tornado-impacted area allowed us to</w:t>
      </w:r>
      <w:r w:rsidR="00D8515B">
        <w:t xml:space="preserve"> compare arthropod communities </w:t>
      </w:r>
      <w:r w:rsidR="00A62E77">
        <w:t xml:space="preserve">between salvaged and un-salvaged </w:t>
      </w:r>
      <w:r w:rsidR="00FD6573">
        <w:t>areas.</w:t>
      </w:r>
    </w:p>
    <w:p w14:paraId="71C46563" w14:textId="77777777" w:rsidR="00CF1440" w:rsidRDefault="00CF1440"/>
    <w:p w14:paraId="113BF241" w14:textId="395D0CDB" w:rsidR="00B853F7" w:rsidRPr="00B853F7" w:rsidRDefault="00B853F7">
      <w:pPr>
        <w:rPr>
          <w:u w:val="single"/>
        </w:rPr>
      </w:pPr>
      <w:r w:rsidRPr="00B853F7">
        <w:rPr>
          <w:u w:val="single"/>
        </w:rPr>
        <w:t>Invertebrate sampling</w:t>
      </w:r>
    </w:p>
    <w:p w14:paraId="725BA196" w14:textId="77777777" w:rsidR="00B853F7" w:rsidRDefault="00B853F7"/>
    <w:p w14:paraId="7E03BE72" w14:textId="0B13E49B" w:rsidR="00387F66" w:rsidRPr="00387F66" w:rsidRDefault="002D75B1">
      <w:r w:rsidRPr="002D75B1">
        <w:t>In 2015 and 2022 (</w:t>
      </w:r>
      <w:proofErr w:type="gramStart"/>
      <w:r w:rsidRPr="002D75B1">
        <w:t>three and ten years</w:t>
      </w:r>
      <w:proofErr w:type="gramEnd"/>
      <w:r w:rsidRPr="002D75B1">
        <w:t xml:space="preserve"> post-tornado), ground-dwelling invertebrates were sampled as part of a larger research effort to understand the impacts of salvage-logging. Six transects were established across the disturbances, each with a site in wind-disturbed (n=6), salvage-logged (n=6), and surrounding undisturbed forest (n=12). To capture invertebrates, one barrier pitfall trap was installed in each site and monitored every two weeks </w:t>
      </w:r>
      <w:r w:rsidR="005D01E4">
        <w:t>during the summer months. In 2015, traps were set up on May 27-28</w:t>
      </w:r>
      <w:r w:rsidR="00DC18F9">
        <w:t xml:space="preserve"> and </w:t>
      </w:r>
      <w:r w:rsidR="00D96412">
        <w:t xml:space="preserve">taken down on </w:t>
      </w:r>
      <w:r w:rsidR="0089164C">
        <w:t xml:space="preserve">August 17 for a total of 6 collection intervals. In 2022, traps were set up on June 1-2 and taken down on September </w:t>
      </w:r>
      <w:r w:rsidR="00DF0D57">
        <w:t>6 for a total of 8 collection intervals.</w:t>
      </w:r>
      <w:r w:rsidRPr="002D75B1">
        <w:t xml:space="preserve"> A pitfall trap consisted of two </w:t>
      </w:r>
      <w:r w:rsidR="003F5524">
        <w:t xml:space="preserve">pairs of plastic </w:t>
      </w:r>
      <w:r w:rsidRPr="002D75B1">
        <w:t>cups</w:t>
      </w:r>
      <w:r w:rsidR="003F5524">
        <w:t xml:space="preserve"> (</w:t>
      </w:r>
      <w:r w:rsidR="002826F8">
        <w:t>each pair having an inner 500 mL cup and an outer 1 L</w:t>
      </w:r>
      <w:r w:rsidR="0068767C">
        <w:t xml:space="preserve"> cup) which were placed into the ground so that the lip of the cup was flush with the ground surface.</w:t>
      </w:r>
      <w:r w:rsidR="00B211E2">
        <w:t xml:space="preserve"> The two pairs of cups were placed 1 m from each other</w:t>
      </w:r>
      <w:r w:rsidR="001D3C51">
        <w:t>, and garden edging (</w:t>
      </w:r>
      <w:proofErr w:type="spellStart"/>
      <w:r w:rsidR="001D3C51">
        <w:t>Suncast</w:t>
      </w:r>
      <w:proofErr w:type="spellEnd"/>
      <w:r w:rsidR="00E05E86" w:rsidRPr="00E05E86">
        <w:t>®</w:t>
      </w:r>
      <w:r w:rsidR="001D3C51">
        <w:t xml:space="preserve"> eco edge)</w:t>
      </w:r>
      <w:r w:rsidR="00E05E86">
        <w:t xml:space="preserve"> was placed between them to create a barrier to lead ground-dwelling invertebrates into the cups. </w:t>
      </w:r>
      <w:r w:rsidR="006B4517">
        <w:t xml:space="preserve">Cups were filled 4 cm high with propylene glycol (recreational vehicle and marine antifreeze, </w:t>
      </w:r>
      <w:r w:rsidR="00785B15">
        <w:t>Peak Company Old World Industries, Clear Lake, Texas)</w:t>
      </w:r>
      <w:r w:rsidR="005F7FC4">
        <w:t xml:space="preserve"> with a few drops of </w:t>
      </w:r>
      <w:r w:rsidR="00594339">
        <w:t>detergent added</w:t>
      </w:r>
      <w:r w:rsidR="00FB3FB4">
        <w:t xml:space="preserve"> to prevent escapes</w:t>
      </w:r>
      <w:r w:rsidR="00594339">
        <w:t>.</w:t>
      </w:r>
      <w:r w:rsidRPr="002D75B1">
        <w:t xml:space="preserve"> </w:t>
      </w:r>
      <w:r w:rsidR="00387F66">
        <w:t>Masonite board (100 cm</w:t>
      </w:r>
      <w:r w:rsidR="00387F66">
        <w:rPr>
          <w:vertAlign w:val="superscript"/>
        </w:rPr>
        <w:t>2</w:t>
      </w:r>
      <w:r w:rsidR="00387F66">
        <w:t>)</w:t>
      </w:r>
      <w:r w:rsidR="004717BA">
        <w:t xml:space="preserve"> was placed at 3 cm above each cup to prevent overfilling due to rain.</w:t>
      </w:r>
      <w:r w:rsidR="002F6885">
        <w:t xml:space="preserve"> Steel landscaping cloth was secured over cups using 30 cm stakes </w:t>
      </w:r>
      <w:proofErr w:type="gramStart"/>
      <w:r w:rsidR="002F6885">
        <w:t>in order to</w:t>
      </w:r>
      <w:proofErr w:type="gramEnd"/>
      <w:r w:rsidR="002F6885">
        <w:t xml:space="preserve"> limit </w:t>
      </w:r>
      <w:r w:rsidR="00B321B8">
        <w:t xml:space="preserve">mammal disturbance. </w:t>
      </w:r>
      <w:r w:rsidR="008B3930">
        <w:lastRenderedPageBreak/>
        <w:t xml:space="preserve">Traps were collected </w:t>
      </w:r>
      <w:r w:rsidR="00A851B9">
        <w:t xml:space="preserve">every 2 weeks by pouring sample through a fine mesh </w:t>
      </w:r>
      <w:commentRangeStart w:id="0"/>
      <w:r w:rsidR="00A851B9">
        <w:t>strainer</w:t>
      </w:r>
      <w:commentRangeEnd w:id="0"/>
      <w:r w:rsidR="00E41B40">
        <w:rPr>
          <w:rStyle w:val="CommentReference"/>
        </w:rPr>
        <w:commentReference w:id="0"/>
      </w:r>
      <w:r w:rsidR="00A851B9">
        <w:t xml:space="preserve"> </w:t>
      </w:r>
      <w:r w:rsidR="00EC6D94">
        <w:t xml:space="preserve">and placing the </w:t>
      </w:r>
      <w:r w:rsidR="00803238">
        <w:t>contents</w:t>
      </w:r>
      <w:r w:rsidR="00EC6D94">
        <w:t xml:space="preserve"> into 70% ethanol, before refilling the sample cups</w:t>
      </w:r>
      <w:r w:rsidR="00803238">
        <w:t xml:space="preserve"> with propylene glycol</w:t>
      </w:r>
      <w:r w:rsidR="00EC6D94">
        <w:t xml:space="preserve"> for the following </w:t>
      </w:r>
      <w:r w:rsidR="00803238">
        <w:t>interval.</w:t>
      </w:r>
    </w:p>
    <w:p w14:paraId="5FE26B1D" w14:textId="77777777" w:rsidR="00387F66" w:rsidRDefault="00387F66"/>
    <w:p w14:paraId="77B0A4CD" w14:textId="731EC03B" w:rsidR="00AA63C0" w:rsidRPr="00216B36" w:rsidRDefault="00216B36">
      <w:pPr>
        <w:rPr>
          <w:u w:val="single"/>
        </w:rPr>
      </w:pPr>
      <w:r w:rsidRPr="00216B36">
        <w:rPr>
          <w:u w:val="single"/>
        </w:rPr>
        <w:t>Annual temperature and rainfall</w:t>
      </w:r>
    </w:p>
    <w:p w14:paraId="36E6918B" w14:textId="77777777" w:rsidR="00AA63C0" w:rsidRDefault="00AA63C0"/>
    <w:p w14:paraId="02934BA0" w14:textId="77777777" w:rsidR="00216B36" w:rsidRDefault="00216B36"/>
    <w:p w14:paraId="249685B0" w14:textId="77777777" w:rsidR="00216B36" w:rsidRDefault="00216B36"/>
    <w:p w14:paraId="52647830" w14:textId="477BF1E9" w:rsidR="007C4FA0" w:rsidRPr="00AA63C0" w:rsidRDefault="00AA63C0">
      <w:pPr>
        <w:rPr>
          <w:u w:val="single"/>
        </w:rPr>
      </w:pPr>
      <w:r w:rsidRPr="00AA63C0">
        <w:rPr>
          <w:u w:val="single"/>
        </w:rPr>
        <w:t>Environmental variables</w:t>
      </w:r>
      <w:r w:rsidR="00977F14">
        <w:rPr>
          <w:u w:val="single"/>
        </w:rPr>
        <w:t xml:space="preserve"> of the forest floor</w:t>
      </w:r>
    </w:p>
    <w:p w14:paraId="516A4D32" w14:textId="77777777" w:rsidR="007C4FA0" w:rsidRDefault="007C4FA0"/>
    <w:p w14:paraId="6AA70ABB" w14:textId="77777777" w:rsidR="00AA63C0" w:rsidRDefault="00AA63C0"/>
    <w:p w14:paraId="12DF557D" w14:textId="77777777" w:rsidR="00AA63C0" w:rsidRDefault="00AA63C0"/>
    <w:p w14:paraId="42FA2F2D" w14:textId="7184D08F" w:rsidR="00E41B40" w:rsidRPr="0070597B" w:rsidRDefault="0070597B">
      <w:pPr>
        <w:rPr>
          <w:u w:val="single"/>
        </w:rPr>
      </w:pPr>
      <w:r w:rsidRPr="0070597B">
        <w:rPr>
          <w:u w:val="single"/>
        </w:rPr>
        <w:t>Ground beetle identification</w:t>
      </w:r>
    </w:p>
    <w:p w14:paraId="374B71F2" w14:textId="77777777" w:rsidR="00E41B40" w:rsidRDefault="00E41B40"/>
    <w:p w14:paraId="3E4EA145" w14:textId="72DFB8AB" w:rsidR="00CF1440" w:rsidRDefault="002B515F">
      <w:r>
        <w:t>Beetles were counted and removed from the samples</w:t>
      </w:r>
      <w:r w:rsidR="002A20EF">
        <w:t xml:space="preserve">, and </w:t>
      </w:r>
      <w:r w:rsidR="00161A61">
        <w:t xml:space="preserve">all ground beetles (Carabidae) were pinned or pointed. Ground beetles were identified to species using keys in </w:t>
      </w:r>
      <w:r w:rsidR="00161A61">
        <w:fldChar w:fldCharType="begin"/>
      </w:r>
      <w:r w:rsidR="005E0DC9">
        <w:instrText xml:space="preserve"> ADDIN ZOTERO_ITEM CSL_CITATION {"citationID":"N4gdQZyr","properties":{"formattedCitation":"(Lindroth 1961; Bousquet 2010; Freitag 1969; Bousquet and Messer 2010; Harden and Guarnieri 2017)","plainCitation":"(Lindroth 1961; Bousquet 2010; Freitag 1969; Bousquet and Messer 2010;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G."}],"issued":{"date-parts":[["2017",9]]}}}],"schema":"https://github.com/citation-style-language/schema/raw/master/csl-citation.json"} </w:instrText>
      </w:r>
      <w:r w:rsidR="00161A61">
        <w:fldChar w:fldCharType="separate"/>
      </w:r>
      <w:r w:rsidR="005E0DC9" w:rsidRPr="005E0DC9">
        <w:rPr>
          <w:rFonts w:ascii="Aptos" w:hAnsi="Aptos"/>
        </w:rPr>
        <w:t>(Lindroth 1961; Bousquet 2010; Freitag 1969; Bousquet and Messer 2010; Harden and Guarnieri 2017)</w:t>
      </w:r>
      <w:r w:rsidR="00161A61">
        <w:fldChar w:fldCharType="end"/>
      </w:r>
      <w:r w:rsidR="0031212B">
        <w:t xml:space="preserve"> and the nomenclature was verified using </w:t>
      </w:r>
      <w:r w:rsidR="0031212B">
        <w:fldChar w:fldCharType="begin"/>
      </w:r>
      <w:r w:rsidR="0031212B">
        <w:instrText xml:space="preserve"> ADDIN ZOTERO_ITEM CSL_CITATION {"citationID":"yymY7RKG","properties":{"formattedCitation":"(Bousquet 2012)","plainCitation":"(Bousquet 2012)","noteIndex":0},"citationItems":[{"id":301,"uris":["http://zotero.org/groups/5154252/items/P2HS6PQA"],"itemData":{"id":301,"type":"article-journal","container-title":"ZooKeys","DOI":"10.3897/zookeys.245.3416","ISSN":"1313-2970,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31212B">
        <w:fldChar w:fldCharType="separate"/>
      </w:r>
      <w:r w:rsidR="0031212B" w:rsidRPr="0031212B">
        <w:rPr>
          <w:rFonts w:ascii="Aptos" w:hAnsi="Aptos"/>
        </w:rPr>
        <w:t>(Bousquet 2012)</w:t>
      </w:r>
      <w:r w:rsidR="0031212B">
        <w:fldChar w:fldCharType="end"/>
      </w:r>
      <w:r w:rsidR="0031212B">
        <w:t xml:space="preserve">. </w:t>
      </w:r>
    </w:p>
    <w:sectPr w:rsidR="00CF1440" w:rsidSect="00820AA1">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1-27T13:58:00Z" w:initials="AT">
    <w:p w14:paraId="2C18781B" w14:textId="77777777" w:rsidR="00DB72D4" w:rsidRDefault="00E41B40" w:rsidP="00DB72D4">
      <w:pPr>
        <w:pStyle w:val="CommentText"/>
      </w:pPr>
      <w:r>
        <w:rPr>
          <w:rStyle w:val="CommentReference"/>
        </w:rPr>
        <w:annotationRef/>
      </w:r>
      <w:r w:rsidR="00DB72D4">
        <w:t>It might be good to report the strainer mesh size  (like what size of invert would likely be lost?)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1878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2C9730" w16cex:dateUtc="2025-01-27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18781B" w16cid:durableId="432C97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9B"/>
    <w:rsid w:val="00003A2F"/>
    <w:rsid w:val="00020530"/>
    <w:rsid w:val="00161A61"/>
    <w:rsid w:val="00190806"/>
    <w:rsid w:val="001C14C4"/>
    <w:rsid w:val="001D3C51"/>
    <w:rsid w:val="001D3CA4"/>
    <w:rsid w:val="00216B36"/>
    <w:rsid w:val="002826F8"/>
    <w:rsid w:val="002A20EF"/>
    <w:rsid w:val="002B515F"/>
    <w:rsid w:val="002D75B1"/>
    <w:rsid w:val="002F0267"/>
    <w:rsid w:val="002F6885"/>
    <w:rsid w:val="0031212B"/>
    <w:rsid w:val="00387F66"/>
    <w:rsid w:val="003F5524"/>
    <w:rsid w:val="0043059B"/>
    <w:rsid w:val="004717BA"/>
    <w:rsid w:val="004B0250"/>
    <w:rsid w:val="005503F2"/>
    <w:rsid w:val="005706A0"/>
    <w:rsid w:val="00594339"/>
    <w:rsid w:val="005D01E4"/>
    <w:rsid w:val="005E0DC9"/>
    <w:rsid w:val="005F6BAB"/>
    <w:rsid w:val="005F7FC4"/>
    <w:rsid w:val="00627607"/>
    <w:rsid w:val="006749F0"/>
    <w:rsid w:val="0068767C"/>
    <w:rsid w:val="00691B71"/>
    <w:rsid w:val="006A0353"/>
    <w:rsid w:val="006A1852"/>
    <w:rsid w:val="006B4517"/>
    <w:rsid w:val="0070597B"/>
    <w:rsid w:val="00712D79"/>
    <w:rsid w:val="00731857"/>
    <w:rsid w:val="00785B15"/>
    <w:rsid w:val="007C4FA0"/>
    <w:rsid w:val="00803238"/>
    <w:rsid w:val="00803F09"/>
    <w:rsid w:val="00820AA1"/>
    <w:rsid w:val="0087034F"/>
    <w:rsid w:val="0089164C"/>
    <w:rsid w:val="008A078B"/>
    <w:rsid w:val="008B28D8"/>
    <w:rsid w:val="008B3930"/>
    <w:rsid w:val="009617A1"/>
    <w:rsid w:val="00977F14"/>
    <w:rsid w:val="00A14E61"/>
    <w:rsid w:val="00A62E77"/>
    <w:rsid w:val="00A851B9"/>
    <w:rsid w:val="00AA5FFF"/>
    <w:rsid w:val="00AA63C0"/>
    <w:rsid w:val="00B211E2"/>
    <w:rsid w:val="00B321B8"/>
    <w:rsid w:val="00B853F7"/>
    <w:rsid w:val="00C26DB4"/>
    <w:rsid w:val="00C6572B"/>
    <w:rsid w:val="00CF1440"/>
    <w:rsid w:val="00D5117B"/>
    <w:rsid w:val="00D81EBF"/>
    <w:rsid w:val="00D8515B"/>
    <w:rsid w:val="00D858F3"/>
    <w:rsid w:val="00D96412"/>
    <w:rsid w:val="00DB72D4"/>
    <w:rsid w:val="00DC18F9"/>
    <w:rsid w:val="00DE4602"/>
    <w:rsid w:val="00DF0D57"/>
    <w:rsid w:val="00E05E86"/>
    <w:rsid w:val="00E41B40"/>
    <w:rsid w:val="00EC6D94"/>
    <w:rsid w:val="00FB3FB4"/>
    <w:rsid w:val="00FD6573"/>
    <w:rsid w:val="00FE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A2EC"/>
  <w15:chartTrackingRefBased/>
  <w15:docId w15:val="{12075B6D-4DF9-45E3-A15C-01669A0A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430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9B"/>
    <w:rPr>
      <w:rFonts w:eastAsiaTheme="majorEastAsia" w:cstheme="majorBidi"/>
      <w:color w:val="272727" w:themeColor="text1" w:themeTint="D8"/>
    </w:rPr>
  </w:style>
  <w:style w:type="paragraph" w:styleId="Title">
    <w:name w:val="Title"/>
    <w:basedOn w:val="Normal"/>
    <w:next w:val="Normal"/>
    <w:link w:val="TitleChar"/>
    <w:uiPriority w:val="10"/>
    <w:qFormat/>
    <w:rsid w:val="00430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59B"/>
    <w:rPr>
      <w:i/>
      <w:iCs/>
      <w:color w:val="404040" w:themeColor="text1" w:themeTint="BF"/>
    </w:rPr>
  </w:style>
  <w:style w:type="paragraph" w:styleId="ListParagraph">
    <w:name w:val="List Paragraph"/>
    <w:basedOn w:val="Normal"/>
    <w:uiPriority w:val="34"/>
    <w:qFormat/>
    <w:rsid w:val="0043059B"/>
    <w:pPr>
      <w:ind w:left="720"/>
      <w:contextualSpacing/>
    </w:pPr>
  </w:style>
  <w:style w:type="character" w:styleId="IntenseEmphasis">
    <w:name w:val="Intense Emphasis"/>
    <w:basedOn w:val="DefaultParagraphFont"/>
    <w:uiPriority w:val="21"/>
    <w:qFormat/>
    <w:rsid w:val="0043059B"/>
    <w:rPr>
      <w:i/>
      <w:iCs/>
      <w:color w:val="0F4761" w:themeColor="accent1" w:themeShade="BF"/>
    </w:rPr>
  </w:style>
  <w:style w:type="paragraph" w:styleId="IntenseQuote">
    <w:name w:val="Intense Quote"/>
    <w:basedOn w:val="Normal"/>
    <w:next w:val="Normal"/>
    <w:link w:val="IntenseQuoteChar"/>
    <w:uiPriority w:val="30"/>
    <w:qFormat/>
    <w:rsid w:val="00430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9B"/>
    <w:rPr>
      <w:i/>
      <w:iCs/>
      <w:color w:val="0F4761" w:themeColor="accent1" w:themeShade="BF"/>
    </w:rPr>
  </w:style>
  <w:style w:type="character" w:styleId="IntenseReference">
    <w:name w:val="Intense Reference"/>
    <w:basedOn w:val="DefaultParagraphFont"/>
    <w:uiPriority w:val="32"/>
    <w:qFormat/>
    <w:rsid w:val="0043059B"/>
    <w:rPr>
      <w:b/>
      <w:bCs/>
      <w:smallCaps/>
      <w:color w:val="0F4761" w:themeColor="accent1" w:themeShade="BF"/>
      <w:spacing w:val="5"/>
    </w:rPr>
  </w:style>
  <w:style w:type="character" w:styleId="CommentReference">
    <w:name w:val="annotation reference"/>
    <w:basedOn w:val="DefaultParagraphFont"/>
    <w:uiPriority w:val="99"/>
    <w:semiHidden/>
    <w:unhideWhenUsed/>
    <w:rsid w:val="00E41B40"/>
    <w:rPr>
      <w:sz w:val="16"/>
      <w:szCs w:val="16"/>
    </w:rPr>
  </w:style>
  <w:style w:type="paragraph" w:styleId="CommentText">
    <w:name w:val="annotation text"/>
    <w:basedOn w:val="Normal"/>
    <w:link w:val="CommentTextChar"/>
    <w:uiPriority w:val="99"/>
    <w:unhideWhenUsed/>
    <w:rsid w:val="00E41B40"/>
    <w:rPr>
      <w:sz w:val="20"/>
      <w:szCs w:val="20"/>
    </w:rPr>
  </w:style>
  <w:style w:type="character" w:customStyle="1" w:styleId="CommentTextChar">
    <w:name w:val="Comment Text Char"/>
    <w:basedOn w:val="DefaultParagraphFont"/>
    <w:link w:val="CommentText"/>
    <w:uiPriority w:val="99"/>
    <w:rsid w:val="00E41B40"/>
    <w:rPr>
      <w:sz w:val="20"/>
      <w:szCs w:val="20"/>
    </w:rPr>
  </w:style>
  <w:style w:type="paragraph" w:styleId="CommentSubject">
    <w:name w:val="annotation subject"/>
    <w:basedOn w:val="CommentText"/>
    <w:next w:val="CommentText"/>
    <w:link w:val="CommentSubjectChar"/>
    <w:uiPriority w:val="99"/>
    <w:semiHidden/>
    <w:unhideWhenUsed/>
    <w:rsid w:val="00E41B40"/>
    <w:rPr>
      <w:b/>
      <w:bCs/>
    </w:rPr>
  </w:style>
  <w:style w:type="character" w:customStyle="1" w:styleId="CommentSubjectChar">
    <w:name w:val="Comment Subject Char"/>
    <w:basedOn w:val="CommentTextChar"/>
    <w:link w:val="CommentSubject"/>
    <w:uiPriority w:val="99"/>
    <w:semiHidden/>
    <w:rsid w:val="00E41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653">
      <w:bodyDiv w:val="1"/>
      <w:marLeft w:val="0"/>
      <w:marRight w:val="0"/>
      <w:marTop w:val="0"/>
      <w:marBottom w:val="0"/>
      <w:divBdr>
        <w:top w:val="none" w:sz="0" w:space="0" w:color="auto"/>
        <w:left w:val="none" w:sz="0" w:space="0" w:color="auto"/>
        <w:bottom w:val="none" w:sz="0" w:space="0" w:color="auto"/>
        <w:right w:val="none" w:sz="0" w:space="0" w:color="auto"/>
      </w:divBdr>
    </w:div>
    <w:div w:id="359667619">
      <w:bodyDiv w:val="1"/>
      <w:marLeft w:val="0"/>
      <w:marRight w:val="0"/>
      <w:marTop w:val="0"/>
      <w:marBottom w:val="0"/>
      <w:divBdr>
        <w:top w:val="none" w:sz="0" w:space="0" w:color="auto"/>
        <w:left w:val="none" w:sz="0" w:space="0" w:color="auto"/>
        <w:bottom w:val="none" w:sz="0" w:space="0" w:color="auto"/>
        <w:right w:val="none" w:sz="0" w:space="0" w:color="auto"/>
      </w:divBdr>
    </w:div>
    <w:div w:id="375859378">
      <w:bodyDiv w:val="1"/>
      <w:marLeft w:val="0"/>
      <w:marRight w:val="0"/>
      <w:marTop w:val="0"/>
      <w:marBottom w:val="0"/>
      <w:divBdr>
        <w:top w:val="none" w:sz="0" w:space="0" w:color="auto"/>
        <w:left w:val="none" w:sz="0" w:space="0" w:color="auto"/>
        <w:bottom w:val="none" w:sz="0" w:space="0" w:color="auto"/>
        <w:right w:val="none" w:sz="0" w:space="0" w:color="auto"/>
      </w:divBdr>
    </w:div>
    <w:div w:id="4267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67</cp:revision>
  <dcterms:created xsi:type="dcterms:W3CDTF">2025-01-27T17:57:00Z</dcterms:created>
  <dcterms:modified xsi:type="dcterms:W3CDTF">2025-01-27T19:20:00Z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id="gjuulLX0"/&gt;&lt;style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