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EA4E" w14:textId="77777777" w:rsidR="002317A1" w:rsidRDefault="00000000">
      <w:pPr>
        <w:numPr>
          <w:ilvl w:val="0"/>
          <w:numId w:val="1"/>
        </w:numPr>
        <w:rPr>
          <w:b/>
          <w:bCs/>
          <w:highlight w:val="yellow"/>
        </w:rPr>
      </w:pPr>
      <w:r>
        <w:rPr>
          <w:rFonts w:ascii="Times New Roman" w:eastAsia="Times New Roman" w:hAnsi="Times New Roman" w:cs="Times New Roman"/>
          <w:b/>
          <w:bCs/>
          <w:highlight w:val="yellow"/>
        </w:rPr>
        <w:t>«Оформить права» -- &gt; «База данных» -- &gt; Чек-лист: База данных в стартапе: как закрепить права и не потерять актив</w:t>
      </w:r>
    </w:p>
    <w:p w14:paraId="76909B15" w14:textId="77777777" w:rsidR="002317A1" w:rsidRDefault="00000000">
      <w:pPr>
        <w:pStyle w:val="1"/>
      </w:pPr>
      <w:r>
        <w:t>Шаг 1. Определение возможных способов защиты</w:t>
      </w:r>
    </w:p>
    <w:p w14:paraId="249A7249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Прежде чем выбирать способ охраны, определите:</w:t>
      </w:r>
    </w:p>
    <w:p w14:paraId="541F2586" w14:textId="77777777" w:rsidR="002317A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Является ли подбор или расположение материалов результатом вашего творческого труда (оригинальная структура, неочевидная систематизация)? Если да — база данных является </w:t>
      </w:r>
      <w:r>
        <w:rPr>
          <w:rFonts w:ascii="Times New Roman" w:eastAsia="Times New Roman" w:hAnsi="Times New Roman" w:cs="Times New Roman"/>
          <w:b/>
          <w:bCs/>
        </w:rPr>
        <w:t xml:space="preserve">составным произведением </w:t>
      </w:r>
      <w:r>
        <w:rPr>
          <w:rFonts w:ascii="Times New Roman" w:eastAsia="Times New Roman" w:hAnsi="Times New Roman" w:cs="Times New Roman"/>
        </w:rPr>
        <w:t>и охраняется авторским правом (ст. 1260 ГК РФ).</w:t>
      </w:r>
    </w:p>
    <w:p w14:paraId="49EF58B3" w14:textId="77777777" w:rsidR="002317A1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Вложены ли в создание базы существенные финансовые, материальные или организационные затраты (база данных содержит не меньше 10 тыс. самостоятельных информационных элементов)? Если да — возникает </w:t>
      </w:r>
      <w:r>
        <w:rPr>
          <w:rFonts w:ascii="Times New Roman" w:eastAsia="Times New Roman" w:hAnsi="Times New Roman" w:cs="Times New Roman"/>
          <w:b/>
          <w:bCs/>
        </w:rPr>
        <w:t>исключительное право изготовителя базы данных</w:t>
      </w:r>
      <w:r>
        <w:rPr>
          <w:rFonts w:ascii="Times New Roman" w:eastAsia="Times New Roman" w:hAnsi="Times New Roman" w:cs="Times New Roman"/>
        </w:rPr>
        <w:t xml:space="preserve"> (ст. 1334 ГК РФ), которое защищает содержимое от несанкционированного извлечения и повторного использования.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D93ECC" wp14:editId="354B1A56">
                <wp:simplePos x="0" y="0"/>
                <wp:positionH relativeFrom="column">
                  <wp:posOffset>1</wp:posOffset>
                </wp:positionH>
                <wp:positionV relativeFrom="paragraph">
                  <wp:posOffset>1278792</wp:posOffset>
                </wp:positionV>
                <wp:extent cx="5950634" cy="442888"/>
                <wp:effectExtent l="0" t="0" r="12065" b="1460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634" cy="44288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1278792</wp:posOffset>
                </wp:positionV>
                <wp:extent cx="5962699" cy="45749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99" cy="4574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E2AAEC1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!Важно:</w:t>
      </w:r>
      <w:r>
        <w:rPr>
          <w:rFonts w:ascii="Times New Roman" w:eastAsia="Times New Roman" w:hAnsi="Times New Roman" w:cs="Times New Roman"/>
        </w:rPr>
        <w:t xml:space="preserve"> одна и та же база может охраняться одновременно и как составное произведение, и как объект смежных прав. Эти режимы действуют независимо друг от друга</w:t>
      </w:r>
    </w:p>
    <w:tbl>
      <w:tblPr>
        <w:tblStyle w:val="a5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5"/>
        <w:gridCol w:w="3115"/>
        <w:gridCol w:w="3115"/>
      </w:tblGrid>
      <w:tr w:rsidR="002317A1" w14:paraId="6BB61A6D" w14:textId="77777777">
        <w:tc>
          <w:tcPr>
            <w:tcW w:w="3115" w:type="dxa"/>
            <w:shd w:val="clear" w:color="auto" w:fill="C5E0B3"/>
          </w:tcPr>
          <w:p w14:paraId="467F1940" w14:textId="77777777" w:rsidR="002317A1" w:rsidRDefault="002317A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5" w:type="dxa"/>
            <w:shd w:val="clear" w:color="auto" w:fill="C5E0B3"/>
          </w:tcPr>
          <w:p w14:paraId="14F87EE6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Авторское право (составное произведение)</w:t>
            </w:r>
          </w:p>
        </w:tc>
        <w:tc>
          <w:tcPr>
            <w:tcW w:w="3115" w:type="dxa"/>
            <w:shd w:val="clear" w:color="auto" w:fill="C5E0B3"/>
          </w:tcPr>
          <w:p w14:paraId="1C28FE72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Исключительное право изготовителя</w:t>
            </w:r>
          </w:p>
        </w:tc>
      </w:tr>
      <w:tr w:rsidR="002317A1" w14:paraId="7B35C1A9" w14:textId="77777777">
        <w:tc>
          <w:tcPr>
            <w:tcW w:w="3115" w:type="dxa"/>
          </w:tcPr>
          <w:p w14:paraId="4420BE95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Что охраняется</w:t>
            </w:r>
          </w:p>
        </w:tc>
        <w:tc>
          <w:tcPr>
            <w:tcW w:w="3115" w:type="dxa"/>
          </w:tcPr>
          <w:p w14:paraId="373C450D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Творческий подбор или расположение материалов</w:t>
            </w:r>
          </w:p>
        </w:tc>
        <w:tc>
          <w:tcPr>
            <w:tcW w:w="3115" w:type="dxa"/>
          </w:tcPr>
          <w:p w14:paraId="1E31E548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Само содержимое базы (затраты на ее создание)</w:t>
            </w:r>
          </w:p>
        </w:tc>
      </w:tr>
      <w:tr w:rsidR="002317A1" w14:paraId="3940BEAE" w14:textId="77777777">
        <w:tc>
          <w:tcPr>
            <w:tcW w:w="3115" w:type="dxa"/>
          </w:tcPr>
          <w:p w14:paraId="58536DAC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Когда охраняется</w:t>
            </w:r>
          </w:p>
        </w:tc>
        <w:tc>
          <w:tcPr>
            <w:tcW w:w="3115" w:type="dxa"/>
          </w:tcPr>
          <w:p w14:paraId="13A3544D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Оригинальность структуры</w:t>
            </w:r>
          </w:p>
        </w:tc>
        <w:tc>
          <w:tcPr>
            <w:tcW w:w="3115" w:type="dxa"/>
          </w:tcPr>
          <w:p w14:paraId="7BE5C843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Существенные затраты (презумпция (</w:t>
            </w:r>
            <w:r>
              <w:rPr>
                <w:rFonts w:ascii="Times New Roman" w:eastAsia="Times New Roman" w:hAnsi="Times New Roman" w:cs="Times New Roman"/>
                <w:i/>
                <w:iCs/>
                <w:color w:val="EE0000"/>
              </w:rPr>
              <w:t>можно ли здесь добавить выскакивающее пояснение</w:t>
            </w:r>
            <w:r>
              <w:rPr>
                <w:rFonts w:ascii="Times New Roman" w:eastAsia="Times New Roman" w:hAnsi="Times New Roman" w:cs="Times New Roman"/>
                <w:color w:val="EE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iCs/>
                <w:color w:val="EE0000"/>
                <w:u w:val="single"/>
              </w:rPr>
              <w:t>суд считает утверждение истинным, пока не доказано обратное</w:t>
            </w:r>
            <w:r>
              <w:rPr>
                <w:rFonts w:ascii="Times New Roman" w:eastAsia="Times New Roman" w:hAnsi="Times New Roman" w:cs="Times New Roman"/>
              </w:rPr>
              <w:t>) при наличии не менее 10 тыс. информационных элементов)</w:t>
            </w:r>
          </w:p>
        </w:tc>
      </w:tr>
      <w:tr w:rsidR="002317A1" w14:paraId="39F09929" w14:textId="77777777">
        <w:tc>
          <w:tcPr>
            <w:tcW w:w="3115" w:type="dxa"/>
          </w:tcPr>
          <w:p w14:paraId="03DFFB4C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Срок</w:t>
            </w:r>
          </w:p>
        </w:tc>
        <w:tc>
          <w:tcPr>
            <w:tcW w:w="3115" w:type="dxa"/>
          </w:tcPr>
          <w:p w14:paraId="42B83D2B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всей жизни автора и 70 лет после его смерти (1281 ГК РФ)</w:t>
            </w:r>
          </w:p>
        </w:tc>
        <w:tc>
          <w:tcPr>
            <w:tcW w:w="3115" w:type="dxa"/>
          </w:tcPr>
          <w:p w14:paraId="310F7B0E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15 лет с момента создания (1335 ГК РФ)</w:t>
            </w:r>
          </w:p>
        </w:tc>
      </w:tr>
      <w:tr w:rsidR="002317A1" w14:paraId="238C6E04" w14:textId="77777777">
        <w:tc>
          <w:tcPr>
            <w:tcW w:w="3115" w:type="dxa"/>
          </w:tcPr>
          <w:p w14:paraId="5E3081E6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Регистрация</w:t>
            </w:r>
          </w:p>
        </w:tc>
        <w:tc>
          <w:tcPr>
            <w:tcW w:w="3115" w:type="dxa"/>
          </w:tcPr>
          <w:p w14:paraId="05F443C1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Добровольная (1262 ГК РФ)</w:t>
            </w:r>
          </w:p>
        </w:tc>
        <w:tc>
          <w:tcPr>
            <w:tcW w:w="3115" w:type="dxa"/>
          </w:tcPr>
          <w:p w14:paraId="06D7E582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Добровольная (1334 ГК РФ)</w:t>
            </w:r>
          </w:p>
        </w:tc>
      </w:tr>
    </w:tbl>
    <w:p w14:paraId="5D65555C" w14:textId="77777777" w:rsidR="002317A1" w:rsidRDefault="002317A1">
      <w:pPr>
        <w:rPr>
          <w:rFonts w:ascii="Times New Roman" w:eastAsia="Times New Roman" w:hAnsi="Times New Roman" w:cs="Times New Roman"/>
        </w:rPr>
      </w:pPr>
    </w:p>
    <w:p w14:paraId="13889652" w14:textId="77777777" w:rsidR="002317A1" w:rsidRDefault="00000000">
      <w:pPr>
        <w:pStyle w:val="1"/>
      </w:pPr>
      <w:r>
        <w:t>Шаг 2. Особые случаи фиксирования права на базу данных за компанией</w:t>
      </w:r>
    </w:p>
    <w:p w14:paraId="79FB90D7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Сложности могут возникнуть, если:</w:t>
      </w:r>
    </w:p>
    <w:p w14:paraId="42F08C21" w14:textId="77777777" w:rsidR="002317A1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базу создавали штатные сотрудники</w:t>
      </w:r>
    </w:p>
    <w:p w14:paraId="213CA9ED" w14:textId="77777777" w:rsidR="002317A1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базу создавали сторонние организации или фрилансеры</w:t>
      </w:r>
    </w:p>
    <w:p w14:paraId="2F4FBE11" w14:textId="77777777" w:rsidR="002317A1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база создавалась несколькими авторами</w:t>
      </w:r>
    </w:p>
    <w:p w14:paraId="213B6B45" w14:textId="31B0315A" w:rsidR="002317A1" w:rsidRPr="005745C1" w:rsidRDefault="00000000">
      <w:pPr>
        <w:rPr>
          <w:rFonts w:ascii="Times New Roman" w:eastAsia="Times New Roman" w:hAnsi="Times New Roman" w:cs="Times New Roman"/>
          <w:color w:val="5B9BD5"/>
          <w:lang w:val="ru-RU"/>
        </w:rPr>
      </w:pPr>
      <w:r>
        <w:rPr>
          <w:rFonts w:ascii="Times New Roman" w:eastAsia="Times New Roman" w:hAnsi="Times New Roman" w:cs="Times New Roman"/>
        </w:rPr>
        <w:t xml:space="preserve">Подробнее о том, как действовать в данном случае: </w:t>
      </w:r>
      <w:r>
        <w:rPr>
          <w:rFonts w:ascii="Times New Roman" w:eastAsia="Times New Roman" w:hAnsi="Times New Roman" w:cs="Times New Roman"/>
          <w:color w:val="4A86E8"/>
        </w:rPr>
        <w:t>Статья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color w:val="5B9BD5"/>
        </w:rPr>
        <w:t>«Кому принадлежат права на базу данных?»</w:t>
      </w:r>
      <w:r w:rsidR="005745C1">
        <w:rPr>
          <w:rFonts w:ascii="Times New Roman" w:eastAsia="Times New Roman" w:hAnsi="Times New Roman" w:cs="Times New Roman"/>
          <w:color w:val="5B9BD5"/>
          <w:lang w:val="ru-RU"/>
        </w:rPr>
        <w:t xml:space="preserve"> </w:t>
      </w:r>
      <w:r w:rsidR="005745C1" w:rsidRPr="005745C1">
        <w:rPr>
          <w:rFonts w:ascii="Times New Roman" w:eastAsia="Times New Roman" w:hAnsi="Times New Roman" w:cs="Times New Roman"/>
          <w:lang w:val="ru-RU"/>
        </w:rPr>
        <w:t xml:space="preserve">и </w:t>
      </w:r>
      <w:r w:rsidR="005745C1">
        <w:rPr>
          <w:rFonts w:ascii="Times New Roman" w:eastAsia="Times New Roman" w:hAnsi="Times New Roman" w:cs="Times New Roman"/>
          <w:color w:val="5B9BD5"/>
          <w:lang w:val="ru-RU"/>
        </w:rPr>
        <w:t xml:space="preserve">Статья: </w:t>
      </w:r>
      <w:r w:rsidR="005745C1" w:rsidRPr="005745C1">
        <w:rPr>
          <w:rFonts w:ascii="Times New Roman" w:eastAsia="Times New Roman" w:hAnsi="Times New Roman" w:cs="Times New Roman"/>
          <w:color w:val="5B9BD5"/>
          <w:lang w:val="ru-RU"/>
        </w:rPr>
        <w:t>«Соавторство при создании базы данных»</w:t>
      </w:r>
      <w:r w:rsidR="005745C1">
        <w:rPr>
          <w:rFonts w:ascii="Times New Roman" w:eastAsia="Times New Roman" w:hAnsi="Times New Roman" w:cs="Times New Roman"/>
          <w:color w:val="5B9BD5"/>
          <w:lang w:val="ru-RU"/>
        </w:rPr>
        <w:t>.</w:t>
      </w:r>
    </w:p>
    <w:p w14:paraId="7F8EE86A" w14:textId="77777777" w:rsidR="002317A1" w:rsidRDefault="00000000">
      <w:pPr>
        <w:pStyle w:val="1"/>
      </w:pPr>
      <w:r>
        <w:lastRenderedPageBreak/>
        <w:t>Шаг 3. Проведите государственную регистрацию (добровольно, но желательно)</w:t>
      </w:r>
    </w:p>
    <w:p w14:paraId="28772D1C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Регистрация в Роспатенте не является обязательной для возникновения прав, но дает свидетельство, которое упрощает доказывание прав в спорах и повышает доверие инвесторов.</w:t>
      </w:r>
    </w:p>
    <w:p w14:paraId="7F0A55B9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3.1. Что нужно подать для регистрации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394"/>
        <w:gridCol w:w="3963"/>
      </w:tblGrid>
      <w:tr w:rsidR="002317A1" w14:paraId="04B62FA8" w14:textId="77777777">
        <w:tc>
          <w:tcPr>
            <w:tcW w:w="988" w:type="dxa"/>
            <w:shd w:val="clear" w:color="auto" w:fill="C5E0B3"/>
          </w:tcPr>
          <w:p w14:paraId="4A879025" w14:textId="77777777" w:rsidR="002317A1" w:rsidRDefault="002317A1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94" w:type="dxa"/>
            <w:shd w:val="clear" w:color="auto" w:fill="C5E0B3"/>
          </w:tcPr>
          <w:p w14:paraId="4DB1B1AF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Документ</w:t>
            </w:r>
          </w:p>
        </w:tc>
        <w:tc>
          <w:tcPr>
            <w:tcW w:w="3963" w:type="dxa"/>
            <w:shd w:val="clear" w:color="auto" w:fill="C5E0B3"/>
          </w:tcPr>
          <w:p w14:paraId="34FA6309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Примечание</w:t>
            </w:r>
          </w:p>
        </w:tc>
      </w:tr>
      <w:tr w:rsidR="002317A1" w14:paraId="1FFC34DD" w14:textId="77777777">
        <w:tc>
          <w:tcPr>
            <w:tcW w:w="988" w:type="dxa"/>
          </w:tcPr>
          <w:p w14:paraId="5C4EFC46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</w:p>
        </w:tc>
        <w:tc>
          <w:tcPr>
            <w:tcW w:w="4394" w:type="dxa"/>
          </w:tcPr>
          <w:p w14:paraId="5D30E4C4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Заявление о государственной регистрации</w:t>
            </w:r>
          </w:p>
        </w:tc>
        <w:tc>
          <w:tcPr>
            <w:tcW w:w="3963" w:type="dxa"/>
          </w:tcPr>
          <w:p w14:paraId="37C51D27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Укажите на кому принадлежат права на базу данных и ее автора. Если автор не хочет раскрывать свое имя, в самом заявлении его данные все равно пишутся, но в специальном поле ставится отметка «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отказываюсь быть упомянутым при публикации</w:t>
            </w:r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</w:tr>
      <w:tr w:rsidR="002317A1" w14:paraId="2AB94D13" w14:textId="77777777">
        <w:tc>
          <w:tcPr>
            <w:tcW w:w="988" w:type="dxa"/>
          </w:tcPr>
          <w:p w14:paraId="2984D801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</w:p>
        </w:tc>
        <w:tc>
          <w:tcPr>
            <w:tcW w:w="4394" w:type="dxa"/>
          </w:tcPr>
          <w:p w14:paraId="685F7068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Депонируемые материалы, идентифицирующие базу данных</w:t>
            </w:r>
          </w:p>
        </w:tc>
        <w:tc>
          <w:tcPr>
            <w:tcW w:w="3963" w:type="dxa"/>
          </w:tcPr>
          <w:p w14:paraId="30684203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Передача файла, данных или экземпляра произведения в защищенное хранилище. Это фиксирует дату, время и авторство для доказательства приоритета в суде. </w:t>
            </w:r>
          </w:p>
        </w:tc>
      </w:tr>
      <w:tr w:rsidR="002317A1" w14:paraId="5165F542" w14:textId="77777777">
        <w:tc>
          <w:tcPr>
            <w:tcW w:w="988" w:type="dxa"/>
          </w:tcPr>
          <w:p w14:paraId="21CE9F88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</w:t>
            </w:r>
          </w:p>
        </w:tc>
        <w:tc>
          <w:tcPr>
            <w:tcW w:w="4394" w:type="dxa"/>
          </w:tcPr>
          <w:p w14:paraId="0ECADEC7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Согласие на обработку персональных данных</w:t>
            </w:r>
          </w:p>
        </w:tc>
        <w:tc>
          <w:tcPr>
            <w:tcW w:w="3963" w:type="dxa"/>
          </w:tcPr>
          <w:p w14:paraId="17D13EE1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Для всех лиц, указанных в заявлении</w:t>
            </w:r>
          </w:p>
        </w:tc>
      </w:tr>
      <w:tr w:rsidR="002317A1" w14:paraId="68E8CB86" w14:textId="77777777">
        <w:tc>
          <w:tcPr>
            <w:tcW w:w="988" w:type="dxa"/>
          </w:tcPr>
          <w:p w14:paraId="4F7ED5AB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</w:t>
            </w:r>
          </w:p>
        </w:tc>
        <w:tc>
          <w:tcPr>
            <w:tcW w:w="4394" w:type="dxa"/>
          </w:tcPr>
          <w:p w14:paraId="4FD7E227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Согласие автора на указание сведений о нем</w:t>
            </w:r>
          </w:p>
        </w:tc>
        <w:tc>
          <w:tcPr>
            <w:tcW w:w="3963" w:type="dxa"/>
          </w:tcPr>
          <w:p w14:paraId="280BD4A0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автор не отказался быть упомянутым</w:t>
            </w:r>
          </w:p>
        </w:tc>
      </w:tr>
      <w:tr w:rsidR="002317A1" w14:paraId="4B655919" w14:textId="77777777">
        <w:tc>
          <w:tcPr>
            <w:tcW w:w="988" w:type="dxa"/>
          </w:tcPr>
          <w:p w14:paraId="45D4C5DF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5</w:t>
            </w:r>
          </w:p>
        </w:tc>
        <w:tc>
          <w:tcPr>
            <w:tcW w:w="4394" w:type="dxa"/>
          </w:tcPr>
          <w:p w14:paraId="0EB7CEF6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Доверенность представителя</w:t>
            </w:r>
          </w:p>
        </w:tc>
        <w:tc>
          <w:tcPr>
            <w:tcW w:w="3963" w:type="dxa"/>
          </w:tcPr>
          <w:p w14:paraId="3C8B69C4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Если подаете через патентного поверенного</w:t>
            </w:r>
          </w:p>
        </w:tc>
      </w:tr>
      <w:tr w:rsidR="002317A1" w14:paraId="1054FC54" w14:textId="77777777">
        <w:tc>
          <w:tcPr>
            <w:tcW w:w="988" w:type="dxa"/>
          </w:tcPr>
          <w:p w14:paraId="0A17E635" w14:textId="77777777" w:rsidR="002317A1" w:rsidRDefault="0000000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6</w:t>
            </w:r>
          </w:p>
        </w:tc>
        <w:tc>
          <w:tcPr>
            <w:tcW w:w="4394" w:type="dxa"/>
          </w:tcPr>
          <w:p w14:paraId="51E735BA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Документ об уплате госпошлины</w:t>
            </w:r>
          </w:p>
        </w:tc>
        <w:tc>
          <w:tcPr>
            <w:tcW w:w="3963" w:type="dxa"/>
          </w:tcPr>
          <w:p w14:paraId="2E04FC6F" w14:textId="77777777" w:rsidR="002317A1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Подтверждает, что вы перечислили деньги в бюджет за получение государственной услуги.</w:t>
            </w:r>
          </w:p>
        </w:tc>
      </w:tr>
    </w:tbl>
    <w:p w14:paraId="2760D95D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3.2. Особенности для баз данных как объектов смежных прав</w:t>
      </w:r>
    </w:p>
    <w:p w14:paraId="497F9D20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Если вы регистрируете базу данных именно как объект смежных прав (по ст. 1334 ГК РФ), дополнительно потребуется:</w:t>
      </w:r>
    </w:p>
    <w:p w14:paraId="3FBBB462" w14:textId="77777777" w:rsidR="002317A1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>Доказательства существенных затрат на создание базы.</w:t>
      </w:r>
    </w:p>
    <w:p w14:paraId="1F03F2B0" w14:textId="77777777" w:rsidR="002317A1" w:rsidRDefault="00000000">
      <w:pPr>
        <w:numPr>
          <w:ilvl w:val="0"/>
          <w:numId w:val="4"/>
        </w:numPr>
      </w:pPr>
      <w:r>
        <w:rPr>
          <w:rFonts w:ascii="Times New Roman" w:eastAsia="Times New Roman" w:hAnsi="Times New Roman" w:cs="Times New Roman"/>
        </w:rPr>
        <w:t>Подтверждение количественного содержания — не менее 10 000 самостоятельных информационных элементов.</w:t>
      </w:r>
    </w:p>
    <w:p w14:paraId="758210AB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3.3. Сроки и стоимость</w:t>
      </w:r>
    </w:p>
    <w:p w14:paraId="19C65BF2" w14:textId="77777777" w:rsidR="002317A1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>Срок рассмотрения: от 2 месяцев.</w:t>
      </w:r>
    </w:p>
    <w:p w14:paraId="69C21513" w14:textId="77777777" w:rsidR="002317A1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>Госпошлина: 5 000 ₽ (</w:t>
      </w:r>
      <w:r>
        <w:rPr>
          <w:rFonts w:ascii="Times New Roman" w:eastAsia="Times New Roman" w:hAnsi="Times New Roman" w:cs="Times New Roman"/>
          <w:color w:val="EE0000"/>
        </w:rPr>
        <w:t xml:space="preserve">возможно стоит сделать ссылку на </w:t>
      </w:r>
      <w:r>
        <w:rPr>
          <w:rFonts w:ascii="Times New Roman" w:eastAsia="Times New Roman" w:hAnsi="Times New Roman" w:cs="Times New Roman"/>
          <w:color w:val="5B9BD5"/>
        </w:rPr>
        <w:t>калькулятор пошлин</w:t>
      </w:r>
      <w:r>
        <w:rPr>
          <w:rFonts w:ascii="Times New Roman" w:eastAsia="Times New Roman" w:hAnsi="Times New Roman" w:cs="Times New Roman"/>
          <w:color w:val="EE0000"/>
        </w:rPr>
        <w:t>, но вообще здесь одинаковая для всех пошлина</w:t>
      </w:r>
      <w:r>
        <w:rPr>
          <w:rFonts w:ascii="Times New Roman" w:eastAsia="Times New Roman" w:hAnsi="Times New Roman" w:cs="Times New Roman"/>
        </w:rPr>
        <w:t>).</w:t>
      </w:r>
    </w:p>
    <w:p w14:paraId="55AF62A7" w14:textId="77777777" w:rsidR="002317A1" w:rsidRDefault="00000000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</w:rPr>
        <w:t>Услуги патентного поверенного: от 20 000 ₽ (подготовка и подача заявления).</w:t>
      </w:r>
    </w:p>
    <w:p w14:paraId="446877F6" w14:textId="77777777" w:rsidR="002317A1" w:rsidRDefault="00000000">
      <w:pPr>
        <w:pStyle w:val="1"/>
      </w:pPr>
      <w:r>
        <w:t xml:space="preserve">Шаг 4. Организуйте депонирование </w:t>
      </w:r>
      <w:r>
        <w:rPr>
          <w:b w:val="0"/>
          <w:bCs w:val="0"/>
          <w:color w:val="EE0000"/>
        </w:rPr>
        <w:t>(если возможно, здесь тоже добавить выскакивающее пояснение: Передача файла, данных или экземпляра произведения в защищенное хранилище. Это можно использовать как доказательство в суде)</w:t>
      </w:r>
      <w:r>
        <w:rPr>
          <w:color w:val="EE0000"/>
        </w:rPr>
        <w:t xml:space="preserve"> </w:t>
      </w:r>
      <w:r>
        <w:t>и учет</w:t>
      </w:r>
    </w:p>
    <w:p w14:paraId="76CEE34B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4.1. Депонирование материалов</w:t>
      </w:r>
    </w:p>
    <w:p w14:paraId="79F2A6A9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Для идентификации базы данных в Роспатент представляются:</w:t>
      </w:r>
    </w:p>
    <w:p w14:paraId="6CF08951" w14:textId="77777777" w:rsidR="002317A1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Реферат с описанием области применения, структуры и функциональности.</w:t>
      </w:r>
    </w:p>
    <w:p w14:paraId="62D0E63B" w14:textId="77777777" w:rsidR="002317A1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Скриншоты интерфейса, фрагменты отчетов СУБД, примеры материалов.</w:t>
      </w:r>
    </w:p>
    <w:p w14:paraId="031D3E61" w14:textId="77777777" w:rsidR="002317A1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</w:rPr>
        <w:t>Описание структуры базы данных и используемой СУБД.</w:t>
      </w:r>
    </w:p>
    <w:p w14:paraId="13EEB3A8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4.2. Внутренний учет</w:t>
      </w:r>
    </w:p>
    <w:p w14:paraId="476EF226" w14:textId="77777777" w:rsidR="002317A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</w:rPr>
        <w:t>Присвойте базе данных внутренний идентификатор и заведите карточку учета.</w:t>
      </w:r>
    </w:p>
    <w:p w14:paraId="064C7C8A" w14:textId="77777777" w:rsidR="002317A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</w:rPr>
        <w:t>Фиксируйте даты создания, обновления и внесения изменений.</w:t>
      </w:r>
    </w:p>
    <w:p w14:paraId="3F5280B7" w14:textId="77777777" w:rsidR="002317A1" w:rsidRDefault="00000000">
      <w:pPr>
        <w:numPr>
          <w:ilvl w:val="0"/>
          <w:numId w:val="7"/>
        </w:numPr>
      </w:pPr>
      <w:r>
        <w:rPr>
          <w:rFonts w:ascii="Times New Roman" w:eastAsia="Times New Roman" w:hAnsi="Times New Roman" w:cs="Times New Roman"/>
        </w:rPr>
        <w:t>Храните исходные материалы и доказательства затрат (чеки, акты, договоры).</w:t>
      </w:r>
    </w:p>
    <w:p w14:paraId="5B20CA5D" w14:textId="77777777" w:rsidR="002317A1" w:rsidRDefault="00000000">
      <w:pPr>
        <w:pStyle w:val="1"/>
      </w:pPr>
      <w:r>
        <w:t>Шаг 5. Защитите базу данных от неправомерного использования</w:t>
      </w:r>
    </w:p>
    <w:p w14:paraId="1400427B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5.1. Технические советы</w:t>
      </w:r>
    </w:p>
    <w:p w14:paraId="6903235A" w14:textId="77777777" w:rsidR="002317A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</w:rPr>
        <w:t>Ограничьте доступ к базе данных (аутентификация, разграничение прав).</w:t>
      </w:r>
    </w:p>
    <w:p w14:paraId="38701627" w14:textId="77777777" w:rsidR="002317A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</w:rPr>
        <w:t>Используйте водяные знаки в выгрузках, логирование запросов.</w:t>
      </w:r>
    </w:p>
    <w:p w14:paraId="3F0EA392" w14:textId="77777777" w:rsidR="002317A1" w:rsidRDefault="00000000">
      <w:pPr>
        <w:numPr>
          <w:ilvl w:val="0"/>
          <w:numId w:val="8"/>
        </w:numPr>
      </w:pPr>
      <w:r>
        <w:rPr>
          <w:rFonts w:ascii="Times New Roman" w:eastAsia="Times New Roman" w:hAnsi="Times New Roman" w:cs="Times New Roman"/>
        </w:rPr>
        <w:t>Настройте резервное копирование и защиту от массового извлечения данных (rate limiting).</w:t>
      </w:r>
    </w:p>
    <w:p w14:paraId="2FA5E3DE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5.2. Юридические меры</w:t>
      </w:r>
    </w:p>
    <w:p w14:paraId="0A238E99" w14:textId="77777777" w:rsidR="002317A1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Включите в пользовательское соглашение запрет на извлечение существенной части материалов базы без разрешения.</w:t>
      </w:r>
    </w:p>
    <w:p w14:paraId="112239FC" w14:textId="77777777" w:rsidR="002317A1" w:rsidRDefault="00000000">
      <w:pPr>
        <w:numPr>
          <w:ilvl w:val="0"/>
          <w:numId w:val="2"/>
        </w:numPr>
      </w:pPr>
      <w:r>
        <w:rPr>
          <w:rFonts w:ascii="Times New Roman" w:eastAsia="Times New Roman" w:hAnsi="Times New Roman" w:cs="Times New Roman"/>
        </w:rPr>
        <w:t>При коммерческом использовании базы третьими лицами заключайте лицензионные договоры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color w:val="EE0000"/>
        </w:rPr>
        <w:t xml:space="preserve">(здесь можно сделать ссылку на </w:t>
      </w:r>
      <w:r>
        <w:rPr>
          <w:rFonts w:ascii="Times New Roman" w:eastAsia="Times New Roman" w:hAnsi="Times New Roman" w:cs="Times New Roman"/>
          <w:color w:val="5B9BD5"/>
        </w:rPr>
        <w:t>инструмент «конструктор договоров»</w:t>
      </w:r>
      <w:r>
        <w:rPr>
          <w:rFonts w:ascii="Times New Roman" w:eastAsia="Times New Roman" w:hAnsi="Times New Roman" w:cs="Times New Roman"/>
          <w:color w:val="EE0000"/>
        </w:rPr>
        <w:t>).</w:t>
      </w:r>
    </w:p>
    <w:p w14:paraId="69172713" w14:textId="77777777" w:rsidR="002317A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Если база содержит уникальные алгоритмы обработки или ценную подборку данных, можно использовать режим коммерческой тайны (ноу-хау) по ст. 1465 ГК РФ. </w:t>
      </w:r>
      <w:r>
        <w:rPr>
          <w:rFonts w:ascii="Times New Roman" w:eastAsia="Times New Roman" w:hAnsi="Times New Roman" w:cs="Times New Roman"/>
          <w:b/>
          <w:bCs/>
        </w:rPr>
        <w:t>Но:</w:t>
      </w:r>
      <w:r>
        <w:rPr>
          <w:rFonts w:ascii="Times New Roman" w:eastAsia="Times New Roman" w:hAnsi="Times New Roman" w:cs="Times New Roman"/>
        </w:rPr>
        <w:t xml:space="preserve"> при регистрации в Роспатенте Эти материалы вашей базы данных становятся публично доступными.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>Если в депонируемых материалах окажется информация, которую вы хотите сохранить в режиме ноу-хау, — режим коммерческой тайны прекратится, потому что у третьих лиц появится свободный доступ к этим сведениям на законном основании</w:t>
      </w:r>
    </w:p>
    <w:p w14:paraId="3842FC63" w14:textId="77777777" w:rsidR="002317A1" w:rsidRDefault="002317A1"/>
    <w:sectPr w:rsidR="002317A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6674606-951C-44FD-BD76-486C7FDA71BE}"/>
    <w:embedBold r:id="rId2" w:fontKey="{B435A1A7-FA20-4E66-B50C-F6F4191FCB82}"/>
    <w:embedItalic r:id="rId3" w:fontKey="{09D525B0-5AF2-46BC-961F-62EF4A2AF9A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55CF7511-C11E-428E-8DD4-E1554C20B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45D"/>
    <w:multiLevelType w:val="multilevel"/>
    <w:tmpl w:val="9E24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01D055A"/>
    <w:multiLevelType w:val="multilevel"/>
    <w:tmpl w:val="E3AE12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1B826F3"/>
    <w:multiLevelType w:val="multilevel"/>
    <w:tmpl w:val="D1ECCC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D97342"/>
    <w:multiLevelType w:val="multilevel"/>
    <w:tmpl w:val="E8102E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4FA1124C"/>
    <w:multiLevelType w:val="multilevel"/>
    <w:tmpl w:val="29E240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07020F8"/>
    <w:multiLevelType w:val="multilevel"/>
    <w:tmpl w:val="0F4C5A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52944454"/>
    <w:multiLevelType w:val="multilevel"/>
    <w:tmpl w:val="250ED1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7AD4566"/>
    <w:multiLevelType w:val="multilevel"/>
    <w:tmpl w:val="59A0AA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5DD021F"/>
    <w:multiLevelType w:val="multilevel"/>
    <w:tmpl w:val="2236C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435920">
    <w:abstractNumId w:val="1"/>
  </w:num>
  <w:num w:numId="2" w16cid:durableId="15812660">
    <w:abstractNumId w:val="5"/>
  </w:num>
  <w:num w:numId="3" w16cid:durableId="1317807050">
    <w:abstractNumId w:val="8"/>
  </w:num>
  <w:num w:numId="4" w16cid:durableId="776295253">
    <w:abstractNumId w:val="6"/>
  </w:num>
  <w:num w:numId="5" w16cid:durableId="1226792898">
    <w:abstractNumId w:val="3"/>
  </w:num>
  <w:num w:numId="6" w16cid:durableId="1805810465">
    <w:abstractNumId w:val="7"/>
  </w:num>
  <w:num w:numId="7" w16cid:durableId="1603762711">
    <w:abstractNumId w:val="4"/>
  </w:num>
  <w:num w:numId="8" w16cid:durableId="186453188">
    <w:abstractNumId w:val="0"/>
  </w:num>
  <w:num w:numId="9" w16cid:durableId="1793208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7A1"/>
    <w:rsid w:val="002317A1"/>
    <w:rsid w:val="005745C1"/>
    <w:rsid w:val="00A07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C9BEF"/>
  <w15:docId w15:val="{C2EC4C6C-8A61-431A-8D60-26433284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imes New Roman" w:eastAsia="Times New Roman" w:hAnsi="Times New Roman" w:cs="Times New Roman"/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Виктория Шабаева</cp:lastModifiedBy>
  <cp:revision>2</cp:revision>
  <dcterms:created xsi:type="dcterms:W3CDTF">2026-10-13T19:14:00Z</dcterms:created>
  <dcterms:modified xsi:type="dcterms:W3CDTF">2026-10-13T19:15:00Z</dcterms:modified>
</cp:coreProperties>
</file>