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1. Защитить программный код</w:t>
      </w:r>
    </w:p>
    <w:p>
      <w:pPr>
        <w:pStyle w:val="Subtitle"/>
      </w:pPr>
      <w:r>
        <w:t xml:space="preserve">От подозрения в копировании — к сохранённой статье и заявке юристу</w:t>
      </w:r>
    </w:p>
    <w:p>
      <w:pPr>
        <w:pStyle w:val="Caption"/>
      </w:pPr>
      <w:r>
        <w:t xml:space="preserve">МоёПраво · Три пользовательских сценария · 14 октября 2026 года</w:t>
      </w:r>
    </w:p>
    <w:p>
      <w:pPr>
        <w:pStyle w:val="Note"/>
      </w:pPr>
      <w:r>
        <w:t xml:space="preserve">Все персонажи, компании, адреса и учётные данные вымышлены. Пароли приведены только для демонстрации. Названия кнопок и последовательность действий соответствуют текущему интерфейсу.</w:t>
      </w:r>
    </w:p>
    <w:p>
      <w:pPr>
        <w:pStyle w:val="Heading2"/>
      </w:pPr>
      <w:r>
        <w:t xml:space="preserve">Кто пришёл и с какой проблемой</w:t>
      </w:r>
    </w:p>
    <w:p>
      <w:pPr>
        <w:pStyle w:val="Normal"/>
      </w:pPr>
      <w:r>
        <w:t xml:space="preserve">Александр Миронов, 32 года, сооснователь небольшого сервиса для управления заказами. Команда полтора года разрабатывала собственный модуль распределения задач. Недавно Александр заметил у конкурента похожую логику работы и редкие особенности поведения, которые встречаются в его продукте. Он подозревает копирование, но пока не располагает достаточными доказательствами.</w:t>
      </w:r>
    </w:p>
    <w:p>
      <w:pPr>
        <w:pStyle w:val="Normal"/>
      </w:pPr>
      <w:r>
        <w:t xml:space="preserve">У Александра есть история изменений в репозитории, договоры с разработчиками и переписка о создании модуля. Он хочет понять, что из этого пригодится, как зафиксировать предполагаемое нарушение и стоит ли сначала обратиться к эксперту. Главный страх — предъявить необоснованную претензию или потерять доказательства, пока конкурент изменяет продукт.</w:t>
      </w:r>
    </w:p>
    <w:p>
      <w:pPr>
        <w:pStyle w:val="Quote"/>
      </w:pPr>
      <w:r>
        <w:t xml:space="preserve">«Похожий результат ещё не означает, что у нас украли код. Хочу разобраться, что именно нужно сравнивать и как это подтвердить».</w:t>
      </w:r>
    </w:p>
    <w:p>
      <w:pPr>
        <w:pStyle w:val="Heading2"/>
      </w:pPr>
      <w:r>
        <w:t xml:space="preserve">Маршрут</w:t>
      </w:r>
    </w:p>
    <w:p>
      <w:pPr>
        <w:pStyle w:val="Normal"/>
      </w:pPr>
      <w:r>
        <w:t xml:space="preserve">Главная → «Защитить нарушенные права» → «Программный код» → «Как доказывают заимствование кода» → «Сохранить материал» → регистрация → автоматическое сохранение → заявка на консультацию.</w:t>
      </w:r>
    </w:p>
    <w:p>
      <w:pPr>
        <w:pStyle w:val="Heading2"/>
      </w:pPr>
      <w:r>
        <w:t xml:space="preserve">1. Выбирает задачу на главной</w:t>
      </w:r>
    </w:p>
    <w:p>
      <w:pPr>
        <w:pStyle w:val="Normal"/>
      </w:pPr>
      <w:r>
        <w:t xml:space="preserve">Александр открывает сайт без входа в профиль. Среди четырёх крупных кнопок выбирает «Защитить нарушенные права»: пояснение про использование продукта без разрешения описывает его ситуацию. На следующем экране видит список объектов. Наводит курсор на значок i рядом с программным кодом, читает пояснение и нажимает «Программный код».</w:t>
      </w:r>
    </w:p>
    <w:p>
      <w:pPr>
        <w:pStyle w:val="Heading2"/>
      </w:pPr>
      <w:r>
        <w:t xml:space="preserve">2. Находит материал о доказательствах</w:t>
      </w:r>
    </w:p>
    <w:p>
      <w:pPr>
        <w:pStyle w:val="Normal"/>
      </w:pPr>
      <w:r>
        <w:t xml:space="preserve">Открывается чек-лист «Защита программного кода». Александр просматривает шаги и переходит по ссылке «Как доказывают заимствование кода». Читает статью, обращает внимание на сравнение программ и роль экспертизы. Решает отдельно собрать историю разработки, договоры и сведения о предполагаемом копировании. Он воспринимает статью как ориентир для подготовки, а не как подтверждение уже установленного нарушения.</w:t>
      </w:r>
    </w:p>
    <w:p>
      <w:pPr>
        <w:pStyle w:val="Heading2"/>
      </w:pPr>
      <w:r>
        <w:t xml:space="preserve">3. Хочет вернуться к статье позже</w:t>
      </w:r>
    </w:p>
    <w:p>
      <w:pPr>
        <w:pStyle w:val="Normal"/>
      </w:pPr>
      <w:r>
        <w:t xml:space="preserve">Александр нажимает «Сохранить материал». Поскольку он ещё не вошёл, сайт показывает уведомление «Войдите, чтобы сохранять материалы» и открывает страницу входа. Профиля у него нет, поэтому он выбирает вкладку «Создать профиль». Намерение сохранить именно эту статью сохраняется при переходе к регистрации.</w:t>
      </w:r>
    </w:p>
    <w:p>
      <w:pPr>
        <w:pStyle w:val="Heading1"/>
        <w:pageBreakBefore/>
      </w:pPr>
      <w:r>
        <w:t xml:space="preserve">1. Регистрация, сохранение и заявка</w:t>
      </w:r>
    </w:p>
    <w:p>
      <w:pPr>
        <w:pStyle w:val="Subtitle"/>
      </w:pPr>
      <w:r>
        <w:t xml:space="preserve">Продолжение сценария Александра</w:t>
      </w:r>
    </w:p>
    <w:p>
      <w:pPr>
        <w:pStyle w:val="Heading2"/>
      </w:pPr>
      <w:r>
        <w:t xml:space="preserve">4. Создаёт профиль</w:t>
      </w:r>
    </w:p>
    <w:p>
      <w:pPr>
        <w:pStyle w:val="Normal"/>
      </w:pPr>
      <w:r>
        <w:t xml:space="preserve">Александр вводит данные в форму. Он думает: «Если материал останется в избранном, вечером смогу обсудить его с техническим директором без повторного поиска».</w:t>
      </w:r>
    </w:p>
    <w:tbl>
      <w:tblPr>
        <w:tblW w:w="9638" w:type="dxa"/>
        <w:tblBorders>
          <w:top w:val="single" w:sz="4" w:color="D9E5DE"/>
          <w:left w:val="single" w:sz="4" w:color="D9E5DE"/>
          <w:bottom w:val="single" w:sz="4" w:color="D9E5DE"/>
          <w:right w:val="single" w:sz="4" w:color="D9E5DE"/>
          <w:insideH w:val="single" w:sz="4" w:color="D9E5DE"/>
          <w:insideV w:val="single" w:sz="4" w:color="D9E5DE"/>
        </w:tblBorders>
        <w:tblCellMar>
          <w:top w:w="65" w:type="dxa"/>
          <w:left w:w="110" w:type="dxa"/>
          <w:bottom w:w="65" w:type="dxa"/>
          <w:right w:w="110" w:type="dxa"/>
        </w:tblCellMar>
      </w:tblPr>
      <w:tblGrid>
        <w:gridCol w:w="3100"/>
        <w:gridCol w:w="6538"/>
      </w:tblGrid>
      <w:tr>
        <w:trPr>
          <w:cantSplit/>
          <w:tblHeader/>
        </w:trPr>
        <w:tc>
          <w:tcPr>
            <w:tcW w:w="3100" w:type="dxa"/>
            <w:shd w:fill="EAF4EE"/>
          </w:tcPr>
          <w:p>
            <w:pPr>
              <w:pStyle w:val="TableHeading"/>
            </w:pPr>
            <w:r>
              <w:t xml:space="preserve">Поле</w:t>
            </w:r>
          </w:p>
        </w:tc>
        <w:tc>
          <w:tcPr>
            <w:tcW w:w="6538" w:type="dxa"/>
            <w:shd w:fill="EAF4EE"/>
          </w:tcPr>
          <w:p>
            <w:pPr>
              <w:pStyle w:val="TableHeading"/>
            </w:pPr>
            <w:r>
              <w:t xml:space="preserve">Что вводит или выбирает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pStyle w:val="TableText"/>
            </w:pPr>
            <w:r>
              <w:t xml:space="preserve">Логин</w:t>
            </w:r>
          </w:p>
        </w:tc>
        <w:tc>
          <w:tcPr>
            <w:tcW w:w="6538" w:type="dxa"/>
          </w:tcPr>
          <w:p>
            <w:pPr>
              <w:pStyle w:val="TableText"/>
            </w:pPr>
            <w:r>
              <w:t xml:space="preserve">alex_mironov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pStyle w:val="TableText"/>
            </w:pPr>
            <w:r>
              <w:t xml:space="preserve">Электронная почта</w:t>
            </w:r>
          </w:p>
        </w:tc>
        <w:tc>
          <w:tcPr>
            <w:tcW w:w="6538" w:type="dxa"/>
          </w:tcPr>
          <w:p>
            <w:pPr>
              <w:pStyle w:val="TableText"/>
            </w:pPr>
            <w:r>
              <w:t xml:space="preserve">alex.mironov@example.com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pStyle w:val="TableText"/>
            </w:pPr>
            <w:r>
              <w:t xml:space="preserve">Пароль</w:t>
            </w:r>
          </w:p>
        </w:tc>
        <w:tc>
          <w:tcPr>
            <w:tcW w:w="6538" w:type="dxa"/>
          </w:tcPr>
          <w:p>
            <w:pPr>
              <w:pStyle w:val="TableText"/>
            </w:pPr>
            <w:r>
              <w:t xml:space="preserve">Demo_Alex!2026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pStyle w:val="TableText"/>
            </w:pPr>
            <w:r>
              <w:t xml:space="preserve">Подтверждение пароля</w:t>
            </w:r>
          </w:p>
        </w:tc>
        <w:tc>
          <w:tcPr>
            <w:tcW w:w="6538" w:type="dxa"/>
          </w:tcPr>
          <w:p>
            <w:pPr>
              <w:pStyle w:val="TableText"/>
            </w:pPr>
            <w:r>
              <w:t xml:space="preserve">Demo_Alex!2026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pStyle w:val="TableText"/>
            </w:pPr>
            <w:r>
              <w:t xml:space="preserve">Согласие</w:t>
            </w:r>
          </w:p>
        </w:tc>
        <w:tc>
          <w:tcPr>
            <w:tcW w:w="6538" w:type="dxa"/>
          </w:tcPr>
          <w:p>
            <w:pPr>
              <w:pStyle w:val="TableText"/>
            </w:pPr>
            <w:r>
              <w:t xml:space="preserve">Знакомится с условиями и отмечает согласие на обработку персональных данных.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Нажимает «Создать профиль». Имя при регистрации не запрашивается. После успешной регистрации пользователь уже авторизован: повторно вводить логин и пароль не требуется.</w:t>
      </w:r>
    </w:p>
    <w:p>
      <w:pPr>
        <w:pStyle w:val="Heading2"/>
      </w:pPr>
      <w:r>
        <w:t xml:space="preserve">5. Возвращается к уже сохранённой статье</w:t>
      </w:r>
    </w:p>
    <w:p>
      <w:pPr>
        <w:pStyle w:val="Normal"/>
      </w:pPr>
      <w:r>
        <w:t xml:space="preserve">Сайт возвращает Александра к статье «Как доказывают заимствование кода» и автоматически добавляет её в избранное. На месте кнопки сохранения появляется «В избранном», а уведомление сообщает о добавлении. Александр не ищет статью заново и не нажимает кнопку второй раз. Это снижает раздражение от вынужденного перерыва на регистрацию.</w:t>
      </w:r>
    </w:p>
    <w:p>
      <w:pPr>
        <w:pStyle w:val="Heading2"/>
      </w:pPr>
      <w:r>
        <w:t xml:space="preserve">6. Формулирует вопрос юристу</w:t>
      </w:r>
    </w:p>
    <w:p>
      <w:pPr>
        <w:pStyle w:val="Normal"/>
      </w:pPr>
      <w:r>
        <w:t xml:space="preserve">Александр дочитывает статью и прокручивает страницу вниз. В информационной плашке замечает, что материал не заменяет консультацию по его делу. Из двух действий выбирает «Обсудить задачу с юристом». Ему нужна оценка конкретных обстоятельств, поэтому одного прочтения статьи недостаточно.</w:t>
      </w:r>
    </w:p>
    <w:p>
      <w:pPr>
        <w:pStyle w:val="Normal"/>
      </w:pPr>
      <w:r>
        <w:t xml:space="preserve">В открывшейся форме логин alex_mironov уже подставлен. В поле «Имя» после новой регистрации может стоять тот же логин; Александр заменяет его на «Александр Миронов». В поле «Коротко о задаче» пишет:</w:t>
      </w:r>
    </w:p>
    <w:p>
      <w:pPr>
        <w:pStyle w:val="Quote"/>
      </w:pPr>
      <w:r>
        <w:t xml:space="preserve">«Мы разрабатываем сервис управления заказами. У конкурента заметили похожую работу нашего модуля распределения задач, включая несколько необычных особенностей. Есть история коммитов за 2025–2026 годы, договоры с разработчиками и переписка. Хотим понять, какие доказательства собрать до обращения к конкуренту и нужна ли экспертиза. Нужна консультация по дальнейшим действиям и подготовке претензии, если нарушение подтвердится».</w:t>
      </w:r>
    </w:p>
    <w:p>
      <w:pPr>
        <w:pStyle w:val="Heading2"/>
      </w:pPr>
      <w:r>
        <w:t xml:space="preserve">7. Завершает действие</w:t>
      </w:r>
    </w:p>
    <w:p>
      <w:pPr>
        <w:pStyle w:val="Normal"/>
      </w:pPr>
      <w:r>
        <w:t xml:space="preserve">Александр проверяет имя, логин и описание, нажимает «Отправить заявку». Окно закрывается, появляется уведомление «Заявка отправлена». Пользователь видит завершение действия. При следующем посещении он сможет открыть сохранённую статью через избранное в личном кабинете.</w:t>
      </w:r>
    </w:p>
    <w:p>
      <w:pPr>
        <w:pStyle w:val="Heading2"/>
      </w:pPr>
      <w:r>
        <w:t xml:space="preserve">Результат и состояние пользователя</w:t>
      </w:r>
    </w:p>
    <w:p>
      <w:pPr>
        <w:pStyle w:val="Normal"/>
      </w:pPr>
      <w:r>
        <w:t xml:space="preserve">Из тревоги и неопределённости Александр переходит к понятному следующему шагу: собрать имеющиеся документы и обсудить обстоятельства с юристом. Статья сохранена в его профиле. Само нарушение ещё не установлено, юридическая позиция требует индивидуальной оценки.</w:t>
      </w:r>
    </w:p>
    <w:p>
      <w:pPr>
        <w:pStyle w:val="Heading1"/>
        <w:pageBreakBefore/>
      </w:pPr>
      <w:r>
        <w:t xml:space="preserve">2. Найти ответ через поиск</w:t>
      </w:r>
    </w:p>
    <w:p>
      <w:pPr>
        <w:pStyle w:val="Subtitle"/>
      </w:pPr>
      <w:r>
        <w:t xml:space="preserve">Претензия за использование чужого товарного знака</w:t>
      </w:r>
    </w:p>
    <w:p>
      <w:pPr>
        <w:pStyle w:val="Heading2"/>
      </w:pPr>
      <w:r>
        <w:t xml:space="preserve">Кто пришёл и с какой проблемой</w:t>
      </w:r>
    </w:p>
    <w:p>
      <w:pPr>
        <w:pStyle w:val="Normal"/>
      </w:pPr>
      <w:r>
        <w:t xml:space="preserve">Марина Волкова, 29 лет, владелица небольшого интернет-магазина аксессуаров. Она получила письмо от представителя правообладателя: в нескольких карточках товаров якобы использован чужой товарный знак. В письме требуют убрать обозначение и выплатить 300 000 рублей. Марина не понимает, как оценить требование, и боится, что любое неосторожное письмо будет воспринято как признание нарушения.</w:t>
      </w:r>
    </w:p>
    <w:p>
      <w:pPr>
        <w:pStyle w:val="Normal"/>
      </w:pPr>
      <w:r>
        <w:t xml:space="preserve">У неё уже есть профиль на сайте, но на рабочем ноутбуке она ещё не вошла. Марина помнит, что сервис помогает с правами на элементы продукта, однако не знает, в каком разделе искать ответ именно о денежной компенсации. Ей нужен быстрый вход через знакомые слова из претензии.</w:t>
      </w:r>
    </w:p>
    <w:p>
      <w:pPr>
        <w:pStyle w:val="Quote"/>
      </w:pPr>
      <w:r>
        <w:t xml:space="preserve">«Я хочу понять, откуда взялась эта сумма и что нужно проверить до ответа. Не хочу платить только потому, что письмо выглядит официально».</w:t>
      </w:r>
    </w:p>
    <w:p>
      <w:pPr>
        <w:pStyle w:val="Heading2"/>
      </w:pPr>
      <w:r>
        <w:t xml:space="preserve">Маршрут</w:t>
      </w:r>
    </w:p>
    <w:p>
      <w:pPr>
        <w:pStyle w:val="Normal"/>
      </w:pPr>
      <w:r>
        <w:t xml:space="preserve">Главная → поиск «товарный знак» → статья «Требуют компенсацию за чужой товарный знак…» → скачивание файла → сохранение через вход в существующий профиль → «Обсудить задачу с юристом».</w:t>
      </w:r>
    </w:p>
    <w:p>
      <w:pPr>
        <w:pStyle w:val="Heading2"/>
      </w:pPr>
      <w:r>
        <w:t xml:space="preserve">1. Ищет по словам из претензии</w:t>
      </w:r>
    </w:p>
    <w:p>
      <w:pPr>
        <w:pStyle w:val="Normal"/>
      </w:pPr>
      <w:r>
        <w:t xml:space="preserve">Марина нажимает на строку «Поиск по сайту» в шапке, вводит «товарный знак» и нажимает Enter. В результатах просматривает названия и краткие описания. Выбирает статью «Требуют компенсацию за чужой товарный знак: за что могут взыскать деньги и как оценить требования», поскольку она прямо отвечает на её вопрос о предъявленной сумме.</w:t>
      </w:r>
    </w:p>
    <w:p>
      <w:pPr>
        <w:pStyle w:val="Heading2"/>
      </w:pPr>
      <w:r>
        <w:t xml:space="preserve">2. Читает и сопоставляет с письмом</w:t>
      </w:r>
    </w:p>
    <w:p>
      <w:pPr>
        <w:pStyle w:val="Normal"/>
      </w:pPr>
      <w:r>
        <w:t xml:space="preserve">Марина читает полный текст и таблицы статьи. Держит рядом полученную претензию, отмечает для себя вопросы о правообладателе, использованном обозначении, обстоятельствах размещения и обосновании требования. Она не рассчитывает на автоматический вывод сайта о том, сколько должна заплатить: статья помогает подготовить вопросы, а не заменяет рассмотрение документов.</w:t>
      </w:r>
    </w:p>
    <w:p>
      <w:pPr>
        <w:pStyle w:val="Quote"/>
      </w:pPr>
      <w:r>
        <w:t xml:space="preserve">«Теперь я хотя бы понимаю, какие сведения искать в письме. Но по моей конкретной карточке товара ещё нужно разобраться».</w:t>
      </w:r>
    </w:p>
    <w:p>
      <w:pPr>
        <w:pStyle w:val="Heading2"/>
      </w:pPr>
      <w:r>
        <w:t xml:space="preserve">3. Скачивает материал для обсуждения</w:t>
      </w:r>
    </w:p>
    <w:p>
      <w:pPr>
        <w:pStyle w:val="Normal"/>
      </w:pPr>
      <w:r>
        <w:t xml:space="preserve">Нажимает «Скачать файл» и сохраняет документ на компьютер, чтобы обсудить его с партнёром по магазину. Это действие доступно прямо со страницы статьи. Затем решает добавить материал в избранное, чтобы быстро вернуться к нему с другого устройства.</w:t>
      </w:r>
    </w:p>
    <w:p>
      <w:pPr>
        <w:pStyle w:val="Heading2"/>
      </w:pPr>
      <w:r>
        <w:t xml:space="preserve">4. Выбирает вход, а не новую регистрацию</w:t>
      </w:r>
    </w:p>
    <w:p>
      <w:pPr>
        <w:pStyle w:val="Normal"/>
      </w:pPr>
      <w:r>
        <w:t xml:space="preserve">Нажимает «Сохранить материал». Сайт предлагает войти и открывает форму авторизации. Марина понимает, что новый профиль ей не нужен: ранее она уже зарегистрировала аккаунт marina_shop. Она остаётся на вкладке «Войти в профиль».</w:t>
      </w:r>
    </w:p>
    <w:p>
      <w:pPr>
        <w:pStyle w:val="Heading1"/>
        <w:pageBreakBefore/>
      </w:pPr>
      <w:r>
        <w:t xml:space="preserve">2. Вход и предметная консультация</w:t>
      </w:r>
    </w:p>
    <w:p>
      <w:pPr>
        <w:pStyle w:val="Subtitle"/>
      </w:pPr>
      <w:r>
        <w:t xml:space="preserve">Продолжение сценария Марины</w:t>
      </w:r>
    </w:p>
    <w:p>
      <w:pPr>
        <w:pStyle w:val="Heading2"/>
      </w:pPr>
      <w:r>
        <w:t xml:space="preserve">5. Вводит данные существующего профиля</w:t>
      </w:r>
    </w:p>
    <w:tbl>
      <w:tblPr>
        <w:tblW w:w="9638" w:type="dxa"/>
        <w:tblBorders>
          <w:top w:val="single" w:sz="4" w:color="D9E5DE"/>
          <w:left w:val="single" w:sz="4" w:color="D9E5DE"/>
          <w:bottom w:val="single" w:sz="4" w:color="D9E5DE"/>
          <w:right w:val="single" w:sz="4" w:color="D9E5DE"/>
          <w:insideH w:val="single" w:sz="4" w:color="D9E5DE"/>
          <w:insideV w:val="single" w:sz="4" w:color="D9E5DE"/>
        </w:tblBorders>
        <w:tblCellMar>
          <w:top w:w="65" w:type="dxa"/>
          <w:left w:w="110" w:type="dxa"/>
          <w:bottom w:w="65" w:type="dxa"/>
          <w:right w:w="110" w:type="dxa"/>
        </w:tblCellMar>
      </w:tblPr>
      <w:tblGrid>
        <w:gridCol w:w="3100"/>
        <w:gridCol w:w="6538"/>
      </w:tblGrid>
      <w:tr>
        <w:trPr>
          <w:cantSplit/>
          <w:tblHeader/>
        </w:trPr>
        <w:tc>
          <w:tcPr>
            <w:tcW w:w="3100" w:type="dxa"/>
            <w:shd w:fill="EAF4EE"/>
          </w:tcPr>
          <w:p>
            <w:pPr>
              <w:pStyle w:val="TableHeading"/>
            </w:pPr>
            <w:r>
              <w:t xml:space="preserve">Поле</w:t>
            </w:r>
          </w:p>
        </w:tc>
        <w:tc>
          <w:tcPr>
            <w:tcW w:w="6538" w:type="dxa"/>
            <w:shd w:fill="EAF4EE"/>
          </w:tcPr>
          <w:p>
            <w:pPr>
              <w:pStyle w:val="TableHeading"/>
            </w:pPr>
            <w:r>
              <w:t xml:space="preserve">Что вводит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pStyle w:val="TableText"/>
            </w:pPr>
            <w:r>
              <w:t xml:space="preserve">Электронная почта или логин</w:t>
            </w:r>
          </w:p>
        </w:tc>
        <w:tc>
          <w:tcPr>
            <w:tcW w:w="6538" w:type="dxa"/>
          </w:tcPr>
          <w:p>
            <w:pPr>
              <w:pStyle w:val="TableText"/>
            </w:pPr>
            <w:r>
              <w:t xml:space="preserve">marina_shop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pStyle w:val="TableText"/>
            </w:pPr>
            <w:r>
              <w:t xml:space="preserve">Пароль</w:t>
            </w:r>
          </w:p>
        </w:tc>
        <w:tc>
          <w:tcPr>
            <w:tcW w:w="6538" w:type="dxa"/>
          </w:tcPr>
          <w:p>
            <w:pPr>
              <w:pStyle w:val="TableText"/>
            </w:pPr>
            <w:r>
              <w:t xml:space="preserve">Demo_Marina!2026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При прежней регистрации Марина указала логин marina_shop, почту marina.volkova@example.com, пароль Demo_Marina!2026, повторила его в подтверждении и отметила согласие. Сейчас повторять регистрацию, вводить почту или подтверждать пароль не требуется. Она нажимает «Войти в профиль».</w:t>
      </w:r>
    </w:p>
    <w:p>
      <w:pPr>
        <w:pStyle w:val="Normal"/>
      </w:pPr>
      <w:r>
        <w:t xml:space="preserve">После входа сайт возвращает Марину к статье и автоматически сохраняет её. Кнопка меняется на «В избранном». Марина убеждается, что её действие не потерялось из-за перехода к авторизации.</w:t>
      </w:r>
    </w:p>
    <w:p>
      <w:pPr>
        <w:pStyle w:val="Heading2"/>
      </w:pPr>
      <w:r>
        <w:t xml:space="preserve">6. Оставляет заявку по полученной претензии</w:t>
      </w:r>
    </w:p>
    <w:p>
      <w:pPr>
        <w:pStyle w:val="Normal"/>
      </w:pPr>
      <w:r>
        <w:t xml:space="preserve">Марина прокручивает страницу до информационной плашки и нажимает «Обсудить задачу с юристом». Проверяет логин marina_shop и указывает имя «Марина Волкова». Если в профиле осталось имя в виде логина, заменяет его в форме на своё имя. Задачу формулирует так:</w:t>
      </w:r>
    </w:p>
    <w:p>
      <w:pPr>
        <w:pStyle w:val="Quote"/>
      </w:pPr>
      <w:r>
        <w:t xml:space="preserve">«Получила претензию от представителя правообладателя товарного знака за обозначение в трёх карточках товаров интернет-магазина. Требуют удалить его и выплатить 300 000 рублей, ответ просят до 25 октября. Есть письмо, ссылки на карточки и документы от поставщика. Хочу проверить обоснованность требований и подготовить ответ без необоснованного признания нарушения. Нужна консультация по документам и возможным дальнейшим действиям».</w:t>
      </w:r>
    </w:p>
    <w:p>
      <w:pPr>
        <w:pStyle w:val="Normal"/>
      </w:pPr>
      <w:r>
        <w:t xml:space="preserve">Она указывает предмет спора, сумму из письма, срок, имеющиеся документы и желаемый результат. Форма не содержит загрузки вложений, поэтому Марина перечисляет документы в тексте и не пытается прикрепить файлы. Копировать пароль или полный текст претензии в описание задачи не нужно.</w:t>
      </w:r>
    </w:p>
    <w:p>
      <w:pPr>
        <w:pStyle w:val="Heading2"/>
      </w:pPr>
      <w:r>
        <w:t xml:space="preserve">7. Отправляет заявку и проверяет избранное</w:t>
      </w:r>
    </w:p>
    <w:p>
      <w:pPr>
        <w:pStyle w:val="Normal"/>
      </w:pPr>
      <w:r>
        <w:t xml:space="preserve">После нажатия «Отправить заявку» окно закрывается, появляется «Заявка отправлена». Марина затем открывает личный кабинет через кнопку профиля в шапке. В избранном видит статью о компенсации за товарный знак и может открыть её повторно, не вводя поисковый запрос.</w:t>
      </w:r>
    </w:p>
    <w:p>
      <w:pPr>
        <w:pStyle w:val="Heading2"/>
      </w:pPr>
      <w:r>
        <w:t xml:space="preserve">Результат и состояние пользователя</w:t>
      </w:r>
    </w:p>
    <w:p>
      <w:pPr>
        <w:pStyle w:val="Normal"/>
      </w:pPr>
      <w:r>
        <w:t xml:space="preserve">Марина получила подходящий материал через поиск, скачала его, сохранила в аккаунте и сформулировала конкретный запрос на помощь. Она понимает, какие документы подготовить к разбору ситуации. Сумма в письме не признана ею обоснованной автоматически; решение о позиции и ответе она планирует принять после изучения обстоятельств.</w:t>
      </w:r>
    </w:p>
    <w:p>
      <w:pPr>
        <w:pStyle w:val="Heading2"/>
      </w:pPr>
      <w:r>
        <w:t xml:space="preserve">Почему этот путь отличается от первого</w:t>
      </w:r>
    </w:p>
    <w:p>
      <w:pPr>
        <w:pStyle w:val="Normal"/>
      </w:pPr>
      <w:r>
        <w:t xml:space="preserve">Пользователь начинает с точного поискового запроса, а не с выбора объекта. Он отвечает на чужую претензию, использует скачивание файла и входит в уже существующий профиль. Основная потребность — разобраться в требовании и подготовить ответ, а не доказать копирование собственного продукта.</w:t>
      </w:r>
    </w:p>
    <w:p>
      <w:pPr>
        <w:pStyle w:val="Heading1"/>
        <w:pageBreakBefore/>
      </w:pPr>
      <w:r>
        <w:t xml:space="preserve">3. Разобраться через информационные статьи</w:t>
      </w:r>
    </w:p>
    <w:p>
      <w:pPr>
        <w:pStyle w:val="Subtitle"/>
      </w:pPr>
      <w:r>
        <w:t xml:space="preserve">Права на базу данных перед переговорами с инвестором</w:t>
      </w:r>
    </w:p>
    <w:p>
      <w:pPr>
        <w:pStyle w:val="Heading2"/>
      </w:pPr>
      <w:r>
        <w:t xml:space="preserve">Кто пришёл и с какой проблемой</w:t>
      </w:r>
    </w:p>
    <w:p>
      <w:pPr>
        <w:pStyle w:val="Normal"/>
      </w:pPr>
      <w:r>
        <w:t xml:space="preserve">Дмитрий Белов, 35 лет, основатель сервиса подбора поставщиков. В основе продукта — база данных, которую собирали несколько человек: два сотрудника, сам Дмитрий и приглашённый специалист. Перед встречей с инвестором нужно объяснить, кому принадлежат права и какие документы это подтверждают.</w:t>
      </w:r>
    </w:p>
    <w:p>
      <w:pPr>
        <w:pStyle w:val="Normal"/>
      </w:pPr>
      <w:r>
        <w:t xml:space="preserve">Претензий пока нет. Дмитрий не уверен, одинаково ли оцениваются вклад в структуру базы, подбор материалов и техническое заполнение. Он хочет разобраться в понятиях до разговора с юристом и понять, что проверить в отношениях с участниками проекта. В сервисе он ещё не зарегистрирован.</w:t>
      </w:r>
    </w:p>
    <w:p>
      <w:pPr>
        <w:pStyle w:val="Quote"/>
      </w:pPr>
      <w:r>
        <w:t xml:space="preserve">«Я финансировал разработку, но достаточно ли этого? Не хочу на встрече обещать права, которые мы не оформили».</w:t>
      </w:r>
    </w:p>
    <w:p>
      <w:pPr>
        <w:pStyle w:val="Heading2"/>
      </w:pPr>
      <w:r>
        <w:t xml:space="preserve">Маршрут</w:t>
      </w:r>
    </w:p>
    <w:p>
      <w:pPr>
        <w:pStyle w:val="Normal"/>
      </w:pPr>
      <w:r>
        <w:t xml:space="preserve">Главная → «Информационные статьи» → фильтр «Базы данных» → «Кому принадлежат права на базу данных» → «Соавторство при создании базы данных» → чек-лист «База данных в стартапе…» → сохранение и регистрация → скачивание → заявка юристу.</w:t>
      </w:r>
    </w:p>
    <w:p>
      <w:pPr>
        <w:pStyle w:val="Heading2"/>
      </w:pPr>
      <w:r>
        <w:t xml:space="preserve">1. Открывает каталог материалов</w:t>
      </w:r>
    </w:p>
    <w:p>
      <w:pPr>
        <w:pStyle w:val="Normal"/>
      </w:pPr>
      <w:r>
        <w:t xml:space="preserve">На главной странице Дмитрий прокручивает до блока «Ответы и инструменты под рукой» и нажимает «Информационные статьи». В каталоге выбирает фильтр «Базы данных». Ему удобнее сначала изучить тему целиком: он пока не знает, какой именно юридический вопрос стоит за его сомнениями.</w:t>
      </w:r>
    </w:p>
    <w:p>
      <w:pPr>
        <w:pStyle w:val="Heading2"/>
      </w:pPr>
      <w:r>
        <w:t xml:space="preserve">2. Изучает, кому могут принадлежать права</w:t>
      </w:r>
    </w:p>
    <w:p>
      <w:pPr>
        <w:pStyle w:val="Normal"/>
      </w:pPr>
      <w:r>
        <w:t xml:space="preserve">Открывает статью «Кому принадлежат права на базу данных». Соотносит прочитанное с историей своего проекта: кто принимал решения о структуре, кто подбирал материалы, кто выполнял технические задания. Отдельно выписывает, какие договоры и акты у него уже есть, а какие нужно найти у бухгалтера или руководителя разработки.</w:t>
      </w:r>
    </w:p>
    <w:p>
      <w:pPr>
        <w:pStyle w:val="Heading2"/>
      </w:pPr>
      <w:r>
        <w:t xml:space="preserve">3. Уточняет вопрос о нескольких участниках</w:t>
      </w:r>
    </w:p>
    <w:p>
      <w:pPr>
        <w:pStyle w:val="Normal"/>
      </w:pPr>
      <w:r>
        <w:t xml:space="preserve">Из текста статьи переходит по ссылке «Соавторство при создании базы данных». Хочет понять, какие обстоятельства имеют значение при оценке совместной работы. После чтения не объявляет всех участников соавторами автоматически, а формулирует вопросы о характере вклада каждого человека.</w:t>
      </w:r>
    </w:p>
    <w:p>
      <w:pPr>
        <w:pStyle w:val="Quote"/>
      </w:pPr>
      <w:r>
        <w:t xml:space="preserve">«Нужно описать, что реально делал каждый участник, а не просто перечислить фамилии команды».</w:t>
      </w:r>
    </w:p>
    <w:p>
      <w:pPr>
        <w:pStyle w:val="Heading2"/>
      </w:pPr>
      <w:r>
        <w:t xml:space="preserve">4. Переходит от чтения к подготовке документов</w:t>
      </w:r>
    </w:p>
    <w:p>
      <w:pPr>
        <w:pStyle w:val="Normal"/>
      </w:pPr>
      <w:r>
        <w:t xml:space="preserve">В блоке «Разобраться в деталях» выбирает «База данных в стартапе: как закрепить права и не потерять актив». Открывается чек-лист оформления прав на базу данных. Дмитрий просматривает пять шагов и таблицы, сопоставляет их со своими документами. Галочек выполнения у шагов нет: он использует материал как руководство для подготовки вопросов, а не как подтверждение уже оформленных прав.</w:t>
      </w:r>
    </w:p>
    <w:p>
      <w:pPr>
        <w:pStyle w:val="Heading1"/>
        <w:pageBreakBefore/>
      </w:pPr>
      <w:r>
        <w:t xml:space="preserve">3. Личная подборка и заявка по оформлению</w:t>
      </w:r>
    </w:p>
    <w:p>
      <w:pPr>
        <w:pStyle w:val="Subtitle"/>
      </w:pPr>
      <w:r>
        <w:t xml:space="preserve">Продолжение сценария Дмитрия</w:t>
      </w:r>
    </w:p>
    <w:p>
      <w:pPr>
        <w:pStyle w:val="Heading2"/>
      </w:pPr>
      <w:r>
        <w:t xml:space="preserve">5. Сохраняет чек-лист через регистрацию</w:t>
      </w:r>
    </w:p>
    <w:p>
      <w:pPr>
        <w:pStyle w:val="Normal"/>
      </w:pPr>
      <w:r>
        <w:t xml:space="preserve">Дмитрий нажимает «Сохранить чек-лист». После предложения войти выбирает «Создать профиль» и вводит:</w:t>
      </w:r>
    </w:p>
    <w:tbl>
      <w:tblPr>
        <w:tblW w:w="9638" w:type="dxa"/>
        <w:tblBorders>
          <w:top w:val="single" w:sz="4" w:color="D9E5DE"/>
          <w:left w:val="single" w:sz="4" w:color="D9E5DE"/>
          <w:bottom w:val="single" w:sz="4" w:color="D9E5DE"/>
          <w:right w:val="single" w:sz="4" w:color="D9E5DE"/>
          <w:insideH w:val="single" w:sz="4" w:color="D9E5DE"/>
          <w:insideV w:val="single" w:sz="4" w:color="D9E5DE"/>
        </w:tblBorders>
        <w:tblCellMar>
          <w:top w:w="65" w:type="dxa"/>
          <w:left w:w="110" w:type="dxa"/>
          <w:bottom w:w="65" w:type="dxa"/>
          <w:right w:w="110" w:type="dxa"/>
        </w:tblCellMar>
      </w:tblPr>
      <w:tblGrid>
        <w:gridCol w:w="3100"/>
        <w:gridCol w:w="6538"/>
      </w:tblGrid>
      <w:tr>
        <w:trPr>
          <w:cantSplit/>
          <w:tblHeader/>
        </w:trPr>
        <w:tc>
          <w:tcPr>
            <w:tcW w:w="3100" w:type="dxa"/>
            <w:shd w:fill="EAF4EE"/>
          </w:tcPr>
          <w:p>
            <w:pPr>
              <w:pStyle w:val="TableHeading"/>
            </w:pPr>
            <w:r>
              <w:t xml:space="preserve">Поле</w:t>
            </w:r>
          </w:p>
        </w:tc>
        <w:tc>
          <w:tcPr>
            <w:tcW w:w="6538" w:type="dxa"/>
            <w:shd w:fill="EAF4EE"/>
          </w:tcPr>
          <w:p>
            <w:pPr>
              <w:pStyle w:val="TableHeading"/>
            </w:pPr>
            <w:r>
              <w:t xml:space="preserve">Что вводит или выбирает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pStyle w:val="TableText"/>
            </w:pPr>
            <w:r>
              <w:t xml:space="preserve">Логин</w:t>
            </w:r>
          </w:p>
        </w:tc>
        <w:tc>
          <w:tcPr>
            <w:tcW w:w="6538" w:type="dxa"/>
          </w:tcPr>
          <w:p>
            <w:pPr>
              <w:pStyle w:val="TableText"/>
            </w:pPr>
            <w:r>
              <w:t xml:space="preserve">d_belov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pStyle w:val="TableText"/>
            </w:pPr>
            <w:r>
              <w:t xml:space="preserve">Электронная почта</w:t>
            </w:r>
          </w:p>
        </w:tc>
        <w:tc>
          <w:tcPr>
            <w:tcW w:w="6538" w:type="dxa"/>
          </w:tcPr>
          <w:p>
            <w:pPr>
              <w:pStyle w:val="TableText"/>
            </w:pPr>
            <w:r>
              <w:t xml:space="preserve">d.belov@example.com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pStyle w:val="TableText"/>
            </w:pPr>
            <w:r>
              <w:t xml:space="preserve">Пароль</w:t>
            </w:r>
          </w:p>
        </w:tc>
        <w:tc>
          <w:tcPr>
            <w:tcW w:w="6538" w:type="dxa"/>
          </w:tcPr>
          <w:p>
            <w:pPr>
              <w:pStyle w:val="TableText"/>
            </w:pPr>
            <w:r>
              <w:t xml:space="preserve">Demo_Dmitry!2026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pStyle w:val="TableText"/>
            </w:pPr>
            <w:r>
              <w:t xml:space="preserve">Подтверждение пароля</w:t>
            </w:r>
          </w:p>
        </w:tc>
        <w:tc>
          <w:tcPr>
            <w:tcW w:w="6538" w:type="dxa"/>
          </w:tcPr>
          <w:p>
            <w:pPr>
              <w:pStyle w:val="TableText"/>
            </w:pPr>
            <w:r>
              <w:t xml:space="preserve">Demo_Dmitry!2026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pStyle w:val="TableText"/>
            </w:pPr>
            <w:r>
              <w:t xml:space="preserve">Согласие</w:t>
            </w:r>
          </w:p>
        </w:tc>
        <w:tc>
          <w:tcPr>
            <w:tcW w:w="6538" w:type="dxa"/>
          </w:tcPr>
          <w:p>
            <w:pPr>
              <w:pStyle w:val="TableText"/>
            </w:pPr>
            <w:r>
              <w:t xml:space="preserve">Знакомится с условиями и отмечает согласие на обработку персональных данных.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После «Создать профиль» он возвращается к чек-листу. Чек-лист автоматически появляется в избранном. Затем Дмитрий нажимает «Скачать файл», чтобы использовать документ при встрече с командой. Из блока «Разобраться в деталях» снова открывает статьи о принадлежности прав и соавторстве, сохраняет обе — теперь без повторной авторизации.</w:t>
      </w:r>
    </w:p>
    <w:p>
      <w:pPr>
        <w:pStyle w:val="Heading2"/>
      </w:pPr>
      <w:r>
        <w:t xml:space="preserve">6. Объясняет юристу задачу до возникновения спора</w:t>
      </w:r>
    </w:p>
    <w:p>
      <w:pPr>
        <w:pStyle w:val="Normal"/>
      </w:pPr>
      <w:r>
        <w:t xml:space="preserve">Внизу последней открытой статьи Дмитрий нажимает «Обсудить задачу с юристом». Логин d_belov подставляется из профиля. В поле «Имя» он указывает «Дмитрий Белов». В поле «Коротко о задаче» вводит:</w:t>
      </w:r>
    </w:p>
    <w:p>
      <w:pPr>
        <w:pStyle w:val="Quote"/>
      </w:pPr>
      <w:r>
        <w:t xml:space="preserve">«Готовим сервис подбора поставщиков к переговорам с инвестором. Базу данных создавали я, два сотрудника и приглашённый специалист: одни разрабатывали структуру, другие собирали и проверяли сведения. Есть трудовые договоры, договор с подрядчиком и часть актов. Нужно разобраться, кому принадлежат права на базу, оценить вклад участников и понять, каких документов не хватает для оформления прав у компании. Спора пока нет».</w:t>
      </w:r>
    </w:p>
    <w:p>
      <w:pPr>
        <w:pStyle w:val="Normal"/>
      </w:pPr>
      <w:r>
        <w:t xml:space="preserve">Дмитрий не просит гарантировать результат без изучения документов. Он обозначает цель — подготовиться к проверке актива — и просит определить недостающие действия. Такой текст помогает понять контекст консультации без длинного пересказа всей истории стартапа.</w:t>
      </w:r>
    </w:p>
    <w:p>
      <w:pPr>
        <w:pStyle w:val="Heading2"/>
      </w:pPr>
      <w:r>
        <w:t xml:space="preserve">7. Завершает путь</w:t>
      </w:r>
    </w:p>
    <w:p>
      <w:pPr>
        <w:pStyle w:val="Normal"/>
      </w:pPr>
      <w:r>
        <w:t xml:space="preserve">Нажимает «Отправить заявку». Форма закрывается, появляется «Заявка отправлена». В личном кабинете остаются чек-лист и две статьи. Дмитрий может вернуться к подборке перед встречей с командой и уточнить свои вопросы по каждому участнику проекта.</w:t>
      </w:r>
    </w:p>
    <w:p>
      <w:pPr>
        <w:pStyle w:val="Heading2"/>
      </w:pPr>
      <w:r>
        <w:t xml:space="preserve">Результат и состояние пользователя</w:t>
      </w:r>
    </w:p>
    <w:p>
      <w:pPr>
        <w:pStyle w:val="Normal"/>
      </w:pPr>
      <w:r>
        <w:t xml:space="preserve">Дмитрий прошёл от общего сомнения «кому принадлежит база» к конкретной задаче: изучить вклад участников, проверить договоры и определить необходимые документы. Его путь профилактический, без уже возникшего конфликта. Материалы и скачанный файл помогают подготовиться, но сами по себе не оформляют права.</w:t>
      </w:r>
    </w:p>
    <w:p>
      <w:pPr>
        <w:pStyle w:val="Note"/>
      </w:pPr>
      <w:r>
        <w:t xml:space="preserve">Примечание для команды: во всех трёх сценариях описана видимая реакция текущего интерфейса заявки. Сейчас форма работает на фронтенде: закрывается и показывает уведомление, но не передаёт заявку юристу или в базу данных. Фактическая обработка заявок начнётся после подключения бэкенда. Сохранение избранного и авторизация уже работают через бэкенд.</w:t>
      </w:r>
    </w:p>
    <w:sectPr>
      <w:headerReference w:type="default" r:id="rId2"/>
      <w:footerReference w:type="default" r:id="rId3"/>
      <w:pgSz w:w="11906" w:h="16838"/>
      <w:pgMar w:top="900" w:right="1134" w:bottom="900" w:left="1134" w:header="400" w:footer="4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</w:rPr>
      <w:t>МоёПраво ·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МОЁПРАВО  /  ПОЛЬЗОВАТЕЛЬСКИЕ СЦЕНАРИИ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lang w:val="ru-RU"/>
        <w:color w:val="22362D"/>
      </w:rPr>
    </w:rPrDefault>
    <w:pPrDefault>
      <w:pPr>
        <w:spacing w:after="100" w:line="264" w:lineRule="auto"/>
        <w:widowControl/>
      </w:pPr>
    </w:pPrDefault>
  </w:docDefaults>
  <w:style w:type="paragraph" w:default="1" w:styleId="Normal">
    <w:name w:val="Normal"/>
  </w:style>
  <w:style w:type="paragraph" w:styleId="Heading1">
    <w:name w:val="Heading1"/>
    <w:basedOn w:val="Normal"/>
    <w:pPr>
      <w:keepNext/>
      <w:spacing w:before="0" w:after="140"/>
      <w:outlineLvl w:val="0"/>
    </w:pPr>
    <w:rPr>
      <w:b/>
      <w:sz w:val="36"/>
      <w:color w:val="00865B"/>
    </w:rPr>
  </w:style>
  <w:style w:type="paragraph" w:styleId="Heading2">
    <w:name w:val="Heading2"/>
    <w:basedOn w:val="Normal"/>
    <w:pPr>
      <w:keepNext/>
      <w:spacing w:before="170" w:after="70"/>
      <w:outlineLvl w:val="1"/>
    </w:pPr>
    <w:rPr>
      <w:b/>
      <w:sz w:val="24"/>
      <w:color w:val="00865B"/>
    </w:rPr>
  </w:style>
  <w:style w:type="paragraph" w:styleId="Subtitle">
    <w:name w:val="Subtitle"/>
    <w:basedOn w:val="Normal"/>
    <w:pPr>
      <w:keepNext/>
      <w:spacing w:after="180"/>
    </w:pPr>
    <w:rPr>
      <w:sz w:val="23"/>
      <w:color w:val="55685E"/>
    </w:rPr>
  </w:style>
  <w:style w:type="paragraph" w:styleId="Caption">
    <w:name w:val="Caption"/>
    <w:basedOn w:val="Normal"/>
    <w:pPr>
      <w:spacing w:after="100"/>
    </w:pPr>
    <w:rPr>
      <w:sz w:val="18"/>
      <w:color w:val="55685E"/>
    </w:rPr>
  </w:style>
  <w:style w:type="paragraph" w:styleId="Note">
    <w:name w:val="Note"/>
    <w:basedOn w:val="Normal"/>
    <w:pPr>
      <w:spacing w:before="80" w:after="100"/>
      <w:shd w:fill="F1F5F3"/>
    </w:pPr>
    <w:rPr>
      <w:sz w:val="18"/>
      <w:color w:val="55685E"/>
    </w:rPr>
  </w:style>
  <w:style w:type="paragraph" w:styleId="Quote">
    <w:name w:val="Quote"/>
    <w:basedOn w:val="Normal"/>
    <w:pPr>
      <w:ind w:left="200" w:right="100"/>
      <w:spacing w:before="80" w:after="110"/>
      <w:pBdr>
        <w:left w:val="single" w:sz="16" w:space="8" w:color="00865B"/>
      </w:pBdr>
    </w:pPr>
    <w:rPr>
      <w:i/>
    </w:rPr>
  </w:style>
  <w:style w:type="paragraph" w:styleId="TableHeading">
    <w:name w:val="TableHeading"/>
    <w:basedOn w:val="Normal"/>
    <w:pPr>
      <w:spacing w:after="0" w:line="240" w:lineRule="auto"/>
    </w:pPr>
    <w:rPr>
      <w:b/>
      <w:sz w:val="20"/>
    </w:rPr>
  </w:style>
  <w:style w:type="paragraph" w:styleId="TableText">
    <w:name w:val="TableText"/>
    <w:basedOn w:val="Normal"/>
    <w:pPr>
      <w:spacing w:after="0" w:line="240" w:lineRule="auto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МоёПраво — три пользовательских сценария</dc:title>
  <dc:subject>Защита программного кода, поиск по претензии, оформление прав на базу данных</dc:subject>
  <dc:creator>МоёПраво</dc:creator>
  <dc:language>ru-RU</dc:language>
</cp:coreProperties>
</file>