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511F" w:rsidRDefault="006F511F" w:rsidP="006F511F">
      <w:pPr>
        <w:ind w:left="-851"/>
        <w:rPr>
          <w:rStyle w:val="a3"/>
          <w:color w:val="C00000"/>
          <w:u w:val="single"/>
        </w:rPr>
      </w:pPr>
      <w:r w:rsidRPr="006F511F">
        <w:rPr>
          <w:rStyle w:val="a3"/>
          <w:color w:val="C00000"/>
          <w:u w:val="single"/>
        </w:rPr>
        <w:t>Запрет использования, убытки или компенсация: что требовать при копировании программы</w:t>
      </w:r>
    </w:p>
    <w:p w:rsidR="006F511F" w:rsidRPr="006F511F" w:rsidRDefault="006F511F" w:rsidP="006F511F">
      <w:pPr>
        <w:ind w:left="-851"/>
        <w:jc w:val="both"/>
        <w:rPr>
          <w:b/>
          <w:bCs/>
          <w:color w:val="C00000"/>
          <w:sz w:val="24"/>
          <w:szCs w:val="24"/>
          <w:u w:val="single"/>
        </w:rPr>
      </w:pPr>
      <w:r w:rsidRPr="006F511F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1. Запрет использования программы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Если нарушитель продолжает использовать незаконно скопированную программу,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вправе требовать пресечения действий, нарушающих исключительное право или создающих угрозу его нарушения.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Такой способ защиты предусмотрен </w:t>
      </w:r>
      <w:hyperlink r:id="rId5" w:history="1">
        <w:r w:rsidRPr="006F511F">
          <w:rPr>
            <w:rFonts w:eastAsia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статьёй 1252 ГК РФ</w:t>
        </w:r>
      </w:hyperlink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 частности, можно требовать прекращения незаконного воспроизведения, распространения или иного использования программы. При этом запрет должен касаться именно неправомерного использования охраняемых элементов, а не автоматически всей программы.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Требование о прекращении нарушения может заявляться совместно с имущественными требованиями.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2. Взыскание убытков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На основании </w:t>
      </w:r>
      <w:hyperlink r:id="rId6" w:history="1">
        <w:r w:rsidRPr="006F511F">
          <w:rPr>
            <w:rFonts w:eastAsia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статей 15 и 1252 ГК РФ</w:t>
        </w:r>
      </w:hyperlink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0243E"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вправе требовать возмещения убытков, причинённых незаконным использованием программы.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Убытки могут включать реальный ущерб и упущенную выгоду, например доходы, которые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мог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ли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бы получить от продажи лицензий.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Однако для взыскания убытков необходимо доказать их наличие, размер и причинную связь с нарушением. На практике именно подтверждение размера убытков часто представляет основную сложность.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3. Взыскание компенсации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Вместо возмещения убытков </w:t>
      </w:r>
      <w:r w:rsidR="0000243E"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вправе потребовать компенсацию на основании </w:t>
      </w:r>
      <w:hyperlink r:id="rId7" w:history="1">
        <w:r w:rsidRPr="006F511F">
          <w:rPr>
            <w:rFonts w:eastAsia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статей 1252.1 и 1301 ГК РФ</w:t>
        </w:r>
      </w:hyperlink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может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е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выбрать один из трёх способов расчёта компенсации:</w:t>
      </w:r>
    </w:p>
    <w:p w:rsidR="006F511F" w:rsidRPr="006F511F" w:rsidRDefault="006F511F" w:rsidP="006F511F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От 10 тысяч до 10 миллионов рублей</w:t>
      </w:r>
      <w:r w:rsidR="00641A25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641A25" w:rsidRPr="00641A25">
        <w:rPr>
          <w:rFonts w:eastAsia="Times New Roman"/>
          <w:kern w:val="0"/>
          <w:sz w:val="24"/>
          <w:szCs w:val="24"/>
          <w:lang w:eastAsia="ru-RU"/>
          <w14:ligatures w14:val="none"/>
        </w:rPr>
        <w:t>(</w:t>
      </w:r>
      <w:r w:rsidR="00641A25" w:rsidRPr="00641A25">
        <w:rPr>
          <w:sz w:val="24"/>
          <w:szCs w:val="24"/>
          <w:shd w:val="clear" w:color="auto" w:fill="FFFFFF"/>
        </w:rPr>
        <w:t>Суд определяет конкретную цифру, учитывая характер нарушения, срок и объём незаконного использования, степень вины нарушителя, вероятные убытки правообладателя, а также принципы разумности и справедливости</w:t>
      </w:r>
      <w:r w:rsidR="00641A25" w:rsidRPr="00641A25">
        <w:rPr>
          <w:sz w:val="24"/>
          <w:szCs w:val="24"/>
          <w:shd w:val="clear" w:color="auto" w:fill="FFFFFF"/>
        </w:rPr>
        <w:t>)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:rsidR="006F511F" w:rsidRPr="006F511F" w:rsidRDefault="006F511F" w:rsidP="006F511F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 двукратном размере стоимости контрафактных экземпляров программы.</w:t>
      </w:r>
    </w:p>
    <w:p w:rsidR="006F511F" w:rsidRPr="006F511F" w:rsidRDefault="006F511F" w:rsidP="006F511F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В двукратном размере стоимости права использования программы при сравнимых обстоятельствах.</w:t>
      </w:r>
    </w:p>
    <w:p w:rsidR="006F511F" w:rsidRPr="006F511F" w:rsidRDefault="006F511F" w:rsidP="005E5F94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Главное преимущество компенсации заключается в том, что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Вам 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не требуется доказывать размер причинённых убытков. Достаточно доказать факт нарушения исключительного права, а размер компенсации определяется по установленным законом правилам. 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4. Можно ли заявить несколько требований одновременно?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Закон допускает одновременное предъявление требований о прекращении незаконного использования программы и взыскании денежной суммы.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lastRenderedPageBreak/>
        <w:t xml:space="preserve">Однако взыскать одновременно убытки и компенсацию за одно и то же нарушение нельзя.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Вам </w:t>
      </w: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необходимо выбрать один из этих способов денежной защиты. </w:t>
      </w:r>
    </w:p>
    <w:p w:rsidR="006F511F" w:rsidRPr="006F511F" w:rsidRDefault="006F511F" w:rsidP="006F511F">
      <w:pPr>
        <w:spacing w:before="100" w:beforeAutospacing="1" w:after="100" w:afterAutospacing="1" w:line="240" w:lineRule="auto"/>
        <w:ind w:left="-851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F511F">
        <w:rPr>
          <w:rFonts w:eastAsia="Times New Roman"/>
          <w:kern w:val="0"/>
          <w:sz w:val="24"/>
          <w:szCs w:val="24"/>
          <w:lang w:eastAsia="ru-RU"/>
          <w14:ligatures w14:val="none"/>
        </w:rPr>
        <w:t>Кроме того, согласно пункту 5.1 статьи 1252 ГК РФ, в арбитражных спорах между юридическими лицами и (или) индивидуальными предпринимателями перед предъявлением иска о взыскании убытков или компенсации необходимо направить претензию нарушителю. По общему правилу срок ожидания ответа составляет 30 дней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:rsidR="006F511F" w:rsidRPr="006F511F" w:rsidRDefault="006F511F" w:rsidP="006F511F">
      <w:pPr>
        <w:ind w:left="-851"/>
      </w:pPr>
    </w:p>
    <w:sectPr w:rsidR="006F511F" w:rsidRPr="006F511F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C3719"/>
    <w:multiLevelType w:val="multilevel"/>
    <w:tmpl w:val="01F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6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1F"/>
    <w:rsid w:val="0000243E"/>
    <w:rsid w:val="000C7CD9"/>
    <w:rsid w:val="003C783C"/>
    <w:rsid w:val="005E5F94"/>
    <w:rsid w:val="00641A25"/>
    <w:rsid w:val="006F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0C870"/>
  <w15:chartTrackingRefBased/>
  <w15:docId w15:val="{82F15199-1C51-4BC2-A0DA-0A53E799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511F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F511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F511F"/>
    <w:rPr>
      <w:rFonts w:eastAsia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6F511F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6F51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64629/c2f79b53ce582e92680379e2ebd23eeb9fb7855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5142/" TargetMode="External"/><Relationship Id="rId5" Type="http://schemas.openxmlformats.org/officeDocument/2006/relationships/hyperlink" Target="https://www.consultant.ru/document/cons_doc_LAW_64629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2</cp:revision>
  <dcterms:created xsi:type="dcterms:W3CDTF">2026-10-10T12:08:00Z</dcterms:created>
  <dcterms:modified xsi:type="dcterms:W3CDTF">2026-10-10T12:37:00Z</dcterms:modified>
</cp:coreProperties>
</file>