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695B" w14:textId="77777777" w:rsidR="00B04021" w:rsidRDefault="00392EDF">
      <w:pPr>
        <w:pStyle w:val="Heading1"/>
        <w:spacing w:before="240" w:after="120"/>
      </w:pPr>
      <w:r>
        <w:rPr>
          <w:color w:val="0F172A"/>
        </w:rPr>
        <w:t>Regulatory Roles &amp; Allocation of Responsibilities (EU AI Act Articles 16, 25 &amp; 26)</w:t>
      </w:r>
    </w:p>
    <w:p w14:paraId="053176AB" w14:textId="77777777" w:rsidR="00B04021" w:rsidRDefault="00392EDF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55A230D9" w14:textId="77777777" w:rsidR="00B04021" w:rsidRDefault="00392EDF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4A38CD8C" w14:textId="77777777" w:rsidR="00B04021" w:rsidRDefault="00392EDF">
      <w:pPr>
        <w:pStyle w:val="Heading2"/>
        <w:spacing w:after="80"/>
      </w:pPr>
      <w:r>
        <w:rPr>
          <w:color w:val="1E3A8A"/>
        </w:rPr>
        <w:t>1. Statutory Role Classification</w:t>
      </w:r>
    </w:p>
    <w:p w14:paraId="0032501A" w14:textId="77777777" w:rsidR="00B04021" w:rsidRDefault="00392EDF">
      <w:pPr>
        <w:spacing w:after="80"/>
      </w:pPr>
      <w:r>
        <w:t xml:space="preserve">Under </w:t>
      </w:r>
      <w:r>
        <w:rPr>
          <w:b/>
        </w:rPr>
        <w:t>Regulation (EU) 2024/1689 (EU AI Act)</w:t>
      </w:r>
      <w:r>
        <w:t xml:space="preserve">, regulatory obligations are divided between the </w:t>
      </w:r>
      <w:r>
        <w:rPr>
          <w:b/>
        </w:rPr>
        <w:t>Provider</w:t>
      </w:r>
      <w:r>
        <w:t xml:space="preserve"> (the entity developing and placing the AI system on the market) and </w:t>
      </w:r>
      <w:r>
        <w:rPr>
          <w:b/>
        </w:rPr>
        <w:t>Deployers</w:t>
      </w:r>
      <w:r>
        <w:t xml:space="preserve"> (enterprise entities</w:t>
      </w:r>
      <w:r>
        <w:t xml:space="preserve"> using the AI system under their authority).</w:t>
      </w:r>
    </w:p>
    <w:p w14:paraId="25379990" w14:textId="77777777" w:rsidR="00B04021" w:rsidRDefault="00392EDF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REGULATORY ROLE DIVISION OF RESPONSIBILITY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PROVIDER (Article 3(2) &amp; 16)               DEPLOYER (Article 3(4) &amp; 26)   │</w:t>
      </w:r>
      <w:r>
        <w:rPr>
          <w:rFonts w:ascii="Consolas" w:hAnsi="Consolas"/>
          <w:color w:val="1E293B"/>
          <w:sz w:val="17"/>
        </w:rPr>
        <w:br/>
        <w:t>│   TalentMatch AI B.V.                        Enterprise Client HR</w:t>
      </w:r>
      <w:r>
        <w:rPr>
          <w:rFonts w:ascii="Consolas" w:hAnsi="Consolas"/>
          <w:color w:val="1E293B"/>
          <w:sz w:val="17"/>
        </w:rPr>
        <w:t xml:space="preserve"> Teams     │</w:t>
      </w:r>
      <w:r>
        <w:rPr>
          <w:rFonts w:ascii="Consolas" w:hAnsi="Consolas"/>
          <w:color w:val="1E293B"/>
          <w:sz w:val="17"/>
        </w:rPr>
        <w:br/>
        <w:t>│   ───────────────────                        ──────────────────────────     │</w:t>
      </w:r>
      <w:r>
        <w:rPr>
          <w:rFonts w:ascii="Consolas" w:hAnsi="Consolas"/>
          <w:color w:val="1E293B"/>
          <w:sz w:val="17"/>
        </w:rPr>
        <w:br/>
        <w:t>│   • Establish Risk Mgmt System (Art 9)       • Follow Provider Instructions │</w:t>
      </w:r>
      <w:r>
        <w:rPr>
          <w:rFonts w:ascii="Consolas" w:hAnsi="Consolas"/>
          <w:color w:val="1E293B"/>
          <w:sz w:val="17"/>
        </w:rPr>
        <w:br/>
        <w:t>│   • Data Governance &amp; Bias Mitigation (Art 10)• Assign Qualified Overseers  │</w:t>
      </w:r>
      <w:r>
        <w:rPr>
          <w:rFonts w:ascii="Consolas" w:hAnsi="Consolas"/>
          <w:color w:val="1E293B"/>
          <w:sz w:val="17"/>
        </w:rPr>
        <w:br/>
        <w:t xml:space="preserve">│  </w:t>
      </w:r>
      <w:r>
        <w:rPr>
          <w:rFonts w:ascii="Consolas" w:hAnsi="Consolas"/>
          <w:color w:val="1E293B"/>
          <w:sz w:val="17"/>
        </w:rPr>
        <w:t xml:space="preserve"> • Technical Documentation / Annex IV (Art 11)• Monitor System Operation   │</w:t>
      </w:r>
      <w:r>
        <w:rPr>
          <w:rFonts w:ascii="Consolas" w:hAnsi="Consolas"/>
          <w:color w:val="1E293B"/>
          <w:sz w:val="17"/>
        </w:rPr>
        <w:br/>
        <w:t>│   • Record-Keeping &amp; Automated Logs (Art 12)  • Inform Candidates of AI Use │</w:t>
      </w:r>
      <w:r>
        <w:rPr>
          <w:rFonts w:ascii="Consolas" w:hAnsi="Consolas"/>
          <w:color w:val="1E293B"/>
          <w:sz w:val="17"/>
        </w:rPr>
        <w:br/>
        <w:t>│   • Transparency &amp; Instructions for Use (Art 13)• Conduct FRIA (Art 27)    │</w:t>
      </w:r>
      <w:r>
        <w:rPr>
          <w:rFonts w:ascii="Consolas" w:hAnsi="Consolas"/>
          <w:color w:val="1E293B"/>
          <w:sz w:val="17"/>
        </w:rPr>
        <w:br/>
        <w:t>│   • Design Human O</w:t>
      </w:r>
      <w:r>
        <w:rPr>
          <w:rFonts w:ascii="Consolas" w:hAnsi="Consolas"/>
          <w:color w:val="1E293B"/>
          <w:sz w:val="17"/>
        </w:rPr>
        <w:t>versight Mechanisms (Art 14)                              │</w:t>
      </w:r>
      <w:r>
        <w:rPr>
          <w:rFonts w:ascii="Consolas" w:hAnsi="Consolas"/>
          <w:color w:val="1E293B"/>
          <w:sz w:val="17"/>
        </w:rPr>
        <w:br/>
        <w:t>│   • Post-Market Monitoring System (Art 72)                                   │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───────────────────────────────────────────┘</w:t>
      </w:r>
    </w:p>
    <w:p w14:paraId="610AF1EB" w14:textId="77777777" w:rsidR="00B04021" w:rsidRDefault="00392ED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BEFACF8" w14:textId="77777777" w:rsidR="00B04021" w:rsidRDefault="00392EDF">
      <w:pPr>
        <w:pStyle w:val="Heading2"/>
        <w:spacing w:after="80"/>
      </w:pPr>
      <w:r>
        <w:rPr>
          <w:color w:val="1E3A8A"/>
        </w:rPr>
        <w:t>2. Provider Obligations (TalentMatch AI B.V. — Article 16)</w:t>
      </w:r>
    </w:p>
    <w:p w14:paraId="34CB95D0" w14:textId="77777777" w:rsidR="00B04021" w:rsidRDefault="00392EDF">
      <w:pPr>
        <w:spacing w:after="80"/>
      </w:pPr>
      <w:r>
        <w:t xml:space="preserve">As Provider, TalentMatch AI B.V. maintains legal accountability for ensuring system compliance prior to market </w:t>
      </w:r>
      <w:r>
        <w:t>placement: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04021" w14:paraId="0B12ED63" w14:textId="77777777" w:rsidTr="00392EDF">
        <w:trPr>
          <w:jc w:val="center"/>
        </w:trPr>
        <w:tc>
          <w:tcPr>
            <w:tcW w:w="3312" w:type="dxa"/>
            <w:shd w:val="clear" w:color="auto" w:fill="1E293B"/>
          </w:tcPr>
          <w:p w14:paraId="013F1FD0" w14:textId="77777777" w:rsidR="00B04021" w:rsidRDefault="00392EDF">
            <w:pPr>
              <w:spacing w:before="40" w:after="40"/>
            </w:pPr>
            <w:r>
              <w:rPr>
                <w:b/>
                <w:color w:val="FFFFFF"/>
              </w:rPr>
              <w:t>EU AI Act Article</w:t>
            </w:r>
          </w:p>
        </w:tc>
        <w:tc>
          <w:tcPr>
            <w:tcW w:w="3312" w:type="dxa"/>
            <w:shd w:val="clear" w:color="auto" w:fill="1E293B"/>
          </w:tcPr>
          <w:p w14:paraId="6DB41A78" w14:textId="77777777" w:rsidR="00B04021" w:rsidRDefault="00392EDF">
            <w:pPr>
              <w:spacing w:before="40" w:after="40"/>
            </w:pPr>
            <w:r>
              <w:rPr>
                <w:b/>
                <w:color w:val="FFFFFF"/>
              </w:rPr>
              <w:t>Mandatory Provider Requirement</w:t>
            </w:r>
          </w:p>
        </w:tc>
        <w:tc>
          <w:tcPr>
            <w:tcW w:w="3312" w:type="dxa"/>
            <w:shd w:val="clear" w:color="auto" w:fill="1E293B"/>
          </w:tcPr>
          <w:p w14:paraId="3168585E" w14:textId="77777777" w:rsidR="00B04021" w:rsidRDefault="00392EDF">
            <w:pPr>
              <w:spacing w:before="40" w:after="40"/>
            </w:pPr>
            <w:r>
              <w:rPr>
                <w:b/>
                <w:color w:val="FFFFFF"/>
              </w:rPr>
              <w:t>Implementation Control in TalentMatch AI v2.4</w:t>
            </w:r>
          </w:p>
        </w:tc>
      </w:tr>
      <w:tr w:rsidR="00B04021" w14:paraId="5979F1B0" w14:textId="77777777" w:rsidTr="00392EDF">
        <w:trPr>
          <w:jc w:val="center"/>
        </w:trPr>
        <w:tc>
          <w:tcPr>
            <w:tcW w:w="3312" w:type="dxa"/>
            <w:shd w:val="clear" w:color="auto" w:fill="F8FAFC"/>
          </w:tcPr>
          <w:p w14:paraId="70299D45" w14:textId="77777777" w:rsidR="00B04021" w:rsidRDefault="00392EDF">
            <w:pPr>
              <w:spacing w:before="40" w:after="40"/>
            </w:pPr>
            <w:r>
              <w:rPr>
                <w:b/>
              </w:rPr>
              <w:t>Article 9</w:t>
            </w:r>
          </w:p>
        </w:tc>
        <w:tc>
          <w:tcPr>
            <w:tcW w:w="3312" w:type="dxa"/>
            <w:shd w:val="clear" w:color="auto" w:fill="F8FAFC"/>
          </w:tcPr>
          <w:p w14:paraId="078343A6" w14:textId="77777777" w:rsidR="00B04021" w:rsidRDefault="00392EDF">
            <w:pPr>
              <w:spacing w:before="40" w:after="40"/>
            </w:pPr>
            <w:r>
              <w:t>Establish &amp; maintain a Risk Management System.</w:t>
            </w:r>
          </w:p>
        </w:tc>
        <w:tc>
          <w:tcPr>
            <w:tcW w:w="3312" w:type="dxa"/>
            <w:shd w:val="clear" w:color="auto" w:fill="F8FAFC"/>
          </w:tcPr>
          <w:p w14:paraId="51C6FA37" w14:textId="77777777" w:rsidR="00B04021" w:rsidRDefault="00392EDF">
            <w:pPr>
              <w:spacing w:before="40" w:after="40"/>
            </w:pPr>
            <w:r>
              <w:t>AI Risk Register (</w:t>
            </w:r>
            <w:r>
              <w:rPr>
                <w:rFonts w:ascii="Consolas" w:hAnsi="Consolas"/>
                <w:color w:val="333333"/>
                <w:sz w:val="19"/>
              </w:rPr>
              <w:t>risk/ai-risk-register.md</w:t>
            </w:r>
            <w:r>
              <w:t>) &amp; iterative evaluation.</w:t>
            </w:r>
          </w:p>
        </w:tc>
      </w:tr>
      <w:tr w:rsidR="00B04021" w14:paraId="452806E3" w14:textId="77777777" w:rsidTr="00392EDF">
        <w:trPr>
          <w:jc w:val="center"/>
        </w:trPr>
        <w:tc>
          <w:tcPr>
            <w:tcW w:w="3312" w:type="dxa"/>
            <w:shd w:val="clear" w:color="auto" w:fill="FFFFFF"/>
          </w:tcPr>
          <w:p w14:paraId="3639C162" w14:textId="77777777" w:rsidR="00B04021" w:rsidRDefault="00392EDF">
            <w:pPr>
              <w:spacing w:before="40" w:after="40"/>
            </w:pPr>
            <w:r>
              <w:rPr>
                <w:b/>
              </w:rPr>
              <w:t>Article 10</w:t>
            </w:r>
          </w:p>
        </w:tc>
        <w:tc>
          <w:tcPr>
            <w:tcW w:w="3312" w:type="dxa"/>
            <w:shd w:val="clear" w:color="auto" w:fill="FFFFFF"/>
          </w:tcPr>
          <w:p w14:paraId="60BC9B46" w14:textId="77777777" w:rsidR="00B04021" w:rsidRDefault="00392EDF">
            <w:pPr>
              <w:spacing w:before="40" w:after="40"/>
            </w:pPr>
            <w:r>
              <w:t xml:space="preserve">Ensure </w:t>
            </w:r>
            <w:r>
              <w:t>high-quality data sets &amp; bias mitigation.</w:t>
            </w:r>
          </w:p>
        </w:tc>
        <w:tc>
          <w:tcPr>
            <w:tcW w:w="3312" w:type="dxa"/>
            <w:shd w:val="clear" w:color="auto" w:fill="FFFFFF"/>
          </w:tcPr>
          <w:p w14:paraId="3E9DC1FE" w14:textId="77777777" w:rsidR="00B04021" w:rsidRDefault="00392EDF">
            <w:pPr>
              <w:spacing w:before="40" w:after="40"/>
            </w:pPr>
            <w:r>
              <w:t>Proxy masking, synthetic fairness testing, Fairlearn threshold tuning.</w:t>
            </w:r>
          </w:p>
        </w:tc>
      </w:tr>
      <w:tr w:rsidR="00B04021" w14:paraId="471C4244" w14:textId="77777777" w:rsidTr="00392EDF">
        <w:trPr>
          <w:jc w:val="center"/>
        </w:trPr>
        <w:tc>
          <w:tcPr>
            <w:tcW w:w="3312" w:type="dxa"/>
            <w:shd w:val="clear" w:color="auto" w:fill="F8FAFC"/>
          </w:tcPr>
          <w:p w14:paraId="2B9D1599" w14:textId="77777777" w:rsidR="00B04021" w:rsidRDefault="00392EDF">
            <w:pPr>
              <w:spacing w:before="40" w:after="40"/>
            </w:pPr>
            <w:r>
              <w:rPr>
                <w:b/>
              </w:rPr>
              <w:t>Article 11</w:t>
            </w:r>
          </w:p>
        </w:tc>
        <w:tc>
          <w:tcPr>
            <w:tcW w:w="3312" w:type="dxa"/>
            <w:shd w:val="clear" w:color="auto" w:fill="F8FAFC"/>
          </w:tcPr>
          <w:p w14:paraId="44524DF9" w14:textId="77777777" w:rsidR="00B04021" w:rsidRDefault="00392EDF">
            <w:pPr>
              <w:spacing w:before="40" w:after="40"/>
            </w:pPr>
            <w:r>
              <w:t>Draw up Annex IV Technical Documentation.</w:t>
            </w:r>
          </w:p>
        </w:tc>
        <w:tc>
          <w:tcPr>
            <w:tcW w:w="3312" w:type="dxa"/>
            <w:shd w:val="clear" w:color="auto" w:fill="F8FAFC"/>
          </w:tcPr>
          <w:p w14:paraId="2486168F" w14:textId="77777777" w:rsidR="00B04021" w:rsidRDefault="00392EDF">
            <w:pPr>
              <w:spacing w:before="40" w:after="40"/>
            </w:pPr>
            <w:r>
              <w:t>Model Card &amp; Technical Governance Binder (</w:t>
            </w:r>
            <w:r>
              <w:rPr>
                <w:rFonts w:ascii="Consolas" w:hAnsi="Consolas"/>
                <w:color w:val="333333"/>
                <w:sz w:val="19"/>
              </w:rPr>
              <w:t>model-governance.md</w:t>
            </w:r>
            <w:r>
              <w:t>).</w:t>
            </w:r>
          </w:p>
        </w:tc>
      </w:tr>
      <w:tr w:rsidR="00B04021" w14:paraId="65360444" w14:textId="77777777" w:rsidTr="00392EDF">
        <w:trPr>
          <w:jc w:val="center"/>
        </w:trPr>
        <w:tc>
          <w:tcPr>
            <w:tcW w:w="3312" w:type="dxa"/>
            <w:shd w:val="clear" w:color="auto" w:fill="FFFFFF"/>
          </w:tcPr>
          <w:p w14:paraId="22270E23" w14:textId="77777777" w:rsidR="00B04021" w:rsidRDefault="00392EDF">
            <w:pPr>
              <w:spacing w:before="40" w:after="40"/>
            </w:pPr>
            <w:r>
              <w:rPr>
                <w:b/>
              </w:rPr>
              <w:t>Article 12</w:t>
            </w:r>
          </w:p>
        </w:tc>
        <w:tc>
          <w:tcPr>
            <w:tcW w:w="3312" w:type="dxa"/>
            <w:shd w:val="clear" w:color="auto" w:fill="FFFFFF"/>
          </w:tcPr>
          <w:p w14:paraId="4F56099D" w14:textId="77777777" w:rsidR="00B04021" w:rsidRDefault="00392EDF">
            <w:pPr>
              <w:spacing w:before="40" w:after="40"/>
            </w:pPr>
            <w:r>
              <w:t xml:space="preserve">Enable </w:t>
            </w:r>
            <w:r>
              <w:t>automated logging of operational events.</w:t>
            </w:r>
          </w:p>
        </w:tc>
        <w:tc>
          <w:tcPr>
            <w:tcW w:w="3312" w:type="dxa"/>
            <w:shd w:val="clear" w:color="auto" w:fill="FFFFFF"/>
          </w:tcPr>
          <w:p w14:paraId="32BBAF04" w14:textId="77777777" w:rsidR="00B04021" w:rsidRDefault="00392EDF">
            <w:pPr>
              <w:spacing w:before="40" w:after="40"/>
            </w:pPr>
            <w:r>
              <w:t>CloudWatch &amp; WORM audit log infrastructure recording inputs &amp; outputs.</w:t>
            </w:r>
          </w:p>
        </w:tc>
      </w:tr>
      <w:tr w:rsidR="00B04021" w14:paraId="41E0E7F7" w14:textId="77777777" w:rsidTr="00392EDF">
        <w:trPr>
          <w:jc w:val="center"/>
        </w:trPr>
        <w:tc>
          <w:tcPr>
            <w:tcW w:w="3312" w:type="dxa"/>
            <w:shd w:val="clear" w:color="auto" w:fill="F8FAFC"/>
          </w:tcPr>
          <w:p w14:paraId="644EA068" w14:textId="77777777" w:rsidR="00B04021" w:rsidRDefault="00392EDF">
            <w:pPr>
              <w:spacing w:before="40" w:after="40"/>
            </w:pPr>
            <w:r>
              <w:rPr>
                <w:b/>
              </w:rPr>
              <w:lastRenderedPageBreak/>
              <w:t>Article 13</w:t>
            </w:r>
          </w:p>
        </w:tc>
        <w:tc>
          <w:tcPr>
            <w:tcW w:w="3312" w:type="dxa"/>
            <w:shd w:val="clear" w:color="auto" w:fill="F8FAFC"/>
          </w:tcPr>
          <w:p w14:paraId="376CB1B7" w14:textId="77777777" w:rsidR="00B04021" w:rsidRDefault="00392EDF">
            <w:pPr>
              <w:spacing w:before="40" w:after="40"/>
            </w:pPr>
            <w:r>
              <w:t>Provide clear, actionable Instructions for Use.</w:t>
            </w:r>
          </w:p>
        </w:tc>
        <w:tc>
          <w:tcPr>
            <w:tcW w:w="3312" w:type="dxa"/>
            <w:shd w:val="clear" w:color="auto" w:fill="F8FAFC"/>
          </w:tcPr>
          <w:p w14:paraId="5FEA7D97" w14:textId="77777777" w:rsidR="00B04021" w:rsidRDefault="00392EDF">
            <w:pPr>
              <w:spacing w:before="40" w:after="40"/>
            </w:pPr>
            <w:r>
              <w:t>Deployer Governance Manual &amp; User Guidance Documentation.</w:t>
            </w:r>
          </w:p>
        </w:tc>
      </w:tr>
      <w:tr w:rsidR="00B04021" w14:paraId="5DA084CB" w14:textId="77777777" w:rsidTr="00392EDF">
        <w:trPr>
          <w:jc w:val="center"/>
        </w:trPr>
        <w:tc>
          <w:tcPr>
            <w:tcW w:w="3312" w:type="dxa"/>
            <w:shd w:val="clear" w:color="auto" w:fill="FFFFFF"/>
          </w:tcPr>
          <w:p w14:paraId="6C2FCDF6" w14:textId="77777777" w:rsidR="00B04021" w:rsidRDefault="00392EDF">
            <w:pPr>
              <w:spacing w:before="40" w:after="40"/>
            </w:pPr>
            <w:r>
              <w:rPr>
                <w:b/>
              </w:rPr>
              <w:t>Article 14</w:t>
            </w:r>
          </w:p>
        </w:tc>
        <w:tc>
          <w:tcPr>
            <w:tcW w:w="3312" w:type="dxa"/>
            <w:shd w:val="clear" w:color="auto" w:fill="FFFFFF"/>
          </w:tcPr>
          <w:p w14:paraId="00FD5167" w14:textId="77777777" w:rsidR="00B04021" w:rsidRDefault="00392EDF">
            <w:pPr>
              <w:spacing w:before="40" w:after="40"/>
            </w:pPr>
            <w:r>
              <w:t xml:space="preserve">Design </w:t>
            </w:r>
            <w:r>
              <w:t>structural human oversight UI features.</w:t>
            </w:r>
          </w:p>
        </w:tc>
        <w:tc>
          <w:tcPr>
            <w:tcW w:w="3312" w:type="dxa"/>
            <w:shd w:val="clear" w:color="auto" w:fill="FFFFFF"/>
          </w:tcPr>
          <w:p w14:paraId="112899CA" w14:textId="77777777" w:rsidR="00B04021" w:rsidRDefault="00392EDF">
            <w:pPr>
              <w:spacing w:before="40" w:after="40"/>
            </w:pPr>
            <w:r>
              <w:t>2-minute mandatory review time lock &amp; blind scoring interface.</w:t>
            </w:r>
          </w:p>
        </w:tc>
      </w:tr>
      <w:tr w:rsidR="00B04021" w14:paraId="425B23BB" w14:textId="77777777" w:rsidTr="00392EDF">
        <w:trPr>
          <w:jc w:val="center"/>
        </w:trPr>
        <w:tc>
          <w:tcPr>
            <w:tcW w:w="3312" w:type="dxa"/>
            <w:shd w:val="clear" w:color="auto" w:fill="F8FAFC"/>
          </w:tcPr>
          <w:p w14:paraId="72133DBE" w14:textId="77777777" w:rsidR="00B04021" w:rsidRDefault="00392EDF">
            <w:pPr>
              <w:spacing w:before="40" w:after="40"/>
            </w:pPr>
            <w:r>
              <w:rPr>
                <w:b/>
              </w:rPr>
              <w:t>Article 15</w:t>
            </w:r>
          </w:p>
        </w:tc>
        <w:tc>
          <w:tcPr>
            <w:tcW w:w="3312" w:type="dxa"/>
            <w:shd w:val="clear" w:color="auto" w:fill="F8FAFC"/>
          </w:tcPr>
          <w:p w14:paraId="67348A06" w14:textId="77777777" w:rsidR="00B04021" w:rsidRDefault="00392EDF">
            <w:pPr>
              <w:spacing w:before="40" w:after="40"/>
            </w:pPr>
            <w:r>
              <w:t>Ensure accuracy, robustness, &amp; cybersecurity.</w:t>
            </w:r>
          </w:p>
        </w:tc>
        <w:tc>
          <w:tcPr>
            <w:tcW w:w="3312" w:type="dxa"/>
            <w:shd w:val="clear" w:color="auto" w:fill="F8FAFC"/>
          </w:tcPr>
          <w:p w14:paraId="659FE683" w14:textId="77777777" w:rsidR="00B04021" w:rsidRDefault="00392EDF">
            <w:pPr>
              <w:spacing w:before="40" w:after="40"/>
            </w:pPr>
            <w:r>
              <w:t>SAST scanning, PyMuPDF text sanitizer against prompt injection.</w:t>
            </w:r>
          </w:p>
        </w:tc>
      </w:tr>
      <w:tr w:rsidR="00B04021" w14:paraId="38B98E05" w14:textId="77777777" w:rsidTr="00392EDF">
        <w:trPr>
          <w:jc w:val="center"/>
        </w:trPr>
        <w:tc>
          <w:tcPr>
            <w:tcW w:w="3312" w:type="dxa"/>
            <w:shd w:val="clear" w:color="auto" w:fill="FFFFFF"/>
          </w:tcPr>
          <w:p w14:paraId="3D76853D" w14:textId="77777777" w:rsidR="00B04021" w:rsidRDefault="00392EDF">
            <w:pPr>
              <w:spacing w:before="40" w:after="40"/>
            </w:pPr>
            <w:r>
              <w:rPr>
                <w:b/>
              </w:rPr>
              <w:t>Article 72</w:t>
            </w:r>
          </w:p>
        </w:tc>
        <w:tc>
          <w:tcPr>
            <w:tcW w:w="3312" w:type="dxa"/>
            <w:shd w:val="clear" w:color="auto" w:fill="FFFFFF"/>
          </w:tcPr>
          <w:p w14:paraId="06E259DE" w14:textId="77777777" w:rsidR="00B04021" w:rsidRDefault="00392EDF">
            <w:pPr>
              <w:spacing w:before="40" w:after="40"/>
            </w:pPr>
            <w:r>
              <w:t xml:space="preserve">Establish </w:t>
            </w:r>
            <w:r>
              <w:t>Post-Market Monitoring system.</w:t>
            </w:r>
          </w:p>
        </w:tc>
        <w:tc>
          <w:tcPr>
            <w:tcW w:w="3312" w:type="dxa"/>
            <w:shd w:val="clear" w:color="auto" w:fill="FFFFFF"/>
          </w:tcPr>
          <w:p w14:paraId="349E51EC" w14:textId="77777777" w:rsidR="00B04021" w:rsidRDefault="00392EDF">
            <w:pPr>
              <w:spacing w:before="40" w:after="40"/>
            </w:pPr>
            <w:r>
              <w:t>Automated drift detection pipeline &amp; deployer incident feedback loops.</w:t>
            </w:r>
          </w:p>
        </w:tc>
      </w:tr>
    </w:tbl>
    <w:p w14:paraId="418A3400" w14:textId="77777777" w:rsidR="00B04021" w:rsidRDefault="00B04021">
      <w:pPr>
        <w:spacing w:after="120"/>
      </w:pPr>
    </w:p>
    <w:p w14:paraId="6DF9CA33" w14:textId="77777777" w:rsidR="00B04021" w:rsidRDefault="00392ED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22CEFD71" w14:textId="77777777" w:rsidR="00B04021" w:rsidRDefault="00392EDF">
      <w:pPr>
        <w:pStyle w:val="Heading2"/>
        <w:spacing w:after="80"/>
      </w:pPr>
      <w:r>
        <w:rPr>
          <w:color w:val="1E3A8A"/>
        </w:rPr>
        <w:t>3. Deployer Obligations (Enterprise Clients — Article 26)</w:t>
      </w:r>
    </w:p>
    <w:p w14:paraId="79DD95B7" w14:textId="77777777" w:rsidR="00B04021" w:rsidRDefault="00392EDF">
      <w:pPr>
        <w:spacing w:after="80"/>
      </w:pPr>
      <w:r>
        <w:t xml:space="preserve">Enterprise clients deploying TalentMatch AI v2.4 in live recruitment workflows are legally bound by </w:t>
      </w:r>
      <w:r>
        <w:rPr>
          <w:b/>
        </w:rPr>
        <w:t>Article 26</w:t>
      </w:r>
      <w:r>
        <w:t>:</w:t>
      </w:r>
    </w:p>
    <w:p w14:paraId="44C57A20" w14:textId="77777777" w:rsidR="00B04021" w:rsidRDefault="00392EDF">
      <w:pPr>
        <w:pStyle w:val="ListNumber"/>
        <w:spacing w:after="40"/>
      </w:pPr>
      <w:r>
        <w:rPr>
          <w:b/>
        </w:rPr>
        <w:t>Adherence to Instructions:</w:t>
      </w:r>
      <w:r>
        <w:t xml:space="preserve"> Deploy system strictly within the defined intended purpose (screening assistance only; zero automated rejection).</w:t>
      </w:r>
    </w:p>
    <w:p w14:paraId="66EB0626" w14:textId="77777777" w:rsidR="00B04021" w:rsidRDefault="00392EDF">
      <w:pPr>
        <w:pStyle w:val="ListNumber"/>
        <w:spacing w:after="40"/>
      </w:pPr>
      <w:r>
        <w:rPr>
          <w:b/>
        </w:rPr>
        <w:t>Qua</w:t>
      </w:r>
      <w:r>
        <w:rPr>
          <w:b/>
        </w:rPr>
        <w:t>lified Human Oversight:</w:t>
      </w:r>
      <w:r>
        <w:t xml:space="preserve"> Assign trained HR staff who understand automation bias and have explicit authority to override AI rankings.</w:t>
      </w:r>
    </w:p>
    <w:p w14:paraId="6157C88D" w14:textId="77777777" w:rsidR="00B04021" w:rsidRDefault="00392EDF">
      <w:pPr>
        <w:pStyle w:val="ListNumber"/>
        <w:spacing w:after="40"/>
      </w:pPr>
      <w:r>
        <w:rPr>
          <w:b/>
        </w:rPr>
        <w:t>Data Quality &amp; Input Monitoring:</w:t>
      </w:r>
      <w:r>
        <w:t xml:space="preserve"> Ensure input job requisitions and candidate pools do not contain discriminatory criteria.</w:t>
      </w:r>
    </w:p>
    <w:p w14:paraId="7FB5C6E0" w14:textId="77777777" w:rsidR="00B04021" w:rsidRDefault="00392EDF">
      <w:pPr>
        <w:pStyle w:val="ListNumber"/>
        <w:spacing w:after="40"/>
      </w:pPr>
      <w:r>
        <w:rPr>
          <w:b/>
        </w:rPr>
        <w:t>C</w:t>
      </w:r>
      <w:r>
        <w:rPr>
          <w:b/>
        </w:rPr>
        <w:t>andidate Notification:</w:t>
      </w:r>
      <w:r>
        <w:t xml:space="preserve"> Inform candidate applicants that an AI system is being used to evaluate their resume (GDPR Art 13 &amp; AI Act Art 50).</w:t>
      </w:r>
    </w:p>
    <w:p w14:paraId="7B9B70AA" w14:textId="77777777" w:rsidR="00B04021" w:rsidRDefault="00392EDF">
      <w:pPr>
        <w:pStyle w:val="ListNumber"/>
        <w:spacing w:after="40"/>
      </w:pPr>
      <w:r>
        <w:rPr>
          <w:b/>
        </w:rPr>
        <w:t>Fundamental Rights Impact Assessment (FRIA):</w:t>
      </w:r>
      <w:r>
        <w:t xml:space="preserve"> Complete Article 27 FRIA prior to initial live system activation.</w:t>
      </w:r>
    </w:p>
    <w:p w14:paraId="153E1C2D" w14:textId="77777777" w:rsidR="00B04021" w:rsidRDefault="00392EDF">
      <w:pPr>
        <w:spacing w:before="80" w:after="80"/>
      </w:pPr>
      <w:r>
        <w:rPr>
          <w:color w:val="CBD5E1"/>
        </w:rPr>
        <w:t>――――――</w:t>
      </w:r>
      <w:r>
        <w:rPr>
          <w:color w:val="CBD5E1"/>
        </w:rPr>
        <w:t>――――――――――――――――――――――――――――――――――</w:t>
      </w:r>
    </w:p>
    <w:p w14:paraId="0ACBABEA" w14:textId="77777777" w:rsidR="00B04021" w:rsidRDefault="00392EDF">
      <w:pPr>
        <w:pStyle w:val="Heading2"/>
        <w:spacing w:after="80"/>
      </w:pPr>
      <w:r>
        <w:rPr>
          <w:color w:val="1E3A8A"/>
        </w:rPr>
        <w:t>4. Article 25 Re-classification Warnings</w:t>
      </w:r>
    </w:p>
    <w:p w14:paraId="428EE103" w14:textId="77777777" w:rsidR="00B04021" w:rsidRDefault="00392EDF">
      <w:pPr>
        <w:spacing w:after="80"/>
      </w:pPr>
      <w:r>
        <w:t xml:space="preserve">Under </w:t>
      </w:r>
      <w:r>
        <w:rPr>
          <w:b/>
        </w:rPr>
        <w:t>Article 25</w:t>
      </w:r>
      <w:r>
        <w:t xml:space="preserve">, a Deployer or distributor automatically assumes full legal liability as a </w:t>
      </w:r>
      <w:r>
        <w:rPr>
          <w:b/>
        </w:rPr>
        <w:t>Provider</w:t>
      </w:r>
      <w:r>
        <w:t xml:space="preserve"> if they perform any of the following actions:</w:t>
      </w:r>
    </w:p>
    <w:p w14:paraId="7E5B01FC" w14:textId="77777777" w:rsidR="00B04021" w:rsidRDefault="00392EDF">
      <w:pPr>
        <w:spacing w:before="80" w:after="80"/>
        <w:ind w:left="432"/>
      </w:pPr>
      <w:r>
        <w:rPr>
          <w:i/>
          <w:color w:val="475569"/>
        </w:rPr>
        <w:t>[!WARNING]</w:t>
      </w:r>
    </w:p>
    <w:p w14:paraId="04680ED8" w14:textId="77777777" w:rsidR="00B04021" w:rsidRDefault="00392EDF">
      <w:pPr>
        <w:spacing w:before="80" w:after="80"/>
        <w:ind w:left="432"/>
      </w:pPr>
      <w:r>
        <w:rPr>
          <w:b/>
          <w:i/>
          <w:color w:val="475569"/>
        </w:rPr>
        <w:t>Article 25 Trigger War</w:t>
      </w:r>
      <w:r>
        <w:rPr>
          <w:b/>
          <w:i/>
          <w:color w:val="475569"/>
        </w:rPr>
        <w:t>nings for Enterprise Clients:</w:t>
      </w:r>
    </w:p>
    <w:p w14:paraId="270E3655" w14:textId="77777777" w:rsidR="00B04021" w:rsidRDefault="00392EDF">
      <w:pPr>
        <w:spacing w:before="80" w:after="80"/>
        <w:ind w:left="432"/>
      </w:pPr>
      <w:r>
        <w:rPr>
          <w:i/>
          <w:color w:val="475569"/>
        </w:rPr>
        <w:t>1. Modifying the TalentMatch AI XGBoost model weights or fine-tuning BERT on client-specific historical hiring data.</w:t>
      </w:r>
    </w:p>
    <w:p w14:paraId="674727C1" w14:textId="77777777" w:rsidR="00B04021" w:rsidRDefault="00392EDF">
      <w:pPr>
        <w:spacing w:before="80" w:after="80"/>
        <w:ind w:left="432"/>
      </w:pPr>
      <w:r>
        <w:rPr>
          <w:i/>
          <w:color w:val="475569"/>
        </w:rPr>
        <w:t>2. Changing the intended purpose of the system (e.g., using candidate screening scores for employee terminati</w:t>
      </w:r>
      <w:r>
        <w:rPr>
          <w:i/>
          <w:color w:val="475569"/>
        </w:rPr>
        <w:t>on or compensation decisions).</w:t>
      </w:r>
    </w:p>
    <w:p w14:paraId="2FCCFEE4" w14:textId="77777777" w:rsidR="00B04021" w:rsidRDefault="00392EDF">
      <w:pPr>
        <w:spacing w:before="80" w:after="80"/>
        <w:ind w:left="432"/>
      </w:pPr>
      <w:r>
        <w:rPr>
          <w:i/>
          <w:color w:val="475569"/>
        </w:rPr>
        <w:t>3. Placing their own trademark/brand name on the AI scoring output without explicit Provider agreement.</w:t>
      </w:r>
    </w:p>
    <w:p w14:paraId="665B3A41" w14:textId="77777777" w:rsidR="00B04021" w:rsidRDefault="00392EDF">
      <w:pPr>
        <w:spacing w:after="80"/>
      </w:pPr>
      <w:r>
        <w:t xml:space="preserve">TalentMatch AI B.V. enforces API contract restrictions preventing clients from fine-tuning production models to </w:t>
      </w:r>
      <w:r>
        <w:t>avoid accidental Article 25 re-classification.</w:t>
      </w:r>
    </w:p>
    <w:sectPr w:rsidR="00B0402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EDF"/>
    <w:rsid w:val="00AA1D8D"/>
    <w:rsid w:val="00B040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AD614"/>
  <w14:defaultImageDpi w14:val="300"/>
  <w15:docId w15:val="{B66837C7-7770-4E47-8115-A0A68E0C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2026-08-19T12:00:00Z</dcterms:modified>
  <cp:category/>
</cp:coreProperties>
</file>