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5612E" w14:textId="77777777" w:rsidR="005A7395" w:rsidRDefault="007825A4">
      <w:pPr>
        <w:pStyle w:val="Heading1"/>
        <w:spacing w:before="240" w:after="120"/>
      </w:pPr>
      <w:r>
        <w:rPr>
          <w:color w:val="0F172A"/>
        </w:rPr>
        <w:t>EU AI Act Compliance Control Matrix &amp; Traceability Index</w:t>
      </w:r>
    </w:p>
    <w:p w14:paraId="087DE886" w14:textId="77777777" w:rsidR="005A7395" w:rsidRDefault="007825A4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614E02BE" w14:textId="77777777" w:rsidR="005A7395" w:rsidRDefault="007825A4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08CC175B" w14:textId="77777777" w:rsidR="005A7395" w:rsidRDefault="007825A4">
      <w:pPr>
        <w:pStyle w:val="Heading2"/>
        <w:spacing w:after="80"/>
      </w:pPr>
      <w:r>
        <w:rPr>
          <w:color w:val="1E3A8A"/>
        </w:rPr>
        <w:t>1. Traceability Architecture</w:t>
      </w:r>
    </w:p>
    <w:p w14:paraId="18A8B9DB" w14:textId="77777777" w:rsidR="005A7395" w:rsidRDefault="007825A4">
      <w:pPr>
        <w:spacing w:after="80"/>
      </w:pPr>
      <w:r>
        <w:t xml:space="preserve">This matrix establishes complete end-to-end traceability from statutory obligations under </w:t>
      </w:r>
      <w:r>
        <w:rPr>
          <w:b/>
        </w:rPr>
        <w:t>Regulation (EU) 2024/1689 (EU AI Act)</w:t>
      </w:r>
      <w:r>
        <w:t xml:space="preserve"> to internal GRC controls, technical evidence artifacts, identified complian</w:t>
      </w:r>
      <w:r>
        <w:t>ce gaps, and remediation actions.</w:t>
      </w:r>
    </w:p>
    <w:p w14:paraId="1BEEB817" w14:textId="77777777" w:rsidR="005A7395" w:rsidRDefault="007825A4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3019004E" w14:textId="77777777" w:rsidR="005A7395" w:rsidRDefault="007825A4">
      <w:pPr>
        <w:pStyle w:val="Heading2"/>
        <w:spacing w:after="80"/>
      </w:pPr>
      <w:r>
        <w:rPr>
          <w:color w:val="1E3A8A"/>
        </w:rPr>
        <w:t>2. EU AI Act High-Risk Control Matrix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9"/>
        <w:gridCol w:w="1271"/>
        <w:gridCol w:w="1121"/>
        <w:gridCol w:w="2697"/>
        <w:gridCol w:w="1256"/>
        <w:gridCol w:w="1256"/>
        <w:gridCol w:w="824"/>
        <w:gridCol w:w="1058"/>
      </w:tblGrid>
      <w:tr w:rsidR="005A7395" w14:paraId="5545195E" w14:textId="77777777" w:rsidTr="007825A4">
        <w:trPr>
          <w:jc w:val="center"/>
        </w:trPr>
        <w:tc>
          <w:tcPr>
            <w:tcW w:w="1242" w:type="dxa"/>
            <w:shd w:val="clear" w:color="auto" w:fill="1E293B"/>
          </w:tcPr>
          <w:p w14:paraId="4A2D81C8" w14:textId="77777777" w:rsidR="005A7395" w:rsidRDefault="007825A4">
            <w:pPr>
              <w:spacing w:before="40" w:after="40"/>
            </w:pPr>
            <w:r>
              <w:rPr>
                <w:b/>
                <w:color w:val="FFFFFF"/>
              </w:rPr>
              <w:t>EU AI Act Article</w:t>
            </w:r>
          </w:p>
        </w:tc>
        <w:tc>
          <w:tcPr>
            <w:tcW w:w="1242" w:type="dxa"/>
            <w:shd w:val="clear" w:color="auto" w:fill="1E293B"/>
          </w:tcPr>
          <w:p w14:paraId="4ED8C081" w14:textId="77777777" w:rsidR="005A7395" w:rsidRDefault="007825A4">
            <w:pPr>
              <w:spacing w:before="40" w:after="40"/>
            </w:pPr>
            <w:r>
              <w:rPr>
                <w:b/>
                <w:color w:val="FFFFFF"/>
              </w:rPr>
              <w:t>Statutory Requirement Summary</w:t>
            </w:r>
          </w:p>
        </w:tc>
        <w:tc>
          <w:tcPr>
            <w:tcW w:w="1242" w:type="dxa"/>
            <w:shd w:val="clear" w:color="auto" w:fill="1E293B"/>
          </w:tcPr>
          <w:p w14:paraId="6C5DEF73" w14:textId="77777777" w:rsidR="005A7395" w:rsidRDefault="007825A4">
            <w:pPr>
              <w:spacing w:before="40" w:after="40"/>
            </w:pPr>
            <w:r>
              <w:rPr>
                <w:b/>
                <w:color w:val="FFFFFF"/>
              </w:rPr>
              <w:t>Internal Control ID &amp; Title</w:t>
            </w:r>
          </w:p>
        </w:tc>
        <w:tc>
          <w:tcPr>
            <w:tcW w:w="1242" w:type="dxa"/>
            <w:shd w:val="clear" w:color="auto" w:fill="1E293B"/>
          </w:tcPr>
          <w:p w14:paraId="6AB7FFC4" w14:textId="77777777" w:rsidR="005A7395" w:rsidRDefault="007825A4">
            <w:pPr>
              <w:spacing w:before="40" w:after="40"/>
            </w:pPr>
            <w:r>
              <w:rPr>
                <w:b/>
                <w:color w:val="FFFFFF"/>
              </w:rPr>
              <w:t>Primary Technical / GRC Evidence Artifact</w:t>
            </w:r>
          </w:p>
        </w:tc>
        <w:tc>
          <w:tcPr>
            <w:tcW w:w="1242" w:type="dxa"/>
            <w:shd w:val="clear" w:color="auto" w:fill="1E293B"/>
          </w:tcPr>
          <w:p w14:paraId="2FDBFF1C" w14:textId="77777777" w:rsidR="005A7395" w:rsidRDefault="007825A4">
            <w:pPr>
              <w:spacing w:before="40" w:after="40"/>
            </w:pPr>
            <w:r>
              <w:rPr>
                <w:b/>
                <w:color w:val="FFFFFF"/>
              </w:rPr>
              <w:t>Identified Compliance Gap</w:t>
            </w:r>
          </w:p>
        </w:tc>
        <w:tc>
          <w:tcPr>
            <w:tcW w:w="1242" w:type="dxa"/>
            <w:shd w:val="clear" w:color="auto" w:fill="1E293B"/>
          </w:tcPr>
          <w:p w14:paraId="25D6A725" w14:textId="77777777" w:rsidR="005A7395" w:rsidRDefault="007825A4">
            <w:pPr>
              <w:spacing w:before="40" w:after="40"/>
            </w:pPr>
            <w:r>
              <w:rPr>
                <w:b/>
                <w:color w:val="FFFFFF"/>
              </w:rPr>
              <w:t>Remediation Action Plan</w:t>
            </w:r>
          </w:p>
        </w:tc>
        <w:tc>
          <w:tcPr>
            <w:tcW w:w="1242" w:type="dxa"/>
            <w:shd w:val="clear" w:color="auto" w:fill="1E293B"/>
          </w:tcPr>
          <w:p w14:paraId="36D70557" w14:textId="77777777" w:rsidR="005A7395" w:rsidRDefault="007825A4">
            <w:pPr>
              <w:spacing w:before="40" w:after="40"/>
            </w:pPr>
            <w:r>
              <w:rPr>
                <w:b/>
                <w:color w:val="FFFFFF"/>
              </w:rPr>
              <w:t>Lead Owner</w:t>
            </w:r>
          </w:p>
        </w:tc>
        <w:tc>
          <w:tcPr>
            <w:tcW w:w="1242" w:type="dxa"/>
            <w:shd w:val="clear" w:color="auto" w:fill="1E293B"/>
          </w:tcPr>
          <w:p w14:paraId="71F4BEB5" w14:textId="77777777" w:rsidR="005A7395" w:rsidRDefault="007825A4">
            <w:pPr>
              <w:spacing w:before="40" w:after="40"/>
            </w:pPr>
            <w:r>
              <w:rPr>
                <w:b/>
                <w:color w:val="FFFFFF"/>
              </w:rPr>
              <w:t>Compliance Status</w:t>
            </w:r>
          </w:p>
        </w:tc>
      </w:tr>
      <w:tr w:rsidR="005A7395" w14:paraId="191D5B70" w14:textId="77777777" w:rsidTr="007825A4">
        <w:trPr>
          <w:jc w:val="center"/>
        </w:trPr>
        <w:tc>
          <w:tcPr>
            <w:tcW w:w="1242" w:type="dxa"/>
            <w:shd w:val="clear" w:color="auto" w:fill="F8FAFC"/>
          </w:tcPr>
          <w:p w14:paraId="56EB0F7A" w14:textId="77777777" w:rsidR="005A7395" w:rsidRDefault="007825A4">
            <w:pPr>
              <w:spacing w:before="40" w:after="40"/>
            </w:pPr>
            <w:r>
              <w:rPr>
                <w:b/>
              </w:rPr>
              <w:t>Article 9</w:t>
            </w:r>
          </w:p>
        </w:tc>
        <w:tc>
          <w:tcPr>
            <w:tcW w:w="1242" w:type="dxa"/>
            <w:shd w:val="clear" w:color="auto" w:fill="F8FAFC"/>
          </w:tcPr>
          <w:p w14:paraId="12BD9D7B" w14:textId="77777777" w:rsidR="005A7395" w:rsidRDefault="007825A4">
            <w:pPr>
              <w:spacing w:before="40" w:after="40"/>
            </w:pPr>
            <w:r>
              <w:t>Risk Management System</w:t>
            </w:r>
          </w:p>
        </w:tc>
        <w:tc>
          <w:tcPr>
            <w:tcW w:w="1242" w:type="dxa"/>
            <w:shd w:val="clear" w:color="auto" w:fill="F8FAFC"/>
          </w:tcPr>
          <w:p w14:paraId="0F4F2937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CTL-AI-01</w:t>
            </w:r>
            <w:r>
              <w:t>: Iterative AI Risk Assessment</w:t>
            </w:r>
          </w:p>
        </w:tc>
        <w:tc>
          <w:tcPr>
            <w:tcW w:w="1242" w:type="dxa"/>
            <w:shd w:val="clear" w:color="auto" w:fill="F8FAFC"/>
          </w:tcPr>
          <w:p w14:paraId="6AECD8ED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risk/ai-risk-register.md</w:t>
            </w:r>
            <w:r>
              <w:t xml:space="preserve"> &amp; </w:t>
            </w:r>
            <w:r>
              <w:rPr>
                <w:rFonts w:ascii="Consolas" w:hAnsi="Consolas"/>
                <w:color w:val="333333"/>
                <w:sz w:val="19"/>
              </w:rPr>
              <w:t>risk-treatment-plan.md</w:t>
            </w:r>
          </w:p>
        </w:tc>
        <w:tc>
          <w:tcPr>
            <w:tcW w:w="1242" w:type="dxa"/>
            <w:shd w:val="clear" w:color="auto" w:fill="F8FAFC"/>
          </w:tcPr>
          <w:p w14:paraId="1B4AF3E9" w14:textId="77777777" w:rsidR="005A7395" w:rsidRDefault="007825A4">
            <w:pPr>
              <w:spacing w:before="40" w:after="40"/>
            </w:pPr>
            <w:r>
              <w:t xml:space="preserve">Initial risk assessment lacked explicit prompt injection </w:t>
            </w:r>
            <w:r>
              <w:t>evaluation.</w:t>
            </w:r>
          </w:p>
        </w:tc>
        <w:tc>
          <w:tcPr>
            <w:tcW w:w="1242" w:type="dxa"/>
            <w:shd w:val="clear" w:color="auto" w:fill="F8FAFC"/>
          </w:tcPr>
          <w:p w14:paraId="257BF635" w14:textId="77777777" w:rsidR="005A7395" w:rsidRDefault="007825A4">
            <w:pPr>
              <w:spacing w:before="40" w:after="40"/>
            </w:pPr>
            <w:r>
              <w:t>Conducted adversarial security audit (AIR-003).</w:t>
            </w:r>
          </w:p>
        </w:tc>
        <w:tc>
          <w:tcPr>
            <w:tcW w:w="1242" w:type="dxa"/>
            <w:shd w:val="clear" w:color="auto" w:fill="F8FAFC"/>
          </w:tcPr>
          <w:p w14:paraId="1FA10A73" w14:textId="77777777" w:rsidR="005A7395" w:rsidRDefault="007825A4">
            <w:pPr>
              <w:spacing w:before="40" w:after="40"/>
            </w:pPr>
            <w:r>
              <w:t>AI GRC Lead</w:t>
            </w:r>
          </w:p>
        </w:tc>
        <w:tc>
          <w:tcPr>
            <w:tcW w:w="1242" w:type="dxa"/>
            <w:shd w:val="clear" w:color="auto" w:fill="F8FAFC"/>
          </w:tcPr>
          <w:p w14:paraId="001AA44A" w14:textId="77777777" w:rsidR="005A7395" w:rsidRDefault="007825A4">
            <w:pPr>
              <w:spacing w:before="40" w:after="40"/>
            </w:pPr>
            <w:r>
              <w:rPr>
                <w:b/>
              </w:rPr>
              <w:t>COMPLIANT</w:t>
            </w:r>
          </w:p>
        </w:tc>
      </w:tr>
      <w:tr w:rsidR="005A7395" w14:paraId="650B37C9" w14:textId="77777777" w:rsidTr="007825A4">
        <w:trPr>
          <w:jc w:val="center"/>
        </w:trPr>
        <w:tc>
          <w:tcPr>
            <w:tcW w:w="1242" w:type="dxa"/>
            <w:shd w:val="clear" w:color="auto" w:fill="FFFFFF"/>
          </w:tcPr>
          <w:p w14:paraId="1649A624" w14:textId="77777777" w:rsidR="005A7395" w:rsidRDefault="007825A4">
            <w:pPr>
              <w:spacing w:before="40" w:after="40"/>
            </w:pPr>
            <w:r>
              <w:rPr>
                <w:b/>
              </w:rPr>
              <w:t>Article 10</w:t>
            </w:r>
          </w:p>
        </w:tc>
        <w:tc>
          <w:tcPr>
            <w:tcW w:w="1242" w:type="dxa"/>
            <w:shd w:val="clear" w:color="auto" w:fill="FFFFFF"/>
          </w:tcPr>
          <w:p w14:paraId="22777BBE" w14:textId="77777777" w:rsidR="005A7395" w:rsidRDefault="007825A4">
            <w:pPr>
              <w:spacing w:before="40" w:after="40"/>
            </w:pPr>
            <w:r>
              <w:t>Data Governance &amp; Data Quality</w:t>
            </w:r>
          </w:p>
        </w:tc>
        <w:tc>
          <w:tcPr>
            <w:tcW w:w="1242" w:type="dxa"/>
            <w:shd w:val="clear" w:color="auto" w:fill="FFFFFF"/>
          </w:tcPr>
          <w:p w14:paraId="5CD2EAB1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CTL-AI-02</w:t>
            </w:r>
            <w:r>
              <w:t>: Proxy Feature Masking &amp; Quality Audits</w:t>
            </w:r>
          </w:p>
        </w:tc>
        <w:tc>
          <w:tcPr>
            <w:tcW w:w="1242" w:type="dxa"/>
            <w:shd w:val="clear" w:color="auto" w:fill="FFFFFF"/>
          </w:tcPr>
          <w:p w14:paraId="22825CF9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data-governance/data-governance.md</w:t>
            </w:r>
          </w:p>
        </w:tc>
        <w:tc>
          <w:tcPr>
            <w:tcW w:w="1242" w:type="dxa"/>
            <w:shd w:val="clear" w:color="auto" w:fill="FFFFFF"/>
          </w:tcPr>
          <w:p w14:paraId="7E3579AC" w14:textId="77777777" w:rsidR="005A7395" w:rsidRDefault="007825A4">
            <w:pPr>
              <w:spacing w:before="40" w:after="40"/>
            </w:pPr>
            <w:r>
              <w:t xml:space="preserve">Graduation year &amp; university name acted as </w:t>
            </w:r>
            <w:r>
              <w:t>age/prestige proxies.</w:t>
            </w:r>
          </w:p>
        </w:tc>
        <w:tc>
          <w:tcPr>
            <w:tcW w:w="1242" w:type="dxa"/>
            <w:shd w:val="clear" w:color="auto" w:fill="FFFFFF"/>
          </w:tcPr>
          <w:p w14:paraId="6489A4AF" w14:textId="77777777" w:rsidR="005A7395" w:rsidRDefault="007825A4">
            <w:pPr>
              <w:spacing w:before="40" w:after="40"/>
            </w:pPr>
            <w:r>
              <w:t>Implemented proxy masking &amp; Spacy NER stripping.</w:t>
            </w:r>
          </w:p>
        </w:tc>
        <w:tc>
          <w:tcPr>
            <w:tcW w:w="1242" w:type="dxa"/>
            <w:shd w:val="clear" w:color="auto" w:fill="FFFFFF"/>
          </w:tcPr>
          <w:p w14:paraId="0F7FA851" w14:textId="77777777" w:rsidR="005A7395" w:rsidRDefault="007825A4">
            <w:pPr>
              <w:spacing w:before="40" w:after="40"/>
            </w:pPr>
            <w:r>
              <w:t>Fairness Auditor</w:t>
            </w:r>
          </w:p>
        </w:tc>
        <w:tc>
          <w:tcPr>
            <w:tcW w:w="1242" w:type="dxa"/>
            <w:shd w:val="clear" w:color="auto" w:fill="FFFFFF"/>
          </w:tcPr>
          <w:p w14:paraId="2F68DDA1" w14:textId="77777777" w:rsidR="005A7395" w:rsidRDefault="007825A4">
            <w:pPr>
              <w:spacing w:before="40" w:after="40"/>
            </w:pPr>
            <w:r>
              <w:rPr>
                <w:b/>
              </w:rPr>
              <w:t>COMPLIANT</w:t>
            </w:r>
          </w:p>
        </w:tc>
      </w:tr>
      <w:tr w:rsidR="005A7395" w14:paraId="350FD3A2" w14:textId="77777777" w:rsidTr="007825A4">
        <w:trPr>
          <w:jc w:val="center"/>
        </w:trPr>
        <w:tc>
          <w:tcPr>
            <w:tcW w:w="1242" w:type="dxa"/>
            <w:shd w:val="clear" w:color="auto" w:fill="F8FAFC"/>
          </w:tcPr>
          <w:p w14:paraId="7A68131A" w14:textId="77777777" w:rsidR="005A7395" w:rsidRDefault="007825A4">
            <w:pPr>
              <w:spacing w:before="40" w:after="40"/>
            </w:pPr>
            <w:r>
              <w:rPr>
                <w:b/>
              </w:rPr>
              <w:t>Article 10</w:t>
            </w:r>
          </w:p>
        </w:tc>
        <w:tc>
          <w:tcPr>
            <w:tcW w:w="1242" w:type="dxa"/>
            <w:shd w:val="clear" w:color="auto" w:fill="F8FAFC"/>
          </w:tcPr>
          <w:p w14:paraId="05B1BAAB" w14:textId="77777777" w:rsidR="005A7395" w:rsidRDefault="007825A4">
            <w:pPr>
              <w:spacing w:before="40" w:after="40"/>
            </w:pPr>
            <w:r>
              <w:t>Bias Detection &amp; Correction</w:t>
            </w:r>
          </w:p>
        </w:tc>
        <w:tc>
          <w:tcPr>
            <w:tcW w:w="1242" w:type="dxa"/>
            <w:shd w:val="clear" w:color="auto" w:fill="F8FAFC"/>
          </w:tcPr>
          <w:p w14:paraId="0E52ED18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CTL-AI-03</w:t>
            </w:r>
            <w:r>
              <w:t>: Fairlearn Demographic Parity Calibration</w:t>
            </w:r>
          </w:p>
        </w:tc>
        <w:tc>
          <w:tcPr>
            <w:tcW w:w="1242" w:type="dxa"/>
            <w:shd w:val="clear" w:color="auto" w:fill="F8FAFC"/>
          </w:tcPr>
          <w:p w14:paraId="1E5E6353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testing/fairness-testing.md</w:t>
            </w:r>
          </w:p>
        </w:tc>
        <w:tc>
          <w:tcPr>
            <w:tcW w:w="1242" w:type="dxa"/>
            <w:shd w:val="clear" w:color="auto" w:fill="F8FAFC"/>
          </w:tcPr>
          <w:p w14:paraId="26152412" w14:textId="77777777" w:rsidR="005A7395" w:rsidRDefault="007825A4">
            <w:pPr>
              <w:spacing w:before="40" w:after="40"/>
            </w:pPr>
            <w:r>
              <w:t xml:space="preserve">Pre-mitigation DIR for age 45+ was </w:t>
            </w:r>
            <w:r>
              <w:t>0.679 (failed 0.80 floor).</w:t>
            </w:r>
          </w:p>
        </w:tc>
        <w:tc>
          <w:tcPr>
            <w:tcW w:w="1242" w:type="dxa"/>
            <w:shd w:val="clear" w:color="auto" w:fill="F8FAFC"/>
          </w:tcPr>
          <w:p w14:paraId="141593DE" w14:textId="77777777" w:rsidR="005A7395" w:rsidRDefault="007825A4">
            <w:pPr>
              <w:spacing w:before="40" w:after="40"/>
            </w:pPr>
            <w:r>
              <w:t>Applied Fairlearn re-weighting; post DIR improved to 0.823.</w:t>
            </w:r>
          </w:p>
        </w:tc>
        <w:tc>
          <w:tcPr>
            <w:tcW w:w="1242" w:type="dxa"/>
            <w:shd w:val="clear" w:color="auto" w:fill="F8FAFC"/>
          </w:tcPr>
          <w:p w14:paraId="1AD67083" w14:textId="77777777" w:rsidR="005A7395" w:rsidRDefault="007825A4">
            <w:pPr>
              <w:spacing w:before="40" w:after="40"/>
            </w:pPr>
            <w:r>
              <w:t>Fairness Auditor</w:t>
            </w:r>
          </w:p>
        </w:tc>
        <w:tc>
          <w:tcPr>
            <w:tcW w:w="1242" w:type="dxa"/>
            <w:shd w:val="clear" w:color="auto" w:fill="F8FAFC"/>
          </w:tcPr>
          <w:p w14:paraId="2FA7024B" w14:textId="77777777" w:rsidR="005A7395" w:rsidRDefault="007825A4">
            <w:pPr>
              <w:spacing w:before="40" w:after="40"/>
            </w:pPr>
            <w:r>
              <w:rPr>
                <w:b/>
              </w:rPr>
              <w:t>COMPLIANT</w:t>
            </w:r>
            <w:r>
              <w:t xml:space="preserve"> (Gate 1)</w:t>
            </w:r>
          </w:p>
        </w:tc>
      </w:tr>
      <w:tr w:rsidR="005A7395" w14:paraId="5EE60E79" w14:textId="77777777" w:rsidTr="007825A4">
        <w:trPr>
          <w:jc w:val="center"/>
        </w:trPr>
        <w:tc>
          <w:tcPr>
            <w:tcW w:w="1242" w:type="dxa"/>
            <w:shd w:val="clear" w:color="auto" w:fill="FFFFFF"/>
          </w:tcPr>
          <w:p w14:paraId="3B36C644" w14:textId="77777777" w:rsidR="005A7395" w:rsidRDefault="007825A4">
            <w:pPr>
              <w:spacing w:before="40" w:after="40"/>
            </w:pPr>
            <w:r>
              <w:rPr>
                <w:b/>
              </w:rPr>
              <w:t>Article 11</w:t>
            </w:r>
          </w:p>
        </w:tc>
        <w:tc>
          <w:tcPr>
            <w:tcW w:w="1242" w:type="dxa"/>
            <w:shd w:val="clear" w:color="auto" w:fill="FFFFFF"/>
          </w:tcPr>
          <w:p w14:paraId="3F61056E" w14:textId="77777777" w:rsidR="005A7395" w:rsidRDefault="007825A4">
            <w:pPr>
              <w:spacing w:before="40" w:after="40"/>
            </w:pPr>
            <w:r>
              <w:t xml:space="preserve">Technical Documentation (Annex </w:t>
            </w:r>
            <w:r>
              <w:lastRenderedPageBreak/>
              <w:t>IV)</w:t>
            </w:r>
          </w:p>
        </w:tc>
        <w:tc>
          <w:tcPr>
            <w:tcW w:w="1242" w:type="dxa"/>
            <w:shd w:val="clear" w:color="auto" w:fill="FFFFFF"/>
          </w:tcPr>
          <w:p w14:paraId="081A27ED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lastRenderedPageBreak/>
              <w:t>CTL-AI-04</w:t>
            </w:r>
            <w:r>
              <w:t xml:space="preserve">: Annex IV </w:t>
            </w:r>
            <w:r>
              <w:lastRenderedPageBreak/>
              <w:t>Governance Binder &amp; Model Card</w:t>
            </w:r>
          </w:p>
        </w:tc>
        <w:tc>
          <w:tcPr>
            <w:tcW w:w="1242" w:type="dxa"/>
            <w:shd w:val="clear" w:color="auto" w:fill="FFFFFF"/>
          </w:tcPr>
          <w:p w14:paraId="6E7A7634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lastRenderedPageBreak/>
              <w:t>model-governance/model-governance.md</w:t>
            </w:r>
          </w:p>
        </w:tc>
        <w:tc>
          <w:tcPr>
            <w:tcW w:w="1242" w:type="dxa"/>
            <w:shd w:val="clear" w:color="auto" w:fill="FFFFFF"/>
          </w:tcPr>
          <w:p w14:paraId="6B159130" w14:textId="77777777" w:rsidR="005A7395" w:rsidRDefault="007825A4">
            <w:pPr>
              <w:spacing w:before="40" w:after="40"/>
            </w:pPr>
            <w:r>
              <w:t xml:space="preserve">Technical documentation was </w:t>
            </w:r>
            <w:r>
              <w:lastRenderedPageBreak/>
              <w:t>scattered across separate Git repos.</w:t>
            </w:r>
          </w:p>
        </w:tc>
        <w:tc>
          <w:tcPr>
            <w:tcW w:w="1242" w:type="dxa"/>
            <w:shd w:val="clear" w:color="auto" w:fill="FFFFFF"/>
          </w:tcPr>
          <w:p w14:paraId="356FD8A6" w14:textId="77777777" w:rsidR="005A7395" w:rsidRDefault="007825A4">
            <w:pPr>
              <w:spacing w:before="40" w:after="40"/>
            </w:pPr>
            <w:r>
              <w:lastRenderedPageBreak/>
              <w:t>Consolidated Annex IV documenta</w:t>
            </w:r>
            <w:r>
              <w:lastRenderedPageBreak/>
              <w:t>tion binder in QMS.</w:t>
            </w:r>
          </w:p>
        </w:tc>
        <w:tc>
          <w:tcPr>
            <w:tcW w:w="1242" w:type="dxa"/>
            <w:shd w:val="clear" w:color="auto" w:fill="FFFFFF"/>
          </w:tcPr>
          <w:p w14:paraId="1ED715AC" w14:textId="77777777" w:rsidR="005A7395" w:rsidRDefault="007825A4">
            <w:pPr>
              <w:spacing w:before="40" w:after="40"/>
            </w:pPr>
            <w:r>
              <w:lastRenderedPageBreak/>
              <w:t>MLOps Lead</w:t>
            </w:r>
          </w:p>
        </w:tc>
        <w:tc>
          <w:tcPr>
            <w:tcW w:w="1242" w:type="dxa"/>
            <w:shd w:val="clear" w:color="auto" w:fill="FFFFFF"/>
          </w:tcPr>
          <w:p w14:paraId="3C673842" w14:textId="77777777" w:rsidR="005A7395" w:rsidRDefault="007825A4">
            <w:pPr>
              <w:spacing w:before="40" w:after="40"/>
            </w:pPr>
            <w:r>
              <w:rPr>
                <w:b/>
              </w:rPr>
              <w:t>COMPLIANT</w:t>
            </w:r>
            <w:r>
              <w:t xml:space="preserve"> (Gate </w:t>
            </w:r>
            <w:r>
              <w:lastRenderedPageBreak/>
              <w:t>4)</w:t>
            </w:r>
          </w:p>
        </w:tc>
      </w:tr>
      <w:tr w:rsidR="005A7395" w14:paraId="43A2A481" w14:textId="77777777" w:rsidTr="007825A4">
        <w:trPr>
          <w:jc w:val="center"/>
        </w:trPr>
        <w:tc>
          <w:tcPr>
            <w:tcW w:w="1242" w:type="dxa"/>
            <w:shd w:val="clear" w:color="auto" w:fill="F8FAFC"/>
          </w:tcPr>
          <w:p w14:paraId="3AC61146" w14:textId="77777777" w:rsidR="005A7395" w:rsidRDefault="007825A4">
            <w:pPr>
              <w:spacing w:before="40" w:after="40"/>
            </w:pPr>
            <w:r>
              <w:rPr>
                <w:b/>
              </w:rPr>
              <w:lastRenderedPageBreak/>
              <w:t>Article 12</w:t>
            </w:r>
          </w:p>
        </w:tc>
        <w:tc>
          <w:tcPr>
            <w:tcW w:w="1242" w:type="dxa"/>
            <w:shd w:val="clear" w:color="auto" w:fill="F8FAFC"/>
          </w:tcPr>
          <w:p w14:paraId="5B9171AF" w14:textId="77777777" w:rsidR="005A7395" w:rsidRDefault="007825A4">
            <w:pPr>
              <w:spacing w:before="40" w:after="40"/>
            </w:pPr>
            <w:r>
              <w:t>Automatic Operational Logging</w:t>
            </w:r>
          </w:p>
        </w:tc>
        <w:tc>
          <w:tcPr>
            <w:tcW w:w="1242" w:type="dxa"/>
            <w:shd w:val="clear" w:color="auto" w:fill="F8FAFC"/>
          </w:tcPr>
          <w:p w14:paraId="75C33CCF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CTL-AI-05</w:t>
            </w:r>
            <w:r>
              <w:t xml:space="preserve">: CloudWatch &amp; </w:t>
            </w:r>
            <w:r>
              <w:t>WORM Event Logging</w:t>
            </w:r>
          </w:p>
        </w:tc>
        <w:tc>
          <w:tcPr>
            <w:tcW w:w="1242" w:type="dxa"/>
            <w:shd w:val="clear" w:color="auto" w:fill="F8FAFC"/>
          </w:tcPr>
          <w:p w14:paraId="5E00C32A" w14:textId="77777777" w:rsidR="005A7395" w:rsidRDefault="007825A4">
            <w:pPr>
              <w:spacing w:before="40" w:after="40"/>
            </w:pPr>
            <w:r>
              <w:t xml:space="preserve">CloudWatch Log Group </w:t>
            </w:r>
            <w:r>
              <w:rPr>
                <w:rFonts w:ascii="Consolas" w:hAnsi="Consolas"/>
                <w:color w:val="333333"/>
                <w:sz w:val="19"/>
              </w:rPr>
              <w:t>aws/eks/talentmatch-audit</w:t>
            </w:r>
          </w:p>
        </w:tc>
        <w:tc>
          <w:tcPr>
            <w:tcW w:w="1242" w:type="dxa"/>
            <w:shd w:val="clear" w:color="auto" w:fill="F8FAFC"/>
          </w:tcPr>
          <w:p w14:paraId="5E4C06BC" w14:textId="77777777" w:rsidR="005A7395" w:rsidRDefault="007825A4">
            <w:pPr>
              <w:spacing w:before="40" w:after="40"/>
            </w:pPr>
            <w:r>
              <w:t>Log retention was set to 90 days instead of statutory minimum.</w:t>
            </w:r>
          </w:p>
        </w:tc>
        <w:tc>
          <w:tcPr>
            <w:tcW w:w="1242" w:type="dxa"/>
            <w:shd w:val="clear" w:color="auto" w:fill="F8FAFC"/>
          </w:tcPr>
          <w:p w14:paraId="25AB4A64" w14:textId="77777777" w:rsidR="005A7395" w:rsidRDefault="007825A4">
            <w:pPr>
              <w:spacing w:before="40" w:after="40"/>
            </w:pPr>
            <w:r>
              <w:t>Extended log retention to 12 months in immutable S3.</w:t>
            </w:r>
          </w:p>
        </w:tc>
        <w:tc>
          <w:tcPr>
            <w:tcW w:w="1242" w:type="dxa"/>
            <w:shd w:val="clear" w:color="auto" w:fill="F8FAFC"/>
          </w:tcPr>
          <w:p w14:paraId="3751ADFA" w14:textId="77777777" w:rsidR="005A7395" w:rsidRDefault="007825A4">
            <w:pPr>
              <w:spacing w:before="40" w:after="40"/>
            </w:pPr>
            <w:r>
              <w:t>MLOps Lead</w:t>
            </w:r>
          </w:p>
        </w:tc>
        <w:tc>
          <w:tcPr>
            <w:tcW w:w="1242" w:type="dxa"/>
            <w:shd w:val="clear" w:color="auto" w:fill="F8FAFC"/>
          </w:tcPr>
          <w:p w14:paraId="538C2CE1" w14:textId="77777777" w:rsidR="005A7395" w:rsidRDefault="007825A4">
            <w:pPr>
              <w:spacing w:before="40" w:after="40"/>
            </w:pPr>
            <w:r>
              <w:rPr>
                <w:b/>
              </w:rPr>
              <w:t>COMPLIANT</w:t>
            </w:r>
          </w:p>
        </w:tc>
      </w:tr>
      <w:tr w:rsidR="005A7395" w14:paraId="4DA97F28" w14:textId="77777777" w:rsidTr="007825A4">
        <w:trPr>
          <w:jc w:val="center"/>
        </w:trPr>
        <w:tc>
          <w:tcPr>
            <w:tcW w:w="1242" w:type="dxa"/>
            <w:shd w:val="clear" w:color="auto" w:fill="FFFFFF"/>
          </w:tcPr>
          <w:p w14:paraId="518DD0DD" w14:textId="77777777" w:rsidR="005A7395" w:rsidRDefault="007825A4">
            <w:pPr>
              <w:spacing w:before="40" w:after="40"/>
            </w:pPr>
            <w:r>
              <w:rPr>
                <w:b/>
              </w:rPr>
              <w:t>Article 13</w:t>
            </w:r>
          </w:p>
        </w:tc>
        <w:tc>
          <w:tcPr>
            <w:tcW w:w="1242" w:type="dxa"/>
            <w:shd w:val="clear" w:color="auto" w:fill="FFFFFF"/>
          </w:tcPr>
          <w:p w14:paraId="48928C9F" w14:textId="77777777" w:rsidR="005A7395" w:rsidRDefault="007825A4">
            <w:pPr>
              <w:spacing w:before="40" w:after="40"/>
            </w:pPr>
            <w:r>
              <w:t>Transparency &amp; Instructions for Use</w:t>
            </w:r>
          </w:p>
        </w:tc>
        <w:tc>
          <w:tcPr>
            <w:tcW w:w="1242" w:type="dxa"/>
            <w:shd w:val="clear" w:color="auto" w:fill="FFFFFF"/>
          </w:tcPr>
          <w:p w14:paraId="39297D8A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CTL-AI-06</w:t>
            </w:r>
            <w:r>
              <w:t>: Deployer Governance Manual &amp; SHAP UI</w:t>
            </w:r>
          </w:p>
        </w:tc>
        <w:tc>
          <w:tcPr>
            <w:tcW w:w="1242" w:type="dxa"/>
            <w:shd w:val="clear" w:color="auto" w:fill="FFFFFF"/>
          </w:tcPr>
          <w:p w14:paraId="07C1DF71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ai-system/intended-purpose.md</w:t>
            </w:r>
            <w:r>
              <w:t xml:space="preserve"> &amp; SHAP Recruiter UI</w:t>
            </w:r>
          </w:p>
        </w:tc>
        <w:tc>
          <w:tcPr>
            <w:tcW w:w="1242" w:type="dxa"/>
            <w:shd w:val="clear" w:color="auto" w:fill="FFFFFF"/>
          </w:tcPr>
          <w:p w14:paraId="33A5B064" w14:textId="77777777" w:rsidR="005A7395" w:rsidRDefault="007825A4">
            <w:pPr>
              <w:spacing w:before="40" w:after="40"/>
            </w:pPr>
            <w:r>
              <w:t>Recruiter UI lacked visual feature impact breakdown.</w:t>
            </w:r>
          </w:p>
        </w:tc>
        <w:tc>
          <w:tcPr>
            <w:tcW w:w="1242" w:type="dxa"/>
            <w:shd w:val="clear" w:color="auto" w:fill="FFFFFF"/>
          </w:tcPr>
          <w:p w14:paraId="766CCAF6" w14:textId="77777777" w:rsidR="005A7395" w:rsidRDefault="007825A4">
            <w:pPr>
              <w:spacing w:before="40" w:after="40"/>
            </w:pPr>
            <w:r>
              <w:t>Integrated SHAP feature importance visualizer in console.</w:t>
            </w:r>
          </w:p>
        </w:tc>
        <w:tc>
          <w:tcPr>
            <w:tcW w:w="1242" w:type="dxa"/>
            <w:shd w:val="clear" w:color="auto" w:fill="FFFFFF"/>
          </w:tcPr>
          <w:p w14:paraId="46B32904" w14:textId="77777777" w:rsidR="005A7395" w:rsidRDefault="007825A4">
            <w:pPr>
              <w:spacing w:before="40" w:after="40"/>
            </w:pPr>
            <w:r>
              <w:t>Product Manager</w:t>
            </w:r>
          </w:p>
        </w:tc>
        <w:tc>
          <w:tcPr>
            <w:tcW w:w="1242" w:type="dxa"/>
            <w:shd w:val="clear" w:color="auto" w:fill="FFFFFF"/>
          </w:tcPr>
          <w:p w14:paraId="62395CC9" w14:textId="77777777" w:rsidR="005A7395" w:rsidRDefault="007825A4">
            <w:pPr>
              <w:spacing w:before="40" w:after="40"/>
            </w:pPr>
            <w:r>
              <w:rPr>
                <w:b/>
              </w:rPr>
              <w:t>COMPLIANT</w:t>
            </w:r>
          </w:p>
        </w:tc>
      </w:tr>
      <w:tr w:rsidR="005A7395" w14:paraId="51D4DF2B" w14:textId="77777777" w:rsidTr="007825A4">
        <w:trPr>
          <w:jc w:val="center"/>
        </w:trPr>
        <w:tc>
          <w:tcPr>
            <w:tcW w:w="1242" w:type="dxa"/>
            <w:shd w:val="clear" w:color="auto" w:fill="F8FAFC"/>
          </w:tcPr>
          <w:p w14:paraId="7A801032" w14:textId="77777777" w:rsidR="005A7395" w:rsidRDefault="007825A4">
            <w:pPr>
              <w:spacing w:before="40" w:after="40"/>
            </w:pPr>
            <w:r>
              <w:rPr>
                <w:b/>
              </w:rPr>
              <w:t>Article 14</w:t>
            </w:r>
          </w:p>
        </w:tc>
        <w:tc>
          <w:tcPr>
            <w:tcW w:w="1242" w:type="dxa"/>
            <w:shd w:val="clear" w:color="auto" w:fill="F8FAFC"/>
          </w:tcPr>
          <w:p w14:paraId="1DFA593C" w14:textId="77777777" w:rsidR="005A7395" w:rsidRDefault="007825A4">
            <w:pPr>
              <w:spacing w:before="40" w:after="40"/>
            </w:pPr>
            <w:r>
              <w:t>Human Oversight Mechanisms</w:t>
            </w:r>
          </w:p>
        </w:tc>
        <w:tc>
          <w:tcPr>
            <w:tcW w:w="1242" w:type="dxa"/>
            <w:shd w:val="clear" w:color="auto" w:fill="F8FAFC"/>
          </w:tcPr>
          <w:p w14:paraId="283E0B12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CTL-AI-07</w:t>
            </w:r>
            <w:r>
              <w:t>: Anti-Automation UI Lock &amp; Blind Scoring</w:t>
            </w:r>
          </w:p>
        </w:tc>
        <w:tc>
          <w:tcPr>
            <w:tcW w:w="1242" w:type="dxa"/>
            <w:shd w:val="clear" w:color="auto" w:fill="F8FAFC"/>
          </w:tcPr>
          <w:p w14:paraId="6F3B74D2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human-oversight/human-oversight.md</w:t>
            </w:r>
          </w:p>
        </w:tc>
        <w:tc>
          <w:tcPr>
            <w:tcW w:w="1242" w:type="dxa"/>
            <w:shd w:val="clear" w:color="auto" w:fill="F8FAFC"/>
          </w:tcPr>
          <w:p w14:paraId="56FDA0D6" w14:textId="77777777" w:rsidR="005A7395" w:rsidRDefault="007825A4">
            <w:pPr>
              <w:spacing w:before="40" w:after="40"/>
            </w:pPr>
            <w:r>
              <w:t>Recruiters spent 45s per CV (automation rubber-stamping).</w:t>
            </w:r>
          </w:p>
        </w:tc>
        <w:tc>
          <w:tcPr>
            <w:tcW w:w="1242" w:type="dxa"/>
            <w:shd w:val="clear" w:color="auto" w:fill="F8FAFC"/>
          </w:tcPr>
          <w:p w14:paraId="5B101805" w14:textId="77777777" w:rsidR="005A7395" w:rsidRDefault="007825A4">
            <w:pPr>
              <w:spacing w:before="40" w:after="40"/>
            </w:pPr>
            <w:r>
              <w:t>Deployed 2-min UI review lock &amp; blind skill evaluation.</w:t>
            </w:r>
          </w:p>
        </w:tc>
        <w:tc>
          <w:tcPr>
            <w:tcW w:w="1242" w:type="dxa"/>
            <w:shd w:val="clear" w:color="auto" w:fill="F8FAFC"/>
          </w:tcPr>
          <w:p w14:paraId="13764F56" w14:textId="77777777" w:rsidR="005A7395" w:rsidRDefault="007825A4">
            <w:pPr>
              <w:spacing w:before="40" w:after="40"/>
            </w:pPr>
            <w:r>
              <w:t>AI GRC Lead</w:t>
            </w:r>
          </w:p>
        </w:tc>
        <w:tc>
          <w:tcPr>
            <w:tcW w:w="1242" w:type="dxa"/>
            <w:shd w:val="clear" w:color="auto" w:fill="F8FAFC"/>
          </w:tcPr>
          <w:p w14:paraId="3CCE4FB6" w14:textId="77777777" w:rsidR="005A7395" w:rsidRDefault="007825A4">
            <w:pPr>
              <w:spacing w:before="40" w:after="40"/>
            </w:pPr>
            <w:r>
              <w:rPr>
                <w:b/>
              </w:rPr>
              <w:t>COMPLIANT</w:t>
            </w:r>
            <w:r>
              <w:t xml:space="preserve"> (Gate 2</w:t>
            </w:r>
            <w:r>
              <w:t>)</w:t>
            </w:r>
          </w:p>
        </w:tc>
      </w:tr>
      <w:tr w:rsidR="005A7395" w14:paraId="2A84FFCC" w14:textId="77777777" w:rsidTr="007825A4">
        <w:trPr>
          <w:jc w:val="center"/>
        </w:trPr>
        <w:tc>
          <w:tcPr>
            <w:tcW w:w="1242" w:type="dxa"/>
            <w:shd w:val="clear" w:color="auto" w:fill="FFFFFF"/>
          </w:tcPr>
          <w:p w14:paraId="6E825D98" w14:textId="77777777" w:rsidR="005A7395" w:rsidRDefault="007825A4">
            <w:pPr>
              <w:spacing w:before="40" w:after="40"/>
            </w:pPr>
            <w:r>
              <w:rPr>
                <w:b/>
              </w:rPr>
              <w:t>Article 15</w:t>
            </w:r>
          </w:p>
        </w:tc>
        <w:tc>
          <w:tcPr>
            <w:tcW w:w="1242" w:type="dxa"/>
            <w:shd w:val="clear" w:color="auto" w:fill="FFFFFF"/>
          </w:tcPr>
          <w:p w14:paraId="1A4D7C6B" w14:textId="77777777" w:rsidR="005A7395" w:rsidRDefault="007825A4">
            <w:pPr>
              <w:spacing w:before="40" w:after="40"/>
            </w:pPr>
            <w:r>
              <w:t>Accuracy &amp; Robustness</w:t>
            </w:r>
          </w:p>
        </w:tc>
        <w:tc>
          <w:tcPr>
            <w:tcW w:w="1242" w:type="dxa"/>
            <w:shd w:val="clear" w:color="auto" w:fill="FFFFFF"/>
          </w:tcPr>
          <w:p w14:paraId="29AAD370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CTL-AI-08</w:t>
            </w:r>
            <w:r>
              <w:t>: Empirical Model Validation</w:t>
            </w:r>
          </w:p>
        </w:tc>
        <w:tc>
          <w:tcPr>
            <w:tcW w:w="1242" w:type="dxa"/>
            <w:shd w:val="clear" w:color="auto" w:fill="FFFFFF"/>
          </w:tcPr>
          <w:p w14:paraId="197E3CDE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testing/performance-testing.md</w:t>
            </w:r>
          </w:p>
        </w:tc>
        <w:tc>
          <w:tcPr>
            <w:tcW w:w="1242" w:type="dxa"/>
            <w:shd w:val="clear" w:color="auto" w:fill="FFFFFF"/>
          </w:tcPr>
          <w:p w14:paraId="1AF1C793" w14:textId="77777777" w:rsidR="005A7395" w:rsidRDefault="007825A4">
            <w:pPr>
              <w:spacing w:before="40" w:after="40"/>
            </w:pPr>
            <w:r>
              <w:t>Accuracy dropped 1.5% during bias calibration.</w:t>
            </w:r>
          </w:p>
        </w:tc>
        <w:tc>
          <w:tcPr>
            <w:tcW w:w="1242" w:type="dxa"/>
            <w:shd w:val="clear" w:color="auto" w:fill="FFFFFF"/>
          </w:tcPr>
          <w:p w14:paraId="48820B59" w14:textId="77777777" w:rsidR="005A7395" w:rsidRDefault="007825A4">
            <w:pPr>
              <w:spacing w:before="40" w:after="40"/>
            </w:pPr>
            <w:r>
              <w:t>Formally accepted trade-off ($0.765$ acc for $0.823+$ DIR).</w:t>
            </w:r>
          </w:p>
        </w:tc>
        <w:tc>
          <w:tcPr>
            <w:tcW w:w="1242" w:type="dxa"/>
            <w:shd w:val="clear" w:color="auto" w:fill="FFFFFF"/>
          </w:tcPr>
          <w:p w14:paraId="3FFA30F8" w14:textId="77777777" w:rsidR="005A7395" w:rsidRDefault="007825A4">
            <w:pPr>
              <w:spacing w:before="40" w:after="40"/>
            </w:pPr>
            <w:r>
              <w:t>Head of AI Eng</w:t>
            </w:r>
          </w:p>
        </w:tc>
        <w:tc>
          <w:tcPr>
            <w:tcW w:w="1242" w:type="dxa"/>
            <w:shd w:val="clear" w:color="auto" w:fill="FFFFFF"/>
          </w:tcPr>
          <w:p w14:paraId="7C35798D" w14:textId="77777777" w:rsidR="005A7395" w:rsidRDefault="007825A4">
            <w:pPr>
              <w:spacing w:before="40" w:after="40"/>
            </w:pPr>
            <w:r>
              <w:rPr>
                <w:b/>
              </w:rPr>
              <w:t>COMPLIANT</w:t>
            </w:r>
          </w:p>
        </w:tc>
      </w:tr>
      <w:tr w:rsidR="005A7395" w14:paraId="5112DD53" w14:textId="77777777" w:rsidTr="007825A4">
        <w:trPr>
          <w:jc w:val="center"/>
        </w:trPr>
        <w:tc>
          <w:tcPr>
            <w:tcW w:w="1242" w:type="dxa"/>
            <w:shd w:val="clear" w:color="auto" w:fill="F8FAFC"/>
          </w:tcPr>
          <w:p w14:paraId="4B560C67" w14:textId="77777777" w:rsidR="005A7395" w:rsidRDefault="007825A4">
            <w:pPr>
              <w:spacing w:before="40" w:after="40"/>
            </w:pPr>
            <w:r>
              <w:rPr>
                <w:b/>
              </w:rPr>
              <w:t>Article 15</w:t>
            </w:r>
          </w:p>
        </w:tc>
        <w:tc>
          <w:tcPr>
            <w:tcW w:w="1242" w:type="dxa"/>
            <w:shd w:val="clear" w:color="auto" w:fill="F8FAFC"/>
          </w:tcPr>
          <w:p w14:paraId="3F269659" w14:textId="77777777" w:rsidR="005A7395" w:rsidRDefault="007825A4">
            <w:pPr>
              <w:spacing w:before="40" w:after="40"/>
            </w:pPr>
            <w:r>
              <w:t>Cybersecurity Resilience</w:t>
            </w:r>
          </w:p>
        </w:tc>
        <w:tc>
          <w:tcPr>
            <w:tcW w:w="1242" w:type="dxa"/>
            <w:shd w:val="clear" w:color="auto" w:fill="F8FAFC"/>
          </w:tcPr>
          <w:p w14:paraId="4662A062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CTL-AI-09</w:t>
            </w:r>
            <w:r>
              <w:t>: CV Text Sanitizer &amp; Prompt Strip</w:t>
            </w:r>
          </w:p>
        </w:tc>
        <w:tc>
          <w:tcPr>
            <w:tcW w:w="1242" w:type="dxa"/>
            <w:shd w:val="clear" w:color="auto" w:fill="F8FAFC"/>
          </w:tcPr>
          <w:p w14:paraId="50AFB774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cybersecurity/cybersecurity.md</w:t>
            </w:r>
          </w:p>
        </w:tc>
        <w:tc>
          <w:tcPr>
            <w:tcW w:w="1242" w:type="dxa"/>
            <w:shd w:val="clear" w:color="auto" w:fill="F8FAFC"/>
          </w:tcPr>
          <w:p w14:paraId="001DAD8B" w14:textId="77777777" w:rsidR="005A7395" w:rsidRDefault="007825A4">
            <w:pPr>
              <w:spacing w:before="40" w:after="40"/>
            </w:pPr>
            <w:r>
              <w:t>Vulnerable to white-font prompt injection in PDF resumes.</w:t>
            </w:r>
          </w:p>
        </w:tc>
        <w:tc>
          <w:tcPr>
            <w:tcW w:w="1242" w:type="dxa"/>
            <w:shd w:val="clear" w:color="auto" w:fill="F8FAFC"/>
          </w:tcPr>
          <w:p w14:paraId="0D975D27" w14:textId="77777777" w:rsidR="005A7395" w:rsidRDefault="007825A4">
            <w:pPr>
              <w:spacing w:before="40" w:after="40"/>
            </w:pPr>
            <w:r>
              <w:t>Deployed PyMuPDF text sanitizer pre-parser.</w:t>
            </w:r>
          </w:p>
        </w:tc>
        <w:tc>
          <w:tcPr>
            <w:tcW w:w="1242" w:type="dxa"/>
            <w:shd w:val="clear" w:color="auto" w:fill="F8FAFC"/>
          </w:tcPr>
          <w:p w14:paraId="02DD68BB" w14:textId="77777777" w:rsidR="005A7395" w:rsidRDefault="007825A4">
            <w:pPr>
              <w:spacing w:before="40" w:after="40"/>
            </w:pPr>
            <w:r>
              <w:t>MLOps Lead</w:t>
            </w:r>
          </w:p>
        </w:tc>
        <w:tc>
          <w:tcPr>
            <w:tcW w:w="1242" w:type="dxa"/>
            <w:shd w:val="clear" w:color="auto" w:fill="F8FAFC"/>
          </w:tcPr>
          <w:p w14:paraId="03077B53" w14:textId="77777777" w:rsidR="005A7395" w:rsidRDefault="007825A4">
            <w:pPr>
              <w:spacing w:before="40" w:after="40"/>
            </w:pPr>
            <w:r>
              <w:rPr>
                <w:b/>
              </w:rPr>
              <w:t>COMPLIANT</w:t>
            </w:r>
            <w:r>
              <w:t xml:space="preserve"> (Gate 3)</w:t>
            </w:r>
          </w:p>
        </w:tc>
      </w:tr>
      <w:tr w:rsidR="005A7395" w14:paraId="11728A47" w14:textId="77777777" w:rsidTr="007825A4">
        <w:trPr>
          <w:jc w:val="center"/>
        </w:trPr>
        <w:tc>
          <w:tcPr>
            <w:tcW w:w="1242" w:type="dxa"/>
            <w:shd w:val="clear" w:color="auto" w:fill="FFFFFF"/>
          </w:tcPr>
          <w:p w14:paraId="5BC1A8B2" w14:textId="77777777" w:rsidR="005A7395" w:rsidRDefault="007825A4">
            <w:pPr>
              <w:spacing w:before="40" w:after="40"/>
            </w:pPr>
            <w:r>
              <w:rPr>
                <w:b/>
              </w:rPr>
              <w:t>Article 26</w:t>
            </w:r>
          </w:p>
        </w:tc>
        <w:tc>
          <w:tcPr>
            <w:tcW w:w="1242" w:type="dxa"/>
            <w:shd w:val="clear" w:color="auto" w:fill="FFFFFF"/>
          </w:tcPr>
          <w:p w14:paraId="2F71A07D" w14:textId="77777777" w:rsidR="005A7395" w:rsidRDefault="007825A4">
            <w:pPr>
              <w:spacing w:before="40" w:after="40"/>
            </w:pPr>
            <w:r>
              <w:t>Deployer Obligations &amp; SLA Controls</w:t>
            </w:r>
          </w:p>
        </w:tc>
        <w:tc>
          <w:tcPr>
            <w:tcW w:w="1242" w:type="dxa"/>
            <w:shd w:val="clear" w:color="auto" w:fill="FFFFFF"/>
          </w:tcPr>
          <w:p w14:paraId="35269D7F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CTL-AI-10</w:t>
            </w:r>
            <w:r>
              <w:t>: Deployer SLA Addendum &amp; FRIA Toolkit</w:t>
            </w:r>
          </w:p>
        </w:tc>
        <w:tc>
          <w:tcPr>
            <w:tcW w:w="1242" w:type="dxa"/>
            <w:shd w:val="clear" w:color="auto" w:fill="FFFFFF"/>
          </w:tcPr>
          <w:p w14:paraId="2574F2EC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ai-system/roles.md</w:t>
            </w:r>
            <w:r>
              <w:t xml:space="preserve"> &amp; EU AI Act SLA Addendum</w:t>
            </w:r>
          </w:p>
        </w:tc>
        <w:tc>
          <w:tcPr>
            <w:tcW w:w="1242" w:type="dxa"/>
            <w:shd w:val="clear" w:color="auto" w:fill="FFFFFF"/>
          </w:tcPr>
          <w:p w14:paraId="1297FCC9" w14:textId="77777777" w:rsidR="005A7395" w:rsidRDefault="007825A4">
            <w:pPr>
              <w:spacing w:before="40" w:after="40"/>
            </w:pPr>
            <w:r>
              <w:t>Deployers lacked standardized FRIA guidance.</w:t>
            </w:r>
          </w:p>
        </w:tc>
        <w:tc>
          <w:tcPr>
            <w:tcW w:w="1242" w:type="dxa"/>
            <w:shd w:val="clear" w:color="auto" w:fill="FFFFFF"/>
          </w:tcPr>
          <w:p w14:paraId="6BC97592" w14:textId="77777777" w:rsidR="005A7395" w:rsidRDefault="007825A4">
            <w:pPr>
              <w:spacing w:before="40" w:after="40"/>
            </w:pPr>
            <w:r>
              <w:t>Issued FRIA toolkit &amp; contractually banned auto-rejection.</w:t>
            </w:r>
          </w:p>
        </w:tc>
        <w:tc>
          <w:tcPr>
            <w:tcW w:w="1242" w:type="dxa"/>
            <w:shd w:val="clear" w:color="auto" w:fill="FFFFFF"/>
          </w:tcPr>
          <w:p w14:paraId="2AB057FA" w14:textId="77777777" w:rsidR="005A7395" w:rsidRDefault="007825A4">
            <w:pPr>
              <w:spacing w:before="40" w:after="40"/>
            </w:pPr>
            <w:r>
              <w:t>Legal Counsel</w:t>
            </w:r>
          </w:p>
        </w:tc>
        <w:tc>
          <w:tcPr>
            <w:tcW w:w="1242" w:type="dxa"/>
            <w:shd w:val="clear" w:color="auto" w:fill="FFFFFF"/>
          </w:tcPr>
          <w:p w14:paraId="4A2BE810" w14:textId="77777777" w:rsidR="005A7395" w:rsidRDefault="007825A4">
            <w:pPr>
              <w:spacing w:before="40" w:after="40"/>
            </w:pPr>
            <w:r>
              <w:rPr>
                <w:b/>
              </w:rPr>
              <w:t>COMPLIANT</w:t>
            </w:r>
            <w:r>
              <w:t xml:space="preserve"> </w:t>
            </w:r>
            <w:r>
              <w:t>(Gate 5)</w:t>
            </w:r>
          </w:p>
        </w:tc>
      </w:tr>
      <w:tr w:rsidR="005A7395" w14:paraId="5B0FAE02" w14:textId="77777777" w:rsidTr="007825A4">
        <w:trPr>
          <w:jc w:val="center"/>
        </w:trPr>
        <w:tc>
          <w:tcPr>
            <w:tcW w:w="1242" w:type="dxa"/>
            <w:shd w:val="clear" w:color="auto" w:fill="F8FAFC"/>
          </w:tcPr>
          <w:p w14:paraId="722F7ED0" w14:textId="77777777" w:rsidR="005A7395" w:rsidRDefault="007825A4">
            <w:pPr>
              <w:spacing w:before="40" w:after="40"/>
            </w:pPr>
            <w:r>
              <w:rPr>
                <w:b/>
              </w:rPr>
              <w:lastRenderedPageBreak/>
              <w:t>Article 72</w:t>
            </w:r>
          </w:p>
        </w:tc>
        <w:tc>
          <w:tcPr>
            <w:tcW w:w="1242" w:type="dxa"/>
            <w:shd w:val="clear" w:color="auto" w:fill="F8FAFC"/>
          </w:tcPr>
          <w:p w14:paraId="2320D42C" w14:textId="77777777" w:rsidR="005A7395" w:rsidRDefault="007825A4">
            <w:pPr>
              <w:spacing w:before="40" w:after="40"/>
            </w:pPr>
            <w:r>
              <w:t>Post-Market Monitoring System</w:t>
            </w:r>
          </w:p>
        </w:tc>
        <w:tc>
          <w:tcPr>
            <w:tcW w:w="1242" w:type="dxa"/>
            <w:shd w:val="clear" w:color="auto" w:fill="F8FAFC"/>
          </w:tcPr>
          <w:p w14:paraId="3D7850F6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CTL-AI-11</w:t>
            </w:r>
            <w:r>
              <w:t>: Post-Market Monitoring Plan</w:t>
            </w:r>
          </w:p>
        </w:tc>
        <w:tc>
          <w:tcPr>
            <w:tcW w:w="1242" w:type="dxa"/>
            <w:shd w:val="clear" w:color="auto" w:fill="F8FAFC"/>
          </w:tcPr>
          <w:p w14:paraId="4BC6B0F4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monitoring/post-market-monitoring.md</w:t>
            </w:r>
          </w:p>
        </w:tc>
        <w:tc>
          <w:tcPr>
            <w:tcW w:w="1242" w:type="dxa"/>
            <w:shd w:val="clear" w:color="auto" w:fill="F8FAFC"/>
          </w:tcPr>
          <w:p w14:paraId="207F5456" w14:textId="77777777" w:rsidR="005A7395" w:rsidRDefault="007825A4">
            <w:pPr>
              <w:spacing w:before="40" w:after="40"/>
            </w:pPr>
            <w:r>
              <w:t>Drift monitoring relied on manual monthly exports.</w:t>
            </w:r>
          </w:p>
        </w:tc>
        <w:tc>
          <w:tcPr>
            <w:tcW w:w="1242" w:type="dxa"/>
            <w:shd w:val="clear" w:color="auto" w:fill="F8FAFC"/>
          </w:tcPr>
          <w:p w14:paraId="4FD33CF6" w14:textId="77777777" w:rsidR="005A7395" w:rsidRDefault="007825A4">
            <w:pPr>
              <w:spacing w:before="40" w:after="40"/>
            </w:pPr>
            <w:r>
              <w:t>Automated embedding drift alert pipeline in Datadog.</w:t>
            </w:r>
          </w:p>
        </w:tc>
        <w:tc>
          <w:tcPr>
            <w:tcW w:w="1242" w:type="dxa"/>
            <w:shd w:val="clear" w:color="auto" w:fill="F8FAFC"/>
          </w:tcPr>
          <w:p w14:paraId="75D67B69" w14:textId="77777777" w:rsidR="005A7395" w:rsidRDefault="007825A4">
            <w:pPr>
              <w:spacing w:before="40" w:after="40"/>
            </w:pPr>
            <w:r>
              <w:t>MLOps Lead</w:t>
            </w:r>
          </w:p>
        </w:tc>
        <w:tc>
          <w:tcPr>
            <w:tcW w:w="1242" w:type="dxa"/>
            <w:shd w:val="clear" w:color="auto" w:fill="F8FAFC"/>
          </w:tcPr>
          <w:p w14:paraId="40496760" w14:textId="77777777" w:rsidR="005A7395" w:rsidRDefault="007825A4">
            <w:pPr>
              <w:spacing w:before="40" w:after="40"/>
            </w:pPr>
            <w:r>
              <w:rPr>
                <w:b/>
              </w:rPr>
              <w:t>COMPLIANT</w:t>
            </w:r>
          </w:p>
        </w:tc>
      </w:tr>
      <w:tr w:rsidR="005A7395" w14:paraId="782C9971" w14:textId="77777777" w:rsidTr="007825A4">
        <w:trPr>
          <w:jc w:val="center"/>
        </w:trPr>
        <w:tc>
          <w:tcPr>
            <w:tcW w:w="1242" w:type="dxa"/>
            <w:shd w:val="clear" w:color="auto" w:fill="FFFFFF"/>
          </w:tcPr>
          <w:p w14:paraId="03935E4B" w14:textId="77777777" w:rsidR="005A7395" w:rsidRDefault="007825A4">
            <w:pPr>
              <w:spacing w:before="40" w:after="40"/>
            </w:pPr>
            <w:r>
              <w:rPr>
                <w:b/>
              </w:rPr>
              <w:t>Article 73</w:t>
            </w:r>
          </w:p>
        </w:tc>
        <w:tc>
          <w:tcPr>
            <w:tcW w:w="1242" w:type="dxa"/>
            <w:shd w:val="clear" w:color="auto" w:fill="FFFFFF"/>
          </w:tcPr>
          <w:p w14:paraId="4795155F" w14:textId="77777777" w:rsidR="005A7395" w:rsidRDefault="007825A4">
            <w:pPr>
              <w:spacing w:before="40" w:after="40"/>
            </w:pPr>
            <w:r>
              <w:t>Serious Incident Reporting</w:t>
            </w:r>
          </w:p>
        </w:tc>
        <w:tc>
          <w:tcPr>
            <w:tcW w:w="1242" w:type="dxa"/>
            <w:shd w:val="clear" w:color="auto" w:fill="FFFFFF"/>
          </w:tcPr>
          <w:p w14:paraId="3D61CB35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CTL-AI-12</w:t>
            </w:r>
            <w:r>
              <w:t>: 15-Day Regulator Incident Playbook</w:t>
            </w:r>
          </w:p>
        </w:tc>
        <w:tc>
          <w:tcPr>
            <w:tcW w:w="1242" w:type="dxa"/>
            <w:shd w:val="clear" w:color="auto" w:fill="FFFFFF"/>
          </w:tcPr>
          <w:p w14:paraId="6BBD8718" w14:textId="77777777" w:rsidR="005A7395" w:rsidRDefault="007825A4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incident-management/incident-reporting.md</w:t>
            </w:r>
          </w:p>
        </w:tc>
        <w:tc>
          <w:tcPr>
            <w:tcW w:w="1242" w:type="dxa"/>
            <w:shd w:val="clear" w:color="auto" w:fill="FFFFFF"/>
          </w:tcPr>
          <w:p w14:paraId="60F49190" w14:textId="77777777" w:rsidR="005A7395" w:rsidRDefault="007825A4">
            <w:pPr>
              <w:spacing w:before="40" w:after="40"/>
            </w:pPr>
            <w:r>
              <w:t>Incident response plan lacked statutory 15-day reporting template.</w:t>
            </w:r>
          </w:p>
        </w:tc>
        <w:tc>
          <w:tcPr>
            <w:tcW w:w="1242" w:type="dxa"/>
            <w:shd w:val="clear" w:color="auto" w:fill="FFFFFF"/>
          </w:tcPr>
          <w:p w14:paraId="2181263E" w14:textId="77777777" w:rsidR="005A7395" w:rsidRDefault="007825A4">
            <w:pPr>
              <w:spacing w:before="40" w:after="40"/>
            </w:pPr>
            <w:r>
              <w:t>Authored AI Incident Escalation Playbook.</w:t>
            </w:r>
          </w:p>
        </w:tc>
        <w:tc>
          <w:tcPr>
            <w:tcW w:w="1242" w:type="dxa"/>
            <w:shd w:val="clear" w:color="auto" w:fill="FFFFFF"/>
          </w:tcPr>
          <w:p w14:paraId="72A4E5B2" w14:textId="77777777" w:rsidR="005A7395" w:rsidRDefault="007825A4">
            <w:pPr>
              <w:spacing w:before="40" w:after="40"/>
            </w:pPr>
            <w:r>
              <w:t xml:space="preserve">AI GRC </w:t>
            </w:r>
            <w:r>
              <w:t>Lead</w:t>
            </w:r>
          </w:p>
        </w:tc>
        <w:tc>
          <w:tcPr>
            <w:tcW w:w="1242" w:type="dxa"/>
            <w:shd w:val="clear" w:color="auto" w:fill="FFFFFF"/>
          </w:tcPr>
          <w:p w14:paraId="3B0CE150" w14:textId="77777777" w:rsidR="005A7395" w:rsidRDefault="007825A4">
            <w:pPr>
              <w:spacing w:before="40" w:after="40"/>
            </w:pPr>
            <w:r>
              <w:rPr>
                <w:b/>
              </w:rPr>
              <w:t>COMPLIANT</w:t>
            </w:r>
          </w:p>
        </w:tc>
      </w:tr>
    </w:tbl>
    <w:p w14:paraId="62078D05" w14:textId="77777777" w:rsidR="005A7395" w:rsidRDefault="005A7395">
      <w:pPr>
        <w:spacing w:after="120"/>
      </w:pPr>
    </w:p>
    <w:sectPr w:rsidR="005A739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395"/>
    <w:rsid w:val="007825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CC61E"/>
  <w14:defaultImageDpi w14:val="300"/>
  <w15:docId w15:val="{21BD1BA0-B9B2-435C-89A8-27441AC0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2026-08-19T12:03:00Z</dcterms:modified>
  <cp:category/>
</cp:coreProperties>
</file>