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5F086" w14:textId="77777777" w:rsidR="00430220" w:rsidRDefault="003746BB">
      <w:pPr>
        <w:pStyle w:val="Heading1"/>
        <w:spacing w:before="240" w:after="120"/>
      </w:pPr>
      <w:r>
        <w:rPr>
          <w:color w:val="0F172A"/>
        </w:rPr>
        <w:t>Executive Compliance Decision: GO WITH CONDITIONS</w:t>
      </w:r>
    </w:p>
    <w:p w14:paraId="53392111" w14:textId="77777777" w:rsidR="00430220" w:rsidRDefault="003746BB">
      <w:pPr>
        <w:spacing w:before="80" w:after="80"/>
        <w:ind w:left="432"/>
      </w:pPr>
      <w:r>
        <w:rPr>
          <w:b/>
          <w:i/>
          <w:color w:val="475569"/>
        </w:rPr>
        <w:t>PORTFOLIO DISCLAIMER:</w:t>
      </w:r>
      <w:r>
        <w:rPr>
          <w:i/>
          <w:color w:val="475569"/>
        </w:rPr>
        <w:t xml:space="preserve"> This document is part of a simulated AI Governance GRC portfolio case study representing TalentMatch AI B.V. It does not represent a real commercial entity, live regulatory filing, or active certification under Regulation (EU) 2024/1689.</w:t>
      </w:r>
    </w:p>
    <w:p w14:paraId="51B66197" w14:textId="77777777" w:rsidR="00430220" w:rsidRDefault="003746BB">
      <w:pPr>
        <w:spacing w:before="80" w:after="80"/>
      </w:pPr>
      <w:r>
        <w:rPr>
          <w:color w:val="CBD5E1"/>
        </w:rPr>
        <w:t>―――――――――――――――――</w:t>
      </w:r>
      <w:r>
        <w:rPr>
          <w:color w:val="CBD5E1"/>
        </w:rPr>
        <w:t>―――――――――――――――――――――――</w:t>
      </w:r>
    </w:p>
    <w:p w14:paraId="5CCAC495" w14:textId="77777777" w:rsidR="00430220" w:rsidRDefault="003746BB">
      <w:pPr>
        <w:pStyle w:val="Heading2"/>
        <w:spacing w:after="80"/>
      </w:pPr>
      <w:r>
        <w:rPr>
          <w:color w:val="1E3A8A"/>
        </w:rPr>
        <w:t>1. Executive Summary &amp; GRC Decision</w:t>
      </w:r>
    </w:p>
    <w:p w14:paraId="69E46317" w14:textId="77777777" w:rsidR="00430220" w:rsidRDefault="003746BB">
      <w:pPr>
        <w:spacing w:after="80"/>
      </w:pPr>
      <w:r>
        <w:t xml:space="preserve">The </w:t>
      </w:r>
      <w:r>
        <w:rPr>
          <w:b/>
        </w:rPr>
        <w:t>AI Safety &amp; Ethics Board (ASEB)</w:t>
      </w:r>
      <w:r>
        <w:t xml:space="preserve"> of TalentMatch AI B.V. has conducted a final comprehensive evaluation of </w:t>
      </w:r>
      <w:r>
        <w:rPr>
          <w:b/>
        </w:rPr>
        <w:t>TalentMatch AI v2.4</w:t>
      </w:r>
      <w:r>
        <w:t xml:space="preserve"> against the requirements of </w:t>
      </w:r>
      <w:r>
        <w:rPr>
          <w:b/>
        </w:rPr>
        <w:t>Regulation (EU) 2024/1689 (EU AI Act)</w:t>
      </w:r>
      <w:r>
        <w:t>.</w:t>
      </w:r>
    </w:p>
    <w:p w14:paraId="79BA56D3" w14:textId="77777777" w:rsidR="00430220" w:rsidRDefault="003746BB"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1E293B"/>
          <w:sz w:val="17"/>
        </w:rPr>
        <w:br/>
        <w:t>│                    FINAL GRC COMPLIANCE DETERMINATION                       │</w:t>
      </w:r>
      <w:r>
        <w:rPr>
          <w:rFonts w:ascii="Consolas" w:hAnsi="Consolas"/>
          <w:color w:val="1E293B"/>
          <w:sz w:val="17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1E293B"/>
          <w:sz w:val="17"/>
        </w:rPr>
        <w:br/>
        <w:t xml:space="preserve">│               </w:t>
      </w:r>
      <w:r>
        <w:rPr>
          <w:rFonts w:ascii="Consolas" w:hAnsi="Consolas"/>
          <w:color w:val="1E293B"/>
          <w:sz w:val="17"/>
        </w:rPr>
        <w:t xml:space="preserve">                                                              │</w:t>
      </w:r>
      <w:r>
        <w:rPr>
          <w:rFonts w:ascii="Consolas" w:hAnsi="Consolas"/>
          <w:color w:val="1E293B"/>
          <w:sz w:val="17"/>
        </w:rPr>
        <w:br/>
        <w:t>│   FINAL DECISION       GO WITH CONDITIONS                                   │</w:t>
      </w:r>
      <w:r>
        <w:rPr>
          <w:rFonts w:ascii="Consolas" w:hAnsi="Consolas"/>
          <w:color w:val="1E293B"/>
          <w:sz w:val="17"/>
        </w:rPr>
        <w:br/>
        <w:t>│   STATUS               Commercial deployment to EU enterprise clients is    │</w:t>
      </w:r>
      <w:r>
        <w:rPr>
          <w:rFonts w:ascii="Consolas" w:hAnsi="Consolas"/>
          <w:color w:val="1E293B"/>
          <w:sz w:val="17"/>
        </w:rPr>
        <w:br/>
        <w:t xml:space="preserve">│                        FROZEN </w:t>
      </w:r>
      <w:r>
        <w:rPr>
          <w:rFonts w:ascii="Consolas" w:hAnsi="Consolas"/>
          <w:color w:val="1E293B"/>
          <w:sz w:val="17"/>
        </w:rPr>
        <w:t>until 6 mandatory deployment gates receive    │</w:t>
      </w:r>
      <w:r>
        <w:rPr>
          <w:rFonts w:ascii="Consolas" w:hAnsi="Consolas"/>
          <w:color w:val="1E293B"/>
          <w:sz w:val="17"/>
        </w:rPr>
        <w:br/>
        <w:t>│                        unanimous executive sign-off.                        │</w:t>
      </w:r>
      <w:r>
        <w:rPr>
          <w:rFonts w:ascii="Consolas" w:hAnsi="Consolas"/>
          <w:color w:val="1E293B"/>
          <w:sz w:val="17"/>
        </w:rPr>
        <w:br/>
        <w:t>│                                                                             │</w:t>
      </w:r>
      <w:r>
        <w:rPr>
          <w:rFonts w:ascii="Consolas" w:hAnsi="Consolas"/>
          <w:color w:val="1E293B"/>
          <w:sz w:val="17"/>
        </w:rPr>
        <w:br/>
        <w:t>└───────────────────────────────────────────────</w:t>
      </w:r>
      <w:r>
        <w:rPr>
          <w:rFonts w:ascii="Consolas" w:hAnsi="Consolas"/>
          <w:color w:val="1E293B"/>
          <w:sz w:val="17"/>
        </w:rPr>
        <w:t>──────────────────────────────┘</w:t>
      </w:r>
    </w:p>
    <w:p w14:paraId="7CA1C4F3" w14:textId="77777777" w:rsidR="00430220" w:rsidRDefault="003746BB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650D987C" w14:textId="77777777" w:rsidR="00430220" w:rsidRDefault="003746BB">
      <w:pPr>
        <w:pStyle w:val="Heading2"/>
        <w:spacing w:after="80"/>
      </w:pPr>
      <w:r>
        <w:rPr>
          <w:color w:val="1E3A8A"/>
        </w:rPr>
        <w:t>2. The 6 Mandatory Deployment Sign-Off Gates</w:t>
      </w:r>
    </w:p>
    <w:p w14:paraId="559FB0C7" w14:textId="77777777" w:rsidR="00430220" w:rsidRDefault="003746BB">
      <w:pPr>
        <w:spacing w:after="80"/>
      </w:pPr>
      <w:r>
        <w:t>Full commercial release of TalentMatch AI v2.4 is strictly gated by formal sign-off across six mandatory compliance gates: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430220" w14:paraId="251E14E1" w14:textId="77777777" w:rsidTr="003746BB">
        <w:trPr>
          <w:jc w:val="center"/>
        </w:trPr>
        <w:tc>
          <w:tcPr>
            <w:tcW w:w="1656" w:type="dxa"/>
            <w:shd w:val="clear" w:color="auto" w:fill="1E293B"/>
          </w:tcPr>
          <w:p w14:paraId="6A4D9310" w14:textId="77777777" w:rsidR="00430220" w:rsidRDefault="003746BB">
            <w:pPr>
              <w:spacing w:before="40" w:after="40"/>
            </w:pPr>
            <w:r>
              <w:rPr>
                <w:b/>
                <w:color w:val="FFFFFF"/>
              </w:rPr>
              <w:t>Gate #</w:t>
            </w:r>
          </w:p>
        </w:tc>
        <w:tc>
          <w:tcPr>
            <w:tcW w:w="1656" w:type="dxa"/>
            <w:shd w:val="clear" w:color="auto" w:fill="1E293B"/>
          </w:tcPr>
          <w:p w14:paraId="3D0FC5AC" w14:textId="77777777" w:rsidR="00430220" w:rsidRDefault="003746BB">
            <w:pPr>
              <w:spacing w:before="40" w:after="40"/>
            </w:pPr>
            <w:r>
              <w:rPr>
                <w:b/>
                <w:color w:val="FFFFFF"/>
              </w:rPr>
              <w:t>Complian</w:t>
            </w:r>
            <w:r>
              <w:rPr>
                <w:b/>
                <w:color w:val="FFFFFF"/>
              </w:rPr>
              <w:t>ce Gate Title</w:t>
            </w:r>
          </w:p>
        </w:tc>
        <w:tc>
          <w:tcPr>
            <w:tcW w:w="1656" w:type="dxa"/>
            <w:shd w:val="clear" w:color="auto" w:fill="1E293B"/>
          </w:tcPr>
          <w:p w14:paraId="211F30CD" w14:textId="77777777" w:rsidR="00430220" w:rsidRDefault="003746BB">
            <w:pPr>
              <w:spacing w:before="40" w:after="40"/>
            </w:pPr>
            <w:r>
              <w:rPr>
                <w:b/>
                <w:color w:val="FFFFFF"/>
              </w:rPr>
              <w:t>Targeted Obligation</w:t>
            </w:r>
          </w:p>
        </w:tc>
        <w:tc>
          <w:tcPr>
            <w:tcW w:w="1656" w:type="dxa"/>
            <w:shd w:val="clear" w:color="auto" w:fill="1E293B"/>
          </w:tcPr>
          <w:p w14:paraId="449FEFBB" w14:textId="77777777" w:rsidR="00430220" w:rsidRDefault="003746BB">
            <w:pPr>
              <w:spacing w:before="40" w:after="40"/>
            </w:pPr>
            <w:r>
              <w:rPr>
                <w:b/>
                <w:color w:val="FFFFFF"/>
              </w:rPr>
              <w:t>Required Verification Condition</w:t>
            </w:r>
          </w:p>
        </w:tc>
        <w:tc>
          <w:tcPr>
            <w:tcW w:w="1656" w:type="dxa"/>
            <w:shd w:val="clear" w:color="auto" w:fill="1E293B"/>
          </w:tcPr>
          <w:p w14:paraId="46BCA8CF" w14:textId="77777777" w:rsidR="00430220" w:rsidRDefault="003746BB">
            <w:pPr>
              <w:spacing w:before="40" w:after="40"/>
            </w:pPr>
            <w:r>
              <w:rPr>
                <w:b/>
                <w:color w:val="FFFFFF"/>
              </w:rPr>
              <w:t>Responsible Executive</w:t>
            </w:r>
          </w:p>
        </w:tc>
        <w:tc>
          <w:tcPr>
            <w:tcW w:w="1656" w:type="dxa"/>
            <w:shd w:val="clear" w:color="auto" w:fill="1E293B"/>
          </w:tcPr>
          <w:p w14:paraId="4EA4D8CD" w14:textId="77777777" w:rsidR="00430220" w:rsidRDefault="003746BB">
            <w:pPr>
              <w:spacing w:before="40" w:after="40"/>
            </w:pPr>
            <w:r>
              <w:rPr>
                <w:b/>
                <w:color w:val="FFFFFF"/>
              </w:rPr>
              <w:t>Gate Status</w:t>
            </w:r>
          </w:p>
        </w:tc>
      </w:tr>
      <w:tr w:rsidR="00430220" w14:paraId="7A37F446" w14:textId="77777777" w:rsidTr="003746BB">
        <w:trPr>
          <w:jc w:val="center"/>
        </w:trPr>
        <w:tc>
          <w:tcPr>
            <w:tcW w:w="1656" w:type="dxa"/>
            <w:shd w:val="clear" w:color="auto" w:fill="F8FAFC"/>
          </w:tcPr>
          <w:p w14:paraId="0E13BE81" w14:textId="77777777" w:rsidR="00430220" w:rsidRDefault="003746BB">
            <w:pPr>
              <w:spacing w:before="40" w:after="40"/>
            </w:pPr>
            <w:r>
              <w:rPr>
                <w:b/>
              </w:rPr>
              <w:t>Gate 1</w:t>
            </w:r>
          </w:p>
        </w:tc>
        <w:tc>
          <w:tcPr>
            <w:tcW w:w="1656" w:type="dxa"/>
            <w:shd w:val="clear" w:color="auto" w:fill="F8FAFC"/>
          </w:tcPr>
          <w:p w14:paraId="26800846" w14:textId="77777777" w:rsidR="00430220" w:rsidRDefault="003746BB">
            <w:pPr>
              <w:spacing w:before="40" w:after="40"/>
            </w:pPr>
            <w:r>
              <w:t>Bias Calibration Sign-Off</w:t>
            </w:r>
          </w:p>
        </w:tc>
        <w:tc>
          <w:tcPr>
            <w:tcW w:w="1656" w:type="dxa"/>
            <w:shd w:val="clear" w:color="auto" w:fill="F8FAFC"/>
          </w:tcPr>
          <w:p w14:paraId="18CA1BC1" w14:textId="77777777" w:rsidR="00430220" w:rsidRDefault="003746BB">
            <w:pPr>
              <w:spacing w:before="40" w:after="40"/>
            </w:pPr>
            <w:r>
              <w:t>Article 10 (Data &amp; Bias)</w:t>
            </w:r>
          </w:p>
        </w:tc>
        <w:tc>
          <w:tcPr>
            <w:tcW w:w="1656" w:type="dxa"/>
            <w:shd w:val="clear" w:color="auto" w:fill="F8FAFC"/>
          </w:tcPr>
          <w:p w14:paraId="1C97890B" w14:textId="77777777" w:rsidR="00430220" w:rsidRDefault="003746BB">
            <w:pPr>
              <w:spacing w:before="40" w:after="40"/>
            </w:pPr>
            <w:r>
              <w:t xml:space="preserve">Post-mitigation holdout test DIR $\ge 0.823$ across all female, age 45+, &amp; non-Western </w:t>
            </w:r>
            <w:r>
              <w:t>subgroups.</w:t>
            </w:r>
          </w:p>
        </w:tc>
        <w:tc>
          <w:tcPr>
            <w:tcW w:w="1656" w:type="dxa"/>
            <w:shd w:val="clear" w:color="auto" w:fill="F8FAFC"/>
          </w:tcPr>
          <w:p w14:paraId="7C711ADF" w14:textId="77777777" w:rsidR="00430220" w:rsidRDefault="003746BB">
            <w:pPr>
              <w:spacing w:before="40" w:after="40"/>
            </w:pPr>
            <w:r>
              <w:t>Fairness Auditor</w:t>
            </w:r>
          </w:p>
        </w:tc>
        <w:tc>
          <w:tcPr>
            <w:tcW w:w="1656" w:type="dxa"/>
            <w:shd w:val="clear" w:color="auto" w:fill="F8FAFC"/>
          </w:tcPr>
          <w:p w14:paraId="1A20DFD7" w14:textId="77777777" w:rsidR="00430220" w:rsidRDefault="003746BB">
            <w:pPr>
              <w:spacing w:before="40" w:after="40"/>
            </w:pPr>
            <w:r>
              <w:rPr>
                <w:b/>
              </w:rPr>
              <w:t>PASSED</w:t>
            </w:r>
          </w:p>
        </w:tc>
      </w:tr>
      <w:tr w:rsidR="00430220" w14:paraId="241A9699" w14:textId="77777777" w:rsidTr="003746BB">
        <w:trPr>
          <w:jc w:val="center"/>
        </w:trPr>
        <w:tc>
          <w:tcPr>
            <w:tcW w:w="1656" w:type="dxa"/>
            <w:shd w:val="clear" w:color="auto" w:fill="FFFFFF"/>
          </w:tcPr>
          <w:p w14:paraId="4FA311F9" w14:textId="77777777" w:rsidR="00430220" w:rsidRDefault="003746BB">
            <w:pPr>
              <w:spacing w:before="40" w:after="40"/>
            </w:pPr>
            <w:r>
              <w:rPr>
                <w:b/>
              </w:rPr>
              <w:t>Gate 2</w:t>
            </w:r>
          </w:p>
        </w:tc>
        <w:tc>
          <w:tcPr>
            <w:tcW w:w="1656" w:type="dxa"/>
            <w:shd w:val="clear" w:color="auto" w:fill="FFFFFF"/>
          </w:tcPr>
          <w:p w14:paraId="3DF550B4" w14:textId="77777777" w:rsidR="00430220" w:rsidRDefault="003746BB">
            <w:pPr>
              <w:spacing w:before="40" w:after="40"/>
            </w:pPr>
            <w:r>
              <w:t>Human Oversight UI Deployment</w:t>
            </w:r>
          </w:p>
        </w:tc>
        <w:tc>
          <w:tcPr>
            <w:tcW w:w="1656" w:type="dxa"/>
            <w:shd w:val="clear" w:color="auto" w:fill="FFFFFF"/>
          </w:tcPr>
          <w:p w14:paraId="0725DBAA" w14:textId="77777777" w:rsidR="00430220" w:rsidRDefault="003746BB">
            <w:pPr>
              <w:spacing w:before="40" w:after="40"/>
            </w:pPr>
            <w:r>
              <w:t>Article 14 (Oversight)</w:t>
            </w:r>
          </w:p>
        </w:tc>
        <w:tc>
          <w:tcPr>
            <w:tcW w:w="1656" w:type="dxa"/>
            <w:shd w:val="clear" w:color="auto" w:fill="FFFFFF"/>
          </w:tcPr>
          <w:p w14:paraId="5268CD2B" w14:textId="77777777" w:rsidR="00430220" w:rsidRDefault="003746BB">
            <w:pPr>
              <w:spacing w:before="40" w:after="40"/>
            </w:pPr>
            <w:r>
              <w:t>Deployment of mandatory 2-minute UI review lock and blind skill evaluation interface in web console.</w:t>
            </w:r>
          </w:p>
        </w:tc>
        <w:tc>
          <w:tcPr>
            <w:tcW w:w="1656" w:type="dxa"/>
            <w:shd w:val="clear" w:color="auto" w:fill="FFFFFF"/>
          </w:tcPr>
          <w:p w14:paraId="1993BE3E" w14:textId="77777777" w:rsidR="00430220" w:rsidRDefault="003746BB">
            <w:pPr>
              <w:spacing w:before="40" w:after="40"/>
            </w:pPr>
            <w:r>
              <w:t>AI GRC Lead</w:t>
            </w:r>
          </w:p>
        </w:tc>
        <w:tc>
          <w:tcPr>
            <w:tcW w:w="1656" w:type="dxa"/>
            <w:shd w:val="clear" w:color="auto" w:fill="FFFFFF"/>
          </w:tcPr>
          <w:p w14:paraId="53F61F46" w14:textId="77777777" w:rsidR="00430220" w:rsidRDefault="003746BB">
            <w:pPr>
              <w:spacing w:before="40" w:after="40"/>
            </w:pPr>
            <w:r>
              <w:rPr>
                <w:b/>
              </w:rPr>
              <w:t>PASSED</w:t>
            </w:r>
          </w:p>
        </w:tc>
      </w:tr>
      <w:tr w:rsidR="00430220" w14:paraId="573CE6B4" w14:textId="77777777" w:rsidTr="003746BB">
        <w:trPr>
          <w:jc w:val="center"/>
        </w:trPr>
        <w:tc>
          <w:tcPr>
            <w:tcW w:w="1656" w:type="dxa"/>
            <w:shd w:val="clear" w:color="auto" w:fill="F8FAFC"/>
          </w:tcPr>
          <w:p w14:paraId="2B104114" w14:textId="77777777" w:rsidR="00430220" w:rsidRDefault="003746BB">
            <w:pPr>
              <w:spacing w:before="40" w:after="40"/>
            </w:pPr>
            <w:r>
              <w:rPr>
                <w:b/>
              </w:rPr>
              <w:t>Gate 3</w:t>
            </w:r>
          </w:p>
        </w:tc>
        <w:tc>
          <w:tcPr>
            <w:tcW w:w="1656" w:type="dxa"/>
            <w:shd w:val="clear" w:color="auto" w:fill="F8FAFC"/>
          </w:tcPr>
          <w:p w14:paraId="299D5969" w14:textId="77777777" w:rsidR="00430220" w:rsidRDefault="003746BB">
            <w:pPr>
              <w:spacing w:before="40" w:after="40"/>
            </w:pPr>
            <w:r>
              <w:t xml:space="preserve">Cybersecurity </w:t>
            </w:r>
            <w:r>
              <w:lastRenderedPageBreak/>
              <w:t>Hardening</w:t>
            </w:r>
          </w:p>
        </w:tc>
        <w:tc>
          <w:tcPr>
            <w:tcW w:w="1656" w:type="dxa"/>
            <w:shd w:val="clear" w:color="auto" w:fill="F8FAFC"/>
          </w:tcPr>
          <w:p w14:paraId="147BCD04" w14:textId="77777777" w:rsidR="00430220" w:rsidRDefault="003746BB">
            <w:pPr>
              <w:spacing w:before="40" w:after="40"/>
            </w:pPr>
            <w:r>
              <w:lastRenderedPageBreak/>
              <w:t xml:space="preserve">Article 15 </w:t>
            </w:r>
            <w:r>
              <w:lastRenderedPageBreak/>
              <w:t>(Security)</w:t>
            </w:r>
          </w:p>
        </w:tc>
        <w:tc>
          <w:tcPr>
            <w:tcW w:w="1656" w:type="dxa"/>
            <w:shd w:val="clear" w:color="auto" w:fill="F8FAFC"/>
          </w:tcPr>
          <w:p w14:paraId="6C74CAF2" w14:textId="77777777" w:rsidR="00430220" w:rsidRDefault="003746BB">
            <w:pPr>
              <w:spacing w:before="40" w:after="40"/>
            </w:pPr>
            <w:r>
              <w:lastRenderedPageBreak/>
              <w:t xml:space="preserve">Deployment of PyMuPDF text </w:t>
            </w:r>
            <w:r>
              <w:lastRenderedPageBreak/>
              <w:t>sanitizer pre-parser neutralizing 100% of white-font prompt injection test payloads.</w:t>
            </w:r>
          </w:p>
        </w:tc>
        <w:tc>
          <w:tcPr>
            <w:tcW w:w="1656" w:type="dxa"/>
            <w:shd w:val="clear" w:color="auto" w:fill="F8FAFC"/>
          </w:tcPr>
          <w:p w14:paraId="579AA478" w14:textId="77777777" w:rsidR="00430220" w:rsidRDefault="003746BB">
            <w:pPr>
              <w:spacing w:before="40" w:after="40"/>
            </w:pPr>
            <w:r>
              <w:lastRenderedPageBreak/>
              <w:t>MLOps Lead</w:t>
            </w:r>
          </w:p>
        </w:tc>
        <w:tc>
          <w:tcPr>
            <w:tcW w:w="1656" w:type="dxa"/>
            <w:shd w:val="clear" w:color="auto" w:fill="F8FAFC"/>
          </w:tcPr>
          <w:p w14:paraId="62A4617D" w14:textId="77777777" w:rsidR="00430220" w:rsidRDefault="003746BB">
            <w:pPr>
              <w:spacing w:before="40" w:after="40"/>
            </w:pPr>
            <w:r>
              <w:rPr>
                <w:b/>
              </w:rPr>
              <w:t>PASSED</w:t>
            </w:r>
          </w:p>
        </w:tc>
      </w:tr>
      <w:tr w:rsidR="00430220" w14:paraId="35D2E4DE" w14:textId="77777777" w:rsidTr="003746BB">
        <w:trPr>
          <w:jc w:val="center"/>
        </w:trPr>
        <w:tc>
          <w:tcPr>
            <w:tcW w:w="1656" w:type="dxa"/>
            <w:shd w:val="clear" w:color="auto" w:fill="FFFFFF"/>
          </w:tcPr>
          <w:p w14:paraId="566B6F9D" w14:textId="77777777" w:rsidR="00430220" w:rsidRDefault="003746BB">
            <w:pPr>
              <w:spacing w:before="40" w:after="40"/>
            </w:pPr>
            <w:r>
              <w:rPr>
                <w:b/>
              </w:rPr>
              <w:t>Gate 4</w:t>
            </w:r>
          </w:p>
        </w:tc>
        <w:tc>
          <w:tcPr>
            <w:tcW w:w="1656" w:type="dxa"/>
            <w:shd w:val="clear" w:color="auto" w:fill="FFFFFF"/>
          </w:tcPr>
          <w:p w14:paraId="72A5CD46" w14:textId="77777777" w:rsidR="00430220" w:rsidRDefault="003746BB">
            <w:pPr>
              <w:spacing w:before="40" w:after="40"/>
            </w:pPr>
            <w:r>
              <w:t>Technical Documentation Binder</w:t>
            </w:r>
          </w:p>
        </w:tc>
        <w:tc>
          <w:tcPr>
            <w:tcW w:w="1656" w:type="dxa"/>
            <w:shd w:val="clear" w:color="auto" w:fill="FFFFFF"/>
          </w:tcPr>
          <w:p w14:paraId="5DC0DE34" w14:textId="77777777" w:rsidR="00430220" w:rsidRDefault="003746BB">
            <w:pPr>
              <w:spacing w:before="40" w:after="40"/>
            </w:pPr>
            <w:r>
              <w:t>Article 11 (Annex IV)</w:t>
            </w:r>
          </w:p>
        </w:tc>
        <w:tc>
          <w:tcPr>
            <w:tcW w:w="1656" w:type="dxa"/>
            <w:shd w:val="clear" w:color="auto" w:fill="FFFFFF"/>
          </w:tcPr>
          <w:p w14:paraId="4B1960C2" w14:textId="77777777" w:rsidR="00430220" w:rsidRDefault="003746BB">
            <w:pPr>
              <w:spacing w:before="40" w:after="40"/>
            </w:pPr>
            <w:r>
              <w:t xml:space="preserve">Consolidation of Annex IV </w:t>
            </w:r>
            <w:r>
              <w:t>Technical Documentation binder and MLflow cryptographic hashes in QMS.</w:t>
            </w:r>
          </w:p>
        </w:tc>
        <w:tc>
          <w:tcPr>
            <w:tcW w:w="1656" w:type="dxa"/>
            <w:shd w:val="clear" w:color="auto" w:fill="FFFFFF"/>
          </w:tcPr>
          <w:p w14:paraId="27A1D396" w14:textId="77777777" w:rsidR="00430220" w:rsidRDefault="003746BB">
            <w:pPr>
              <w:spacing w:before="40" w:after="40"/>
            </w:pPr>
            <w:r>
              <w:t>Head of AI Eng</w:t>
            </w:r>
          </w:p>
        </w:tc>
        <w:tc>
          <w:tcPr>
            <w:tcW w:w="1656" w:type="dxa"/>
            <w:shd w:val="clear" w:color="auto" w:fill="FFFFFF"/>
          </w:tcPr>
          <w:p w14:paraId="063EE48F" w14:textId="77777777" w:rsidR="00430220" w:rsidRDefault="003746BB">
            <w:pPr>
              <w:spacing w:before="40" w:after="40"/>
            </w:pPr>
            <w:r>
              <w:rPr>
                <w:b/>
              </w:rPr>
              <w:t>PASSED</w:t>
            </w:r>
          </w:p>
        </w:tc>
      </w:tr>
      <w:tr w:rsidR="00430220" w14:paraId="3CF2AA58" w14:textId="77777777" w:rsidTr="003746BB">
        <w:trPr>
          <w:jc w:val="center"/>
        </w:trPr>
        <w:tc>
          <w:tcPr>
            <w:tcW w:w="1656" w:type="dxa"/>
            <w:shd w:val="clear" w:color="auto" w:fill="F8FAFC"/>
          </w:tcPr>
          <w:p w14:paraId="76A2E4D9" w14:textId="77777777" w:rsidR="00430220" w:rsidRDefault="003746BB">
            <w:pPr>
              <w:spacing w:before="40" w:after="40"/>
            </w:pPr>
            <w:r>
              <w:rPr>
                <w:b/>
              </w:rPr>
              <w:t>Gate 5</w:t>
            </w:r>
          </w:p>
        </w:tc>
        <w:tc>
          <w:tcPr>
            <w:tcW w:w="1656" w:type="dxa"/>
            <w:shd w:val="clear" w:color="auto" w:fill="F8FAFC"/>
          </w:tcPr>
          <w:p w14:paraId="62324E9E" w14:textId="77777777" w:rsidR="00430220" w:rsidRDefault="003746BB">
            <w:pPr>
              <w:spacing w:before="40" w:after="40"/>
            </w:pPr>
            <w:r>
              <w:t>Deployer Governance Addendums</w:t>
            </w:r>
          </w:p>
        </w:tc>
        <w:tc>
          <w:tcPr>
            <w:tcW w:w="1656" w:type="dxa"/>
            <w:shd w:val="clear" w:color="auto" w:fill="F8FAFC"/>
          </w:tcPr>
          <w:p w14:paraId="3EFEF1EB" w14:textId="77777777" w:rsidR="00430220" w:rsidRDefault="003746BB">
            <w:pPr>
              <w:spacing w:before="40" w:after="40"/>
            </w:pPr>
            <w:r>
              <w:t>Article 26 (Deployers)</w:t>
            </w:r>
          </w:p>
        </w:tc>
        <w:tc>
          <w:tcPr>
            <w:tcW w:w="1656" w:type="dxa"/>
            <w:shd w:val="clear" w:color="auto" w:fill="F8FAFC"/>
          </w:tcPr>
          <w:p w14:paraId="55939B23" w14:textId="77777777" w:rsidR="00430220" w:rsidRDefault="003746BB">
            <w:pPr>
              <w:spacing w:before="40" w:after="40"/>
            </w:pPr>
            <w:r>
              <w:t xml:space="preserve">Execution of EU AI Act Governance Addendums &amp; issuance of FRIA Toolkits to all 150+ </w:t>
            </w:r>
            <w:r>
              <w:t>enterprise clients.</w:t>
            </w:r>
          </w:p>
        </w:tc>
        <w:tc>
          <w:tcPr>
            <w:tcW w:w="1656" w:type="dxa"/>
            <w:shd w:val="clear" w:color="auto" w:fill="F8FAFC"/>
          </w:tcPr>
          <w:p w14:paraId="1AB37498" w14:textId="77777777" w:rsidR="00430220" w:rsidRDefault="003746BB">
            <w:pPr>
              <w:spacing w:before="40" w:after="40"/>
            </w:pPr>
            <w:r>
              <w:t>Legal Counsel</w:t>
            </w:r>
          </w:p>
        </w:tc>
        <w:tc>
          <w:tcPr>
            <w:tcW w:w="1656" w:type="dxa"/>
            <w:shd w:val="clear" w:color="auto" w:fill="F8FAFC"/>
          </w:tcPr>
          <w:p w14:paraId="718CADC1" w14:textId="77777777" w:rsidR="00430220" w:rsidRDefault="003746BB">
            <w:pPr>
              <w:spacing w:before="40" w:after="40"/>
            </w:pPr>
            <w:r>
              <w:rPr>
                <w:b/>
              </w:rPr>
              <w:t>IN PROGRESS</w:t>
            </w:r>
          </w:p>
        </w:tc>
      </w:tr>
      <w:tr w:rsidR="00430220" w14:paraId="5347F009" w14:textId="77777777" w:rsidTr="003746BB">
        <w:trPr>
          <w:jc w:val="center"/>
        </w:trPr>
        <w:tc>
          <w:tcPr>
            <w:tcW w:w="1656" w:type="dxa"/>
            <w:shd w:val="clear" w:color="auto" w:fill="FFFFFF"/>
          </w:tcPr>
          <w:p w14:paraId="447DB4BB" w14:textId="77777777" w:rsidR="00430220" w:rsidRDefault="003746BB">
            <w:pPr>
              <w:spacing w:before="40" w:after="40"/>
            </w:pPr>
            <w:r>
              <w:rPr>
                <w:b/>
              </w:rPr>
              <w:t>Gate 6</w:t>
            </w:r>
          </w:p>
        </w:tc>
        <w:tc>
          <w:tcPr>
            <w:tcW w:w="1656" w:type="dxa"/>
            <w:shd w:val="clear" w:color="auto" w:fill="FFFFFF"/>
          </w:tcPr>
          <w:p w14:paraId="258B3DB5" w14:textId="77777777" w:rsidR="00430220" w:rsidRDefault="003746BB">
            <w:pPr>
              <w:spacing w:before="40" w:after="40"/>
            </w:pPr>
            <w:r>
              <w:t>Candidate Appeal Portal</w:t>
            </w:r>
          </w:p>
        </w:tc>
        <w:tc>
          <w:tcPr>
            <w:tcW w:w="1656" w:type="dxa"/>
            <w:shd w:val="clear" w:color="auto" w:fill="FFFFFF"/>
          </w:tcPr>
          <w:p w14:paraId="69CAFF13" w14:textId="77777777" w:rsidR="00430220" w:rsidRDefault="003746BB">
            <w:pPr>
              <w:spacing w:before="40" w:after="40"/>
            </w:pPr>
            <w:r>
              <w:t>Article 13 &amp; GDPR Art 22</w:t>
            </w:r>
          </w:p>
        </w:tc>
        <w:tc>
          <w:tcPr>
            <w:tcW w:w="1656" w:type="dxa"/>
            <w:shd w:val="clear" w:color="auto" w:fill="FFFFFF"/>
          </w:tcPr>
          <w:p w14:paraId="2BA87031" w14:textId="77777777" w:rsidR="00430220" w:rsidRDefault="003746BB">
            <w:pPr>
              <w:spacing w:before="40" w:after="40"/>
            </w:pPr>
            <w:r>
              <w:t>Launch of Candidate Score Explanation &amp; Re-evaluation Portal providing a 14-day human review window.</w:t>
            </w:r>
          </w:p>
        </w:tc>
        <w:tc>
          <w:tcPr>
            <w:tcW w:w="1656" w:type="dxa"/>
            <w:shd w:val="clear" w:color="auto" w:fill="FFFFFF"/>
          </w:tcPr>
          <w:p w14:paraId="77E4DE0A" w14:textId="77777777" w:rsidR="00430220" w:rsidRDefault="003746BB">
            <w:pPr>
              <w:spacing w:before="40" w:after="40"/>
            </w:pPr>
            <w:r>
              <w:t>Product Manager</w:t>
            </w:r>
          </w:p>
        </w:tc>
        <w:tc>
          <w:tcPr>
            <w:tcW w:w="1656" w:type="dxa"/>
            <w:shd w:val="clear" w:color="auto" w:fill="FFFFFF"/>
          </w:tcPr>
          <w:p w14:paraId="22272876" w14:textId="77777777" w:rsidR="00430220" w:rsidRDefault="003746BB">
            <w:pPr>
              <w:spacing w:before="40" w:after="40"/>
            </w:pPr>
            <w:r>
              <w:rPr>
                <w:b/>
              </w:rPr>
              <w:t>IN PROGRESS</w:t>
            </w:r>
          </w:p>
        </w:tc>
      </w:tr>
    </w:tbl>
    <w:p w14:paraId="09D079D1" w14:textId="77777777" w:rsidR="00430220" w:rsidRDefault="00430220">
      <w:pPr>
        <w:spacing w:after="120"/>
      </w:pPr>
    </w:p>
    <w:p w14:paraId="1DDDF3A9" w14:textId="77777777" w:rsidR="00430220" w:rsidRDefault="003746BB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66D95EBA" w14:textId="77777777" w:rsidR="00430220" w:rsidRDefault="003746BB">
      <w:pPr>
        <w:pStyle w:val="Heading2"/>
        <w:spacing w:after="80"/>
      </w:pPr>
      <w:r>
        <w:rPr>
          <w:color w:val="1E3A8A"/>
        </w:rPr>
        <w:t>3. Residual Risk Acceptance &amp; Executive Sign-Off</w:t>
      </w:r>
    </w:p>
    <w:p w14:paraId="3C13F896" w14:textId="77777777" w:rsidR="00430220" w:rsidRDefault="003746BB">
      <w:pPr>
        <w:spacing w:after="80"/>
      </w:pPr>
      <w:r>
        <w:t xml:space="preserve">By signing below, the executive leadership of TalentMatch AI B.V. confirms that the residual risks identified in </w:t>
      </w:r>
      <w:r>
        <w:rPr>
          <w:rFonts w:ascii="Consolas" w:hAnsi="Consolas"/>
          <w:color w:val="333333"/>
          <w:sz w:val="19"/>
        </w:rPr>
        <w:t>risk/ai-risk-register.md</w:t>
      </w:r>
      <w:r>
        <w:t xml:space="preserve"> are accepted as meeting corp</w:t>
      </w:r>
      <w:r>
        <w:t>orate risk appetite thresholds, and commercial deployment shall proceed upon completion of Gates 5 and 6.</w:t>
      </w:r>
    </w:p>
    <w:p w14:paraId="6534655C" w14:textId="59C3FC1D" w:rsidR="00430220" w:rsidRDefault="003746BB"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1E293B"/>
          <w:sz w:val="17"/>
        </w:rPr>
        <w:br/>
        <w:t xml:space="preserve">│                      EXECUTIVE BOARD COMPLIANCE SIGNatures          </w:t>
      </w:r>
      <w:r>
        <w:rPr>
          <w:rFonts w:ascii="Consolas" w:hAnsi="Consolas"/>
          <w:color w:val="1E293B"/>
          <w:sz w:val="17"/>
        </w:rPr>
        <w:t xml:space="preserve">        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1E293B"/>
          <w:sz w:val="17"/>
        </w:rPr>
        <w:br/>
        <w:t>│  Chief AI Officer (CAIO):               [SIGNED] Date: August 12, 2026      │</w:t>
      </w:r>
      <w:r>
        <w:rPr>
          <w:rFonts w:ascii="Consolas" w:hAnsi="Consolas"/>
          <w:color w:val="1E293B"/>
          <w:sz w:val="17"/>
        </w:rPr>
        <w:br/>
        <w:t>│  Chief Executive Officer (CEO):         [SIGNED] Date: August 12, 2026      │</w:t>
      </w:r>
      <w:r>
        <w:rPr>
          <w:rFonts w:ascii="Consolas" w:hAnsi="Consolas"/>
          <w:color w:val="1E293B"/>
          <w:sz w:val="17"/>
        </w:rPr>
        <w:br/>
        <w:t>│  Da</w:t>
      </w:r>
      <w:r>
        <w:rPr>
          <w:rFonts w:ascii="Consolas" w:hAnsi="Consolas"/>
          <w:color w:val="1E293B"/>
          <w:sz w:val="17"/>
        </w:rPr>
        <w:t>ta Protection Officer (DPO):         [SIGNED] Date: August 12, 2026      │</w:t>
      </w:r>
      <w:r>
        <w:rPr>
          <w:rFonts w:ascii="Consolas" w:hAnsi="Consolas"/>
          <w:color w:val="1E293B"/>
          <w:sz w:val="17"/>
        </w:rPr>
        <w:br/>
        <w:t>│  Head of AI Engineering:                [SIGNED] Date: August 12, 2026      │</w:t>
      </w:r>
      <w:r>
        <w:rPr>
          <w:rFonts w:ascii="Consolas" w:hAnsi="Consolas"/>
          <w:color w:val="1E293B"/>
          <w:sz w:val="17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sectPr w:rsidR="0043022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6BB"/>
    <w:rsid w:val="004302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CEE4C7"/>
  <w14:defaultImageDpi w14:val="300"/>
  <w15:docId w15:val="{1F938381-686F-4B6E-A68B-F076CCE7D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2</cp:revision>
  <dcterms:created xsi:type="dcterms:W3CDTF">2013-12-23T23:15:00Z</dcterms:created>
  <dcterms:modified xsi:type="dcterms:W3CDTF">2026-08-19T12:05:00Z</dcterms:modified>
  <cp:category/>
</cp:coreProperties>
</file>