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color w:val="0F172A"/>
        </w:rPr>
        <w:t>Human Oversight &amp; Anti-Automation Bias Protocol (EU AI Act Article 14)</w:t>
      </w:r>
    </w:p>
    <w:p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color w:val="1E3A8A"/>
        </w:rPr>
        <w:t>1. Statutory Framework (EU AI Act Article 14)</w:t>
      </w:r>
    </w:p>
    <w:p>
      <w:pPr>
        <w:spacing w:before="0" w:after="80"/>
      </w:pPr>
      <w:r>
        <w:rPr>
          <w:b/>
        </w:rPr>
        <w:t>Article 14 of Regulation (EU) 2024/1689</w:t>
      </w:r>
      <w:r>
        <w:t xml:space="preserve"> mandates that high-risk AI systems shall be designed and developed in such a way that natural persons can oversee their functioning, prevent or minimize risks to fundamental rights, and remain fully aware of the tendency to blindly rely on automated outputs (</w:t>
      </w:r>
      <w:r>
        <w:rPr>
          <w:b/>
        </w:rPr>
        <w:t>Automation Bias</w:t>
      </w:r>
      <w:r>
        <w:t>).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color w:val="1E3A8A"/>
        </w:rPr>
        <w:t>2. The Automation Bias Problem in Candidate Screening</w:t>
      </w:r>
    </w:p>
    <w:p>
      <w:pPr>
        <w:spacing w:before="0" w:after="80"/>
      </w:pPr>
      <w:r>
        <w:t xml:space="preserve">During operational field trials, TalentMatch AI B.V. observed a critical human oversight failure: recruiters spent an average of only </w:t>
      </w:r>
      <w:r>
        <w:rPr>
          <w:b/>
        </w:rPr>
        <w:t>45 seconds</w:t>
      </w:r>
      <w:r>
        <w:t xml:space="preserve"> per applicant profile, blindly confirming the top 5 AI-recommended candidates without independent review.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PERFORMATIVE VS EFFECTIVE HUMAN OVERSIGHT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 PERFORMATIVE OVERSIGHT (FAIL)           EFFECTIVE OVERSIGHT (ART 14 PASS) │</w:t>
        <w:br/>
        <w:t>│   ─────────────────────────────           ───────────────────────────────── │</w:t>
        <w:br/>
        <w:t>│   • Recruiter reviews CV in 45 sec.       • Mandatory 2-minute UI lock time.│</w:t>
        <w:br/>
        <w:t>│   • Accepts top AI scores blindly.        • AI scores hidden until blind    │</w:t>
        <w:br/>
        <w:t>│   • Automation bias ignores AI errors.    │ skill evaluation is completed.  │</w:t>
        <w:br/>
        <w:t>│   • Zero documented override rationale.   • Written rationale required for  │</w:t>
        <w:br/>
        <w:t>│                                           │ score discrepancies &gt; 25 points.│</w:t>
        <w:br/>
        <w:t>│   Result: Non-compliance with Art 14      Result: Meaningful human oversight│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color w:val="1E3A8A"/>
        </w:rPr>
        <w:t>3. Structural UI &amp; Operational Oversight Mechanisms</w:t>
      </w:r>
    </w:p>
    <w:p>
      <w:pPr>
        <w:spacing w:before="0" w:after="80"/>
      </w:pPr>
      <w:r>
        <w:t>To satisfy Article 14(4), TalentMatch AI v2.4 implements three mandatory UI interaction controls engineered directly into the recruiter console:</w:t>
      </w:r>
    </w:p>
    <w:p>
      <w:pPr>
        <w:pStyle w:val="Heading3"/>
        <w:spacing w:before="160" w:after="40"/>
      </w:pPr>
      <w:r>
        <w:t>3.1 Control HO-01: Mandatory 2-Minute UI Review Lock</w:t>
      </w:r>
    </w:p>
    <w:p>
      <w:pPr>
        <w:pStyle w:val="ListBullet"/>
        <w:spacing w:before="0" w:after="40"/>
      </w:pPr>
      <w:r>
        <w:rPr>
          <w:b/>
        </w:rPr>
        <w:t>Mechanism:</w:t>
      </w:r>
      <w:r>
        <w:t xml:space="preserve"> When a recruiter opens a candidate profile, the "Shortlist / Rejection Action" button remains locked and disabled for </w:t>
      </w:r>
      <w:r>
        <w:rPr>
          <w:b/>
        </w:rPr>
        <w:t>120 seconds</w:t>
      </w:r>
      <w:r>
        <w:t>.</w:t>
      </w:r>
    </w:p>
    <w:p>
      <w:pPr>
        <w:pStyle w:val="ListBullet"/>
        <w:spacing w:before="0" w:after="40"/>
      </w:pPr>
      <w:r>
        <w:rPr>
          <w:b/>
        </w:rPr>
        <w:t>Governance Function:</w:t>
      </w:r>
      <w:r>
        <w:t xml:space="preserve"> Prevents rapid rubber-stamping, forcing recruiters to read candidate work history and extracted skills before taking an operational hiring action.</w:t>
      </w:r>
    </w:p>
    <w:p>
      <w:pPr>
        <w:pStyle w:val="Heading3"/>
        <w:spacing w:before="160" w:after="40"/>
      </w:pPr>
      <w:r>
        <w:t>3.2 Control HO-02: Blind Initial Skill Evaluation</w:t>
      </w:r>
    </w:p>
    <w:p>
      <w:pPr>
        <w:pStyle w:val="ListBullet"/>
        <w:spacing w:before="0" w:after="40"/>
      </w:pPr>
      <w:r>
        <w:rPr>
          <w:b/>
        </w:rPr>
        <w:t>Mechanism:</w:t>
      </w:r>
      <w:r>
        <w:t xml:space="preserve"> The composite AI match score ($0–100$) and candidate ranking order are </w:t>
      </w:r>
      <w:r>
        <w:rPr>
          <w:b/>
        </w:rPr>
        <w:t>blurred and hidden</w:t>
      </w:r>
      <w:r>
        <w:t xml:space="preserve"> when the recruiter first views the candidate profile.</w:t>
      </w:r>
    </w:p>
    <w:p>
      <w:pPr>
        <w:pStyle w:val="ListBullet"/>
        <w:spacing w:before="0" w:after="40"/>
      </w:pPr>
      <w:r>
        <w:rPr>
          <w:b/>
        </w:rPr>
        <w:t>Governance Function:</w:t>
      </w:r>
      <w:r>
        <w:t xml:space="preserve"> The recruiter must assign an independent skill rating based on unranked candidate qualifications before the AI score is revealed, neutralizing initial cognitive framing bias.</w:t>
      </w:r>
    </w:p>
    <w:p>
      <w:pPr>
        <w:pStyle w:val="Heading3"/>
        <w:spacing w:before="160" w:after="40"/>
      </w:pPr>
      <w:r>
        <w:t>3.3 Control HO-03: Score Override Friction &amp; Justification Logging</w:t>
      </w:r>
    </w:p>
    <w:p>
      <w:pPr>
        <w:pStyle w:val="ListBullet"/>
        <w:spacing w:before="0" w:after="40"/>
      </w:pPr>
      <w:r>
        <w:rPr>
          <w:b/>
        </w:rPr>
        <w:t>Mechanism:</w:t>
      </w:r>
      <w:r>
        <w:t xml:space="preserve"> If a recruiter attempts to select a candidate whose AI match score is $&gt;25$ points below the shortlist threshold, or reject a candidate scoring in the top 5th percentile, the system requires a mandatory 50-word written justification.</w:t>
      </w:r>
    </w:p>
    <w:p>
      <w:pPr>
        <w:pStyle w:val="ListBullet"/>
        <w:spacing w:before="0" w:after="40"/>
      </w:pPr>
      <w:r>
        <w:rPr>
          <w:b/>
        </w:rPr>
        <w:t>Governance Function:</w:t>
      </w:r>
      <w:r>
        <w:t xml:space="preserve"> Enforces cognitive reflection and generates an auditable record of human oversight overrides stored in WORM audit logs.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sequenceDiagram</w:t>
        <w:br/>
        <w:t xml:space="preserve">    autonumber</w:t>
        <w:br/>
        <w:t xml:space="preserve">    actor Recruiter as Enterprise Recruiter</w:t>
        <w:br/>
        <w:t xml:space="preserve">    participant UI as TalentMatch Oversight UI</w:t>
        <w:br/>
        <w:t xml:space="preserve">    participant AI as TalentMatch Scoring Engine</w:t>
        <w:br/>
        <w:t xml:space="preserve">    participant Log as Compliance Audit Log</w:t>
        <w:br/>
        <w:br/>
        <w:t xml:space="preserve">    Recruiter-&gt;&gt;UI: Selects Candidate CV Profile</w:t>
        <w:br/>
        <w:t xml:space="preserve">    UI-&gt;&gt;AI: Fetch Candidate Data (Score Hidden)</w:t>
        <w:br/>
        <w:t xml:space="preserve">    UI--&gt;&gt;Recruiter: Displays CV Text + 120s Timer Lock</w:t>
        <w:br/>
        <w:t xml:space="preserve">    Note over Recruiter,UI: Recruiter evaluates skills during 2-minute lock</w:t>
        <w:br/>
        <w:t xml:space="preserve">    Recruiter-&gt;&gt;UI: Submits Independent Skill Rating</w:t>
        <w:br/>
        <w:t xml:space="preserve">    UI--&gt;&gt;Recruiter: Reveals AI Match Score &amp; Ranking</w:t>
        <w:br/>
        <w:t xml:space="preserve">    alt Score Discrepancy &gt; 25 Points</w:t>
        <w:br/>
        <w:t xml:space="preserve">        UI--&gt;&gt;Recruiter: Prompts Mandatory 50-word Rationale</w:t>
        <w:br/>
        <w:t xml:space="preserve">        Recruiter-&gt;&gt;UI: Enters Override Explanation</w:t>
        <w:br/>
        <w:t xml:space="preserve">    end</w:t>
        <w:br/>
        <w:t xml:space="preserve">    Recruiter-&gt;&gt;UI: Submits Final Shortlist Action</w:t>
        <w:br/>
        <w:t xml:space="preserve">    UI-&gt;&gt;Log: Records Recruiter Rating + AI Score + Time Lock Verification</w:t>
      </w:r>
    </w:p>
    <w:p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color w:val="1E3A8A"/>
        </w:rPr>
        <w:t>4. Oversight Personnel Qualifications &amp; Training (Article 14(2))</w:t>
      </w:r>
    </w:p>
    <w:p>
      <w:pPr>
        <w:pStyle w:val="ListNumber"/>
        <w:spacing w:before="0" w:after="40"/>
      </w:pPr>
      <w:r>
        <w:rPr>
          <w:b/>
        </w:rPr>
        <w:t>Mandatory Certification:</w:t>
      </w:r>
      <w:r>
        <w:t xml:space="preserve"> Recruiter access accounts are gated behind completion of the </w:t>
      </w:r>
      <w:r>
        <w:rPr>
          <w:b/>
        </w:rPr>
        <w:t>TalentMatch AI Article 14 Human Oversight Training Module</w:t>
      </w:r>
      <w:r>
        <w:t>.</w:t>
      </w:r>
    </w:p>
    <w:p>
      <w:pPr>
        <w:pStyle w:val="ListNumber"/>
        <w:spacing w:before="0" w:after="40"/>
      </w:pPr>
      <w:r>
        <w:rPr>
          <w:b/>
        </w:rPr>
        <w:t>Authority to Override:</w:t>
      </w:r>
      <w:r>
        <w:t xml:space="preserve"> Enterprise contracts explicitly stipulate that recruiters hold total legal and operational authority to reject AI recommendations without corporate penalty.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