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666A4" w14:textId="77777777" w:rsidR="00480A5F" w:rsidRDefault="00750399">
      <w:pPr>
        <w:pStyle w:val="Heading1"/>
        <w:spacing w:before="240" w:after="120"/>
      </w:pPr>
      <w:r>
        <w:rPr>
          <w:color w:val="0F172A"/>
        </w:rPr>
        <w:t>Technical Documentation &amp; Model Governance (EU AI Act Article 11 &amp; Annex IV)</w:t>
      </w:r>
    </w:p>
    <w:p w14:paraId="2E7C8A67" w14:textId="77777777" w:rsidR="00480A5F" w:rsidRDefault="00750399">
      <w:pPr>
        <w:spacing w:before="80" w:after="80"/>
        <w:ind w:left="432"/>
      </w:pPr>
      <w:r>
        <w:rPr>
          <w:b/>
          <w:i/>
          <w:color w:val="475569"/>
        </w:rPr>
        <w:t>PORTFOLIO DISCLAIMER:</w:t>
      </w:r>
      <w:r>
        <w:rPr>
          <w:i/>
          <w:color w:val="475569"/>
        </w:rPr>
        <w:t xml:space="preserve"> This document is part of a simulated AI Governance GRC portfolio case study representing TalentMatch AI B.V. It does not represent a real commercial entity, live regulatory filing, or active certification under Regulation (EU) 2024/1689.</w:t>
      </w:r>
    </w:p>
    <w:p w14:paraId="7AD66FC0" w14:textId="77777777" w:rsidR="00480A5F" w:rsidRDefault="00750399">
      <w:pPr>
        <w:spacing w:before="80" w:after="80"/>
      </w:pPr>
      <w:r>
        <w:rPr>
          <w:color w:val="CBD5E1"/>
        </w:rPr>
        <w:t>―――――――――――――――――</w:t>
      </w:r>
      <w:r>
        <w:rPr>
          <w:color w:val="CBD5E1"/>
        </w:rPr>
        <w:t>―――――――――――――――――――――――</w:t>
      </w:r>
    </w:p>
    <w:p w14:paraId="0F8A0CE4" w14:textId="77777777" w:rsidR="00480A5F" w:rsidRDefault="00750399">
      <w:pPr>
        <w:pStyle w:val="Heading2"/>
        <w:spacing w:after="80"/>
      </w:pPr>
      <w:r>
        <w:rPr>
          <w:color w:val="1E3A8A"/>
        </w:rPr>
        <w:t>1. Statutory Scope (EU AI Act Article 11 &amp; Annex IV)</w:t>
      </w:r>
    </w:p>
    <w:p w14:paraId="3E1D4F49" w14:textId="77777777" w:rsidR="00480A5F" w:rsidRDefault="00750399">
      <w:pPr>
        <w:spacing w:after="80"/>
      </w:pPr>
      <w:r>
        <w:rPr>
          <w:b/>
        </w:rPr>
        <w:t>Article 11 of Regulation (EU) 2024/1689</w:t>
      </w:r>
      <w:r>
        <w:t xml:space="preserve"> mandates that the technical documentation of a high-risk AI system shall be drawn up before that system is placed on the market or put into</w:t>
      </w:r>
      <w:r>
        <w:t xml:space="preserve"> service and shall be kept up to date. The technical documentation must contain the elements set out in </w:t>
      </w:r>
      <w:r>
        <w:rPr>
          <w:b/>
        </w:rPr>
        <w:t>Annex IV</w:t>
      </w:r>
      <w:r>
        <w:t>.</w:t>
      </w:r>
    </w:p>
    <w:p w14:paraId="05776FCD" w14:textId="77777777" w:rsidR="00480A5F" w:rsidRDefault="00750399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5208BB80" w14:textId="77777777" w:rsidR="00480A5F" w:rsidRDefault="00750399">
      <w:pPr>
        <w:pStyle w:val="Heading2"/>
        <w:spacing w:after="80"/>
      </w:pPr>
      <w:r>
        <w:rPr>
          <w:color w:val="1E3A8A"/>
        </w:rPr>
        <w:t>2. Model Card &amp; Governance Specification</w:t>
      </w:r>
    </w:p>
    <w:p w14:paraId="340E07E6" w14:textId="7B272B1A" w:rsidR="00480A5F" w:rsidRDefault="00750399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</w:t>
      </w:r>
      <w:r>
        <w:rPr>
          <w:rFonts w:ascii="Consolas" w:hAnsi="Consolas"/>
          <w:color w:val="1E293B"/>
          <w:sz w:val="17"/>
        </w:rPr>
        <w:t>──────────────────┐</w:t>
      </w:r>
      <w:r>
        <w:rPr>
          <w:rFonts w:ascii="Consolas" w:hAnsi="Consolas"/>
          <w:color w:val="1E293B"/>
          <w:sz w:val="17"/>
        </w:rPr>
        <w:br/>
        <w:t>│                    TALENTMATCH AI v2.4 MODEL CARD                           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 xml:space="preserve">│  Model Identifier      │ TalentMatch XGBoost Candidate Ranker v2.4.1      </w:t>
      </w:r>
      <w:r>
        <w:rPr>
          <w:rFonts w:ascii="Consolas" w:hAnsi="Consolas"/>
          <w:color w:val="1E293B"/>
          <w:sz w:val="17"/>
        </w:rPr>
        <w:t xml:space="preserve">  │</w:t>
      </w:r>
      <w:r>
        <w:rPr>
          <w:rFonts w:ascii="Consolas" w:hAnsi="Consolas"/>
          <w:color w:val="1E293B"/>
          <w:sz w:val="17"/>
        </w:rPr>
        <w:br/>
        <w:t>│  Model Type            │ Gradient Boosted Decision Trees (XGBoost Regressor)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│  NLP Pre-processor     │ Fine-tuned BERT Large Cased (Transformer Encoder)  │</w:t>
      </w:r>
      <w:r>
        <w:rPr>
          <w:rFonts w:ascii="Consolas" w:hAnsi="Consolas"/>
          <w:color w:val="1E293B"/>
          <w:sz w:val="17"/>
        </w:rPr>
        <w:br/>
        <w:t xml:space="preserve">│  Release Date          │ August 2026                                      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│  Develop</w:t>
      </w:r>
      <w:r>
        <w:rPr>
          <w:rFonts w:ascii="Consolas" w:hAnsi="Consolas"/>
          <w:color w:val="1E293B"/>
          <w:sz w:val="17"/>
        </w:rPr>
        <w:t xml:space="preserve">er             │ TalentMatch AI B.V. (Amsterdam, Netherlands)     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│  Model Registry URI    │ s3://cna-model-registry-prod/talentmatch-v2.4.1/   │</w:t>
      </w:r>
      <w:r>
        <w:rPr>
          <w:rFonts w:ascii="Consolas" w:hAnsi="Consolas"/>
          <w:color w:val="1E293B"/>
          <w:sz w:val="17"/>
        </w:rPr>
        <w:br/>
        <w:t>│  Model Hash (SHA-256)  │ e3b0c44298fc1c149afbf4c8996fb92427ae41e4649b934ca..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 xml:space="preserve">│  License             </w:t>
      </w:r>
      <w:r>
        <w:rPr>
          <w:rFonts w:ascii="Consolas" w:hAnsi="Consolas"/>
          <w:color w:val="1E293B"/>
          <w:sz w:val="17"/>
        </w:rPr>
        <w:t xml:space="preserve">  │ Commercial B2B SaaS License                      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951D9B3" w14:textId="77777777" w:rsidR="00480A5F" w:rsidRDefault="00750399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74196504" w14:textId="77777777" w:rsidR="00480A5F" w:rsidRDefault="00750399">
      <w:pPr>
        <w:pStyle w:val="Heading2"/>
        <w:spacing w:after="80"/>
      </w:pPr>
      <w:r>
        <w:rPr>
          <w:color w:val="1E3A8A"/>
        </w:rPr>
        <w:t>3. Annex IV Compliance Mapping</w:t>
      </w:r>
    </w:p>
    <w:p w14:paraId="0D45451D" w14:textId="77777777" w:rsidR="00480A5F" w:rsidRDefault="00750399">
      <w:pPr>
        <w:spacing w:after="80"/>
      </w:pPr>
      <w:r>
        <w:t>The table below maps each mandatory section of</w:t>
      </w:r>
      <w:r>
        <w:t xml:space="preserve"> </w:t>
      </w:r>
      <w:r>
        <w:rPr>
          <w:b/>
        </w:rPr>
        <w:t>Annex IV</w:t>
      </w:r>
      <w:r>
        <w:t xml:space="preserve"> to its corresponding technical documentation artifact: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403"/>
      </w:tblGrid>
      <w:tr w:rsidR="00480A5F" w14:paraId="58BDE8C0" w14:textId="77777777" w:rsidTr="00750399">
        <w:trPr>
          <w:jc w:val="center"/>
        </w:trPr>
        <w:tc>
          <w:tcPr>
            <w:tcW w:w="3312" w:type="dxa"/>
            <w:shd w:val="clear" w:color="auto" w:fill="1E293B"/>
          </w:tcPr>
          <w:p w14:paraId="35792A59" w14:textId="77777777" w:rsidR="00480A5F" w:rsidRDefault="00750399">
            <w:pPr>
              <w:spacing w:before="40" w:after="40"/>
            </w:pPr>
            <w:r>
              <w:rPr>
                <w:b/>
                <w:color w:val="FFFFFF"/>
              </w:rPr>
              <w:t>Annex IV Requirement</w:t>
            </w:r>
          </w:p>
        </w:tc>
        <w:tc>
          <w:tcPr>
            <w:tcW w:w="3312" w:type="dxa"/>
            <w:shd w:val="clear" w:color="auto" w:fill="1E293B"/>
          </w:tcPr>
          <w:p w14:paraId="045A76BF" w14:textId="77777777" w:rsidR="00480A5F" w:rsidRDefault="00750399">
            <w:pPr>
              <w:spacing w:before="40" w:after="40"/>
            </w:pPr>
            <w:r>
              <w:rPr>
                <w:b/>
                <w:color w:val="FFFFFF"/>
              </w:rPr>
              <w:t>Statutory Description</w:t>
            </w:r>
          </w:p>
        </w:tc>
        <w:tc>
          <w:tcPr>
            <w:tcW w:w="3312" w:type="dxa"/>
            <w:shd w:val="clear" w:color="auto" w:fill="1E293B"/>
          </w:tcPr>
          <w:p w14:paraId="1D8A2BC5" w14:textId="77777777" w:rsidR="00480A5F" w:rsidRDefault="00750399">
            <w:pPr>
              <w:spacing w:before="40" w:after="40"/>
            </w:pPr>
            <w:r>
              <w:rPr>
                <w:b/>
                <w:color w:val="FFFFFF"/>
              </w:rPr>
              <w:t>TalentMatch Technical Control &amp; Location</w:t>
            </w:r>
          </w:p>
        </w:tc>
      </w:tr>
      <w:tr w:rsidR="00480A5F" w14:paraId="4A39B7F7" w14:textId="77777777" w:rsidTr="00750399">
        <w:trPr>
          <w:jc w:val="center"/>
        </w:trPr>
        <w:tc>
          <w:tcPr>
            <w:tcW w:w="3312" w:type="dxa"/>
            <w:shd w:val="clear" w:color="auto" w:fill="F8FAFC"/>
          </w:tcPr>
          <w:p w14:paraId="0896F2D5" w14:textId="77777777" w:rsidR="00480A5F" w:rsidRDefault="00750399">
            <w:pPr>
              <w:spacing w:before="40" w:after="40"/>
            </w:pPr>
            <w:r>
              <w:rPr>
                <w:b/>
              </w:rPr>
              <w:t>Annex IV 1(a)</w:t>
            </w:r>
          </w:p>
        </w:tc>
        <w:tc>
          <w:tcPr>
            <w:tcW w:w="3312" w:type="dxa"/>
            <w:shd w:val="clear" w:color="auto" w:fill="F8FAFC"/>
          </w:tcPr>
          <w:p w14:paraId="21EE8A21" w14:textId="77777777" w:rsidR="00480A5F" w:rsidRDefault="00750399">
            <w:pPr>
              <w:spacing w:before="40" w:after="40"/>
            </w:pPr>
            <w:r>
              <w:t>General description of the AI system, intended purpose, and versioning.</w:t>
            </w:r>
          </w:p>
        </w:tc>
        <w:tc>
          <w:tcPr>
            <w:tcW w:w="3312" w:type="dxa"/>
            <w:shd w:val="clear" w:color="auto" w:fill="F8FAFC"/>
          </w:tcPr>
          <w:p w14:paraId="5735E908" w14:textId="77777777" w:rsidR="00480A5F" w:rsidRDefault="00750399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ai-system/system-description.md</w:t>
            </w:r>
            <w:r>
              <w:t xml:space="preserve"> &amp; Model Card v2.4.1.</w:t>
            </w:r>
          </w:p>
        </w:tc>
      </w:tr>
      <w:tr w:rsidR="00480A5F" w14:paraId="15781843" w14:textId="77777777" w:rsidTr="00750399">
        <w:trPr>
          <w:jc w:val="center"/>
        </w:trPr>
        <w:tc>
          <w:tcPr>
            <w:tcW w:w="3312" w:type="dxa"/>
            <w:shd w:val="clear" w:color="auto" w:fill="FFFFFF"/>
          </w:tcPr>
          <w:p w14:paraId="23535354" w14:textId="77777777" w:rsidR="00480A5F" w:rsidRDefault="00750399">
            <w:pPr>
              <w:spacing w:before="40" w:after="40"/>
            </w:pPr>
            <w:r>
              <w:rPr>
                <w:b/>
              </w:rPr>
              <w:t>Annex IV 1(b)</w:t>
            </w:r>
          </w:p>
        </w:tc>
        <w:tc>
          <w:tcPr>
            <w:tcW w:w="3312" w:type="dxa"/>
            <w:shd w:val="clear" w:color="auto" w:fill="FFFFFF"/>
          </w:tcPr>
          <w:p w14:paraId="4EB073C3" w14:textId="77777777" w:rsidR="00480A5F" w:rsidRDefault="00750399">
            <w:pPr>
              <w:spacing w:before="40" w:after="40"/>
            </w:pPr>
            <w:r>
              <w:t>Detailed description of elements of the system and development process.</w:t>
            </w:r>
          </w:p>
        </w:tc>
        <w:tc>
          <w:tcPr>
            <w:tcW w:w="3312" w:type="dxa"/>
            <w:shd w:val="clear" w:color="auto" w:fill="FFFFFF"/>
          </w:tcPr>
          <w:p w14:paraId="6255ED29" w14:textId="77777777" w:rsidR="00480A5F" w:rsidRDefault="00750399">
            <w:pPr>
              <w:spacing w:before="40" w:after="40"/>
            </w:pPr>
            <w:r>
              <w:t>Architecture diagram, BERT tokenization pipeline, XGBoost HCL config.</w:t>
            </w:r>
          </w:p>
        </w:tc>
      </w:tr>
      <w:tr w:rsidR="00480A5F" w14:paraId="1CD236C5" w14:textId="77777777" w:rsidTr="00750399">
        <w:trPr>
          <w:jc w:val="center"/>
        </w:trPr>
        <w:tc>
          <w:tcPr>
            <w:tcW w:w="3312" w:type="dxa"/>
            <w:shd w:val="clear" w:color="auto" w:fill="F8FAFC"/>
          </w:tcPr>
          <w:p w14:paraId="3B477810" w14:textId="77777777" w:rsidR="00480A5F" w:rsidRDefault="00750399">
            <w:pPr>
              <w:spacing w:before="40" w:after="40"/>
            </w:pPr>
            <w:r>
              <w:rPr>
                <w:b/>
              </w:rPr>
              <w:t>Annex IV 1(c)</w:t>
            </w:r>
          </w:p>
        </w:tc>
        <w:tc>
          <w:tcPr>
            <w:tcW w:w="3312" w:type="dxa"/>
            <w:shd w:val="clear" w:color="auto" w:fill="F8FAFC"/>
          </w:tcPr>
          <w:p w14:paraId="3FD5E0B8" w14:textId="77777777" w:rsidR="00480A5F" w:rsidRDefault="00750399">
            <w:pPr>
              <w:spacing w:before="40" w:after="40"/>
            </w:pPr>
            <w:r>
              <w:t xml:space="preserve">Information on the </w:t>
            </w:r>
            <w:r>
              <w:t>operational logic, algorithms, and hyperparameters.</w:t>
            </w:r>
          </w:p>
        </w:tc>
        <w:tc>
          <w:tcPr>
            <w:tcW w:w="3312" w:type="dxa"/>
            <w:shd w:val="clear" w:color="auto" w:fill="F8FAFC"/>
          </w:tcPr>
          <w:p w14:paraId="0B1AC3B2" w14:textId="77777777" w:rsidR="00480A5F" w:rsidRDefault="00750399">
            <w:pPr>
              <w:spacing w:before="40" w:after="40"/>
            </w:pPr>
            <w:r>
              <w:t>XGBoost hyperparameters (</w:t>
            </w:r>
            <w:r>
              <w:rPr>
                <w:rFonts w:ascii="Consolas" w:hAnsi="Consolas"/>
                <w:color w:val="333333"/>
                <w:sz w:val="19"/>
              </w:rPr>
              <w:t>max_depth=6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learning_rate=0.05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n_estimators=300</w:t>
            </w:r>
            <w:r>
              <w:t>).</w:t>
            </w:r>
          </w:p>
        </w:tc>
      </w:tr>
      <w:tr w:rsidR="00480A5F" w14:paraId="717E9A3E" w14:textId="77777777" w:rsidTr="00750399">
        <w:trPr>
          <w:jc w:val="center"/>
        </w:trPr>
        <w:tc>
          <w:tcPr>
            <w:tcW w:w="3312" w:type="dxa"/>
            <w:shd w:val="clear" w:color="auto" w:fill="FFFFFF"/>
          </w:tcPr>
          <w:p w14:paraId="478BD265" w14:textId="77777777" w:rsidR="00480A5F" w:rsidRDefault="00750399">
            <w:pPr>
              <w:spacing w:before="40" w:after="40"/>
            </w:pPr>
            <w:r>
              <w:rPr>
                <w:b/>
              </w:rPr>
              <w:t>Annex IV 1(d)</w:t>
            </w:r>
          </w:p>
        </w:tc>
        <w:tc>
          <w:tcPr>
            <w:tcW w:w="3312" w:type="dxa"/>
            <w:shd w:val="clear" w:color="auto" w:fill="FFFFFF"/>
          </w:tcPr>
          <w:p w14:paraId="5A135AAF" w14:textId="77777777" w:rsidR="00480A5F" w:rsidRDefault="00750399">
            <w:pPr>
              <w:spacing w:before="40" w:after="40"/>
            </w:pPr>
            <w:r>
              <w:t>Description of data governance, training sets, and proxy masking.</w:t>
            </w:r>
          </w:p>
        </w:tc>
        <w:tc>
          <w:tcPr>
            <w:tcW w:w="3312" w:type="dxa"/>
            <w:shd w:val="clear" w:color="auto" w:fill="FFFFFF"/>
          </w:tcPr>
          <w:p w14:paraId="338ADE4A" w14:textId="77777777" w:rsidR="00480A5F" w:rsidRDefault="00750399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data-governance/data-governance.md</w:t>
            </w:r>
            <w:r>
              <w:t xml:space="preserve"> &amp; Spacy NER</w:t>
            </w:r>
            <w:r>
              <w:t xml:space="preserve"> proxy </w:t>
            </w:r>
            <w:r>
              <w:lastRenderedPageBreak/>
              <w:t>masking logs.</w:t>
            </w:r>
          </w:p>
        </w:tc>
      </w:tr>
      <w:tr w:rsidR="00480A5F" w14:paraId="68BFBEF7" w14:textId="77777777" w:rsidTr="00750399">
        <w:trPr>
          <w:jc w:val="center"/>
        </w:trPr>
        <w:tc>
          <w:tcPr>
            <w:tcW w:w="3312" w:type="dxa"/>
            <w:shd w:val="clear" w:color="auto" w:fill="F8FAFC"/>
          </w:tcPr>
          <w:p w14:paraId="20F022CE" w14:textId="77777777" w:rsidR="00480A5F" w:rsidRDefault="00750399">
            <w:pPr>
              <w:spacing w:before="40" w:after="40"/>
            </w:pPr>
            <w:r>
              <w:rPr>
                <w:b/>
              </w:rPr>
              <w:lastRenderedPageBreak/>
              <w:t>Annex IV 1(e)</w:t>
            </w:r>
          </w:p>
        </w:tc>
        <w:tc>
          <w:tcPr>
            <w:tcW w:w="3312" w:type="dxa"/>
            <w:shd w:val="clear" w:color="auto" w:fill="F8FAFC"/>
          </w:tcPr>
          <w:p w14:paraId="3773EA11" w14:textId="77777777" w:rsidR="00480A5F" w:rsidRDefault="00750399">
            <w:pPr>
              <w:spacing w:before="40" w:after="40"/>
            </w:pPr>
            <w:r>
              <w:t>Description of human oversight measures under Article 14.</w:t>
            </w:r>
          </w:p>
        </w:tc>
        <w:tc>
          <w:tcPr>
            <w:tcW w:w="3312" w:type="dxa"/>
            <w:shd w:val="clear" w:color="auto" w:fill="F8FAFC"/>
          </w:tcPr>
          <w:p w14:paraId="74E74E9C" w14:textId="77777777" w:rsidR="00480A5F" w:rsidRDefault="00750399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human-oversight/human-oversight.md</w:t>
            </w:r>
            <w:r>
              <w:t xml:space="preserve"> &amp; UI time lock specification.</w:t>
            </w:r>
          </w:p>
        </w:tc>
      </w:tr>
      <w:tr w:rsidR="00480A5F" w14:paraId="6293E7B3" w14:textId="77777777" w:rsidTr="00750399">
        <w:trPr>
          <w:jc w:val="center"/>
        </w:trPr>
        <w:tc>
          <w:tcPr>
            <w:tcW w:w="3312" w:type="dxa"/>
            <w:shd w:val="clear" w:color="auto" w:fill="FFFFFF"/>
          </w:tcPr>
          <w:p w14:paraId="1F0DF328" w14:textId="77777777" w:rsidR="00480A5F" w:rsidRDefault="00750399">
            <w:pPr>
              <w:spacing w:before="40" w:after="40"/>
            </w:pPr>
            <w:r>
              <w:rPr>
                <w:b/>
              </w:rPr>
              <w:t>Annex IV 1(f)</w:t>
            </w:r>
          </w:p>
        </w:tc>
        <w:tc>
          <w:tcPr>
            <w:tcW w:w="3312" w:type="dxa"/>
            <w:shd w:val="clear" w:color="auto" w:fill="FFFFFF"/>
          </w:tcPr>
          <w:p w14:paraId="75360ECF" w14:textId="77777777" w:rsidR="00480A5F" w:rsidRDefault="00750399">
            <w:pPr>
              <w:spacing w:before="40" w:after="40"/>
            </w:pPr>
            <w:r>
              <w:t>Metrics on accuracy, robustness, and cybersecurity under Article 15.</w:t>
            </w:r>
          </w:p>
        </w:tc>
        <w:tc>
          <w:tcPr>
            <w:tcW w:w="3312" w:type="dxa"/>
            <w:shd w:val="clear" w:color="auto" w:fill="FFFFFF"/>
          </w:tcPr>
          <w:p w14:paraId="35E30DC4" w14:textId="77777777" w:rsidR="00480A5F" w:rsidRDefault="00750399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testing/performance-testing.md</w:t>
            </w:r>
            <w:r>
              <w:t xml:space="preserve"> &amp; </w:t>
            </w:r>
            <w:r>
              <w:rPr>
                <w:rFonts w:ascii="Consolas" w:hAnsi="Consolas"/>
                <w:color w:val="333333"/>
                <w:sz w:val="19"/>
              </w:rPr>
              <w:t>cybersecurity/cybersecurity.md</w:t>
            </w:r>
            <w:r>
              <w:t>.</w:t>
            </w:r>
          </w:p>
        </w:tc>
      </w:tr>
      <w:tr w:rsidR="00480A5F" w14:paraId="5DAB3DC1" w14:textId="77777777" w:rsidTr="00750399">
        <w:trPr>
          <w:jc w:val="center"/>
        </w:trPr>
        <w:tc>
          <w:tcPr>
            <w:tcW w:w="3312" w:type="dxa"/>
            <w:shd w:val="clear" w:color="auto" w:fill="F8FAFC"/>
          </w:tcPr>
          <w:p w14:paraId="5F2CB383" w14:textId="77777777" w:rsidR="00480A5F" w:rsidRDefault="00750399">
            <w:pPr>
              <w:spacing w:before="40" w:after="40"/>
            </w:pPr>
            <w:r>
              <w:rPr>
                <w:b/>
              </w:rPr>
              <w:t>Annex IV 1(g)</w:t>
            </w:r>
          </w:p>
        </w:tc>
        <w:tc>
          <w:tcPr>
            <w:tcW w:w="3312" w:type="dxa"/>
            <w:shd w:val="clear" w:color="auto" w:fill="F8FAFC"/>
          </w:tcPr>
          <w:p w14:paraId="50EFA199" w14:textId="77777777" w:rsidR="00480A5F" w:rsidRDefault="00750399">
            <w:pPr>
              <w:spacing w:before="40" w:after="40"/>
            </w:pPr>
            <w:r>
              <w:t>Risk management system specification under Article 9.</w:t>
            </w:r>
          </w:p>
        </w:tc>
        <w:tc>
          <w:tcPr>
            <w:tcW w:w="3312" w:type="dxa"/>
            <w:shd w:val="clear" w:color="auto" w:fill="F8FAFC"/>
          </w:tcPr>
          <w:p w14:paraId="141751D6" w14:textId="77777777" w:rsidR="00480A5F" w:rsidRDefault="00750399">
            <w:pPr>
              <w:spacing w:before="40" w:after="40"/>
            </w:pPr>
            <w:r>
              <w:rPr>
                <w:rFonts w:ascii="Consolas" w:hAnsi="Consolas"/>
                <w:color w:val="333333"/>
                <w:sz w:val="19"/>
              </w:rPr>
              <w:t>risk/ai-risk-register.md</w:t>
            </w:r>
            <w:r>
              <w:t xml:space="preserve"> &amp; </w:t>
            </w:r>
            <w:r>
              <w:rPr>
                <w:rFonts w:ascii="Consolas" w:hAnsi="Consolas"/>
                <w:color w:val="333333"/>
                <w:sz w:val="19"/>
              </w:rPr>
              <w:t>risk/risk-treatment-plan.md</w:t>
            </w:r>
            <w:r>
              <w:t>.</w:t>
            </w:r>
          </w:p>
        </w:tc>
      </w:tr>
      <w:tr w:rsidR="00480A5F" w14:paraId="1A0E653F" w14:textId="77777777" w:rsidTr="00750399">
        <w:trPr>
          <w:jc w:val="center"/>
        </w:trPr>
        <w:tc>
          <w:tcPr>
            <w:tcW w:w="3312" w:type="dxa"/>
            <w:shd w:val="clear" w:color="auto" w:fill="FFFFFF"/>
          </w:tcPr>
          <w:p w14:paraId="0D6D0C1A" w14:textId="77777777" w:rsidR="00480A5F" w:rsidRDefault="00750399">
            <w:pPr>
              <w:spacing w:before="40" w:after="40"/>
            </w:pPr>
            <w:r>
              <w:rPr>
                <w:b/>
              </w:rPr>
              <w:t>Annex IV 2</w:t>
            </w:r>
          </w:p>
        </w:tc>
        <w:tc>
          <w:tcPr>
            <w:tcW w:w="3312" w:type="dxa"/>
            <w:shd w:val="clear" w:color="auto" w:fill="FFFFFF"/>
          </w:tcPr>
          <w:p w14:paraId="2B760602" w14:textId="77777777" w:rsidR="00480A5F" w:rsidRDefault="00750399">
            <w:pPr>
              <w:spacing w:before="40" w:after="40"/>
            </w:pPr>
            <w:r>
              <w:t xml:space="preserve">Description of changes made throughout the </w:t>
            </w:r>
            <w:r>
              <w:t>system lifecycle.</w:t>
            </w:r>
          </w:p>
        </w:tc>
        <w:tc>
          <w:tcPr>
            <w:tcW w:w="3312" w:type="dxa"/>
            <w:shd w:val="clear" w:color="auto" w:fill="FFFFFF"/>
          </w:tcPr>
          <w:p w14:paraId="69D135EB" w14:textId="77777777" w:rsidR="00480A5F" w:rsidRDefault="00750399">
            <w:pPr>
              <w:spacing w:before="40" w:after="40"/>
            </w:pPr>
            <w:r>
              <w:t>MLflow artifact registry, Git commit logs, and semantic versioning history.</w:t>
            </w:r>
          </w:p>
        </w:tc>
      </w:tr>
    </w:tbl>
    <w:p w14:paraId="354ED271" w14:textId="77777777" w:rsidR="00480A5F" w:rsidRDefault="00480A5F">
      <w:pPr>
        <w:spacing w:after="120"/>
      </w:pPr>
    </w:p>
    <w:p w14:paraId="2BEC0781" w14:textId="77777777" w:rsidR="00480A5F" w:rsidRDefault="00750399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18E89A29" w14:textId="77777777" w:rsidR="00480A5F" w:rsidRDefault="00750399">
      <w:pPr>
        <w:pStyle w:val="Heading2"/>
        <w:spacing w:after="80"/>
      </w:pPr>
      <w:r>
        <w:rPr>
          <w:color w:val="1E3A8A"/>
        </w:rPr>
        <w:t>4. Model Versioning &amp; MLflow Artifact Governance</w:t>
      </w:r>
    </w:p>
    <w:p w14:paraId="2E6ED683" w14:textId="77777777" w:rsidR="00480A5F" w:rsidRDefault="00750399">
      <w:pPr>
        <w:pStyle w:val="ListNumber"/>
        <w:spacing w:after="40"/>
      </w:pPr>
      <w:r>
        <w:rPr>
          <w:b/>
        </w:rPr>
        <w:t>Immutable Model Registry:</w:t>
      </w:r>
      <w:r>
        <w:t xml:space="preserve"> Production model weights are stored in WORM S3 buckets managed by MLflow (</w:t>
      </w:r>
      <w:r>
        <w:rPr>
          <w:rFonts w:ascii="Consolas" w:hAnsi="Consolas"/>
          <w:color w:val="333333"/>
          <w:sz w:val="19"/>
        </w:rPr>
        <w:t>s3://cna-model-registry-prod/</w:t>
      </w:r>
      <w:r>
        <w:t>).</w:t>
      </w:r>
    </w:p>
    <w:p w14:paraId="6D281B3B" w14:textId="77777777" w:rsidR="00480A5F" w:rsidRDefault="00750399">
      <w:pPr>
        <w:pStyle w:val="ListNumber"/>
        <w:spacing w:after="40"/>
      </w:pPr>
      <w:r>
        <w:rPr>
          <w:b/>
        </w:rPr>
        <w:t>Reproducibility:</w:t>
      </w:r>
      <w:r>
        <w:t xml:space="preserve"> Every trained model version is cryptographically signed with SHA-256 hashes linking back to exact training data commits, hyperparame</w:t>
      </w:r>
      <w:r>
        <w:t>ter configuration files, and evaluation run IDs.</w:t>
      </w:r>
    </w:p>
    <w:p w14:paraId="36A996C1" w14:textId="77777777" w:rsidR="00480A5F" w:rsidRDefault="00750399">
      <w:pPr>
        <w:pStyle w:val="ListNumber"/>
        <w:spacing w:after="40"/>
      </w:pPr>
      <w:r>
        <w:rPr>
          <w:b/>
        </w:rPr>
        <w:t>Retraining Governance:</w:t>
      </w:r>
      <w:r>
        <w:t xml:space="preserve"> Automated retraining pipelines require a green sign-off from the </w:t>
      </w:r>
      <w:r>
        <w:rPr>
          <w:b/>
        </w:rPr>
        <w:t>Fairness Auditor</w:t>
      </w:r>
      <w:r>
        <w:t xml:space="preserve"> (verifying DIR $\ge 0.80$) before new model weights can be promoted to production.</w:t>
      </w:r>
    </w:p>
    <w:sectPr w:rsidR="00480A5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A5F"/>
    <w:rsid w:val="005306C6"/>
    <w:rsid w:val="007503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5EE8E8"/>
  <w14:defaultImageDpi w14:val="300"/>
  <w15:docId w15:val="{C8564DB8-CA3D-4FB6-9BA8-6D6AB75ED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3</cp:revision>
  <dcterms:created xsi:type="dcterms:W3CDTF">2013-12-23T23:15:00Z</dcterms:created>
  <dcterms:modified xsi:type="dcterms:W3CDTF">2026-08-19T12:06:00Z</dcterms:modified>
  <cp:category/>
</cp:coreProperties>
</file>