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2B89B" w14:textId="77777777" w:rsidR="00B96260" w:rsidRDefault="005F6314">
      <w:pPr>
        <w:pStyle w:val="Heading1"/>
        <w:spacing w:before="240" w:after="120"/>
      </w:pPr>
      <w:r>
        <w:rPr>
          <w:color w:val="0F172A"/>
        </w:rPr>
        <w:t>Post-Market Monitoring Plan (EU AI Act Article 72)</w:t>
      </w:r>
    </w:p>
    <w:p w14:paraId="3950F524" w14:textId="77777777" w:rsidR="00B96260" w:rsidRDefault="005F6314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71D93008" w14:textId="77777777" w:rsidR="00B96260" w:rsidRDefault="005F6314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34148776" w14:textId="77777777" w:rsidR="00B96260" w:rsidRDefault="005F6314">
      <w:pPr>
        <w:pStyle w:val="Heading2"/>
        <w:spacing w:after="80"/>
      </w:pPr>
      <w:r>
        <w:rPr>
          <w:color w:val="1E3A8A"/>
        </w:rPr>
        <w:t>1. Statutory Context (EU AI Act Article 72)</w:t>
      </w:r>
    </w:p>
    <w:p w14:paraId="129D8AB8" w14:textId="77777777" w:rsidR="00B96260" w:rsidRDefault="005F6314">
      <w:pPr>
        <w:spacing w:after="80"/>
      </w:pPr>
      <w:r>
        <w:rPr>
          <w:b/>
        </w:rPr>
        <w:t>Article 72 of Regulation (EU) 2024/1689</w:t>
      </w:r>
      <w:r>
        <w:t xml:space="preserve"> mandates that providers shall establish and document a </w:t>
      </w:r>
      <w:r>
        <w:rPr>
          <w:b/>
        </w:rPr>
        <w:t>Post-Market Monitoring System</w:t>
      </w:r>
      <w:r>
        <w:t xml:space="preserve"> proportioned to the nature of the AI technologies and the risks</w:t>
      </w:r>
      <w:r>
        <w:t xml:space="preserve"> of the high-risk AI system. The system shall actively collect, document, and analyze operational data throughout the system lifecycle.</w:t>
      </w:r>
    </w:p>
    <w:p w14:paraId="40DF67F2" w14:textId="77777777" w:rsidR="00B96260" w:rsidRDefault="005F6314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55A3841B" w14:textId="77777777" w:rsidR="00B96260" w:rsidRDefault="005F6314">
      <w:pPr>
        <w:pStyle w:val="Heading2"/>
        <w:spacing w:after="80"/>
      </w:pPr>
      <w:r>
        <w:rPr>
          <w:color w:val="1E3A8A"/>
        </w:rPr>
        <w:t>2. Continuous Monitoring Infrastructure</w:t>
      </w:r>
    </w:p>
    <w:p w14:paraId="7D0FEDCD" w14:textId="77777777" w:rsidR="00B96260" w:rsidRDefault="005F6314">
      <w:pPr>
        <w:spacing w:after="80"/>
      </w:pPr>
      <w:r>
        <w:t>TalentMatch AI B.V. maintains a three-t</w:t>
      </w:r>
      <w:r>
        <w:t>iered Post-Market Monitoring architecture integrated directly into its production MLOps pipeline:</w:t>
      </w:r>
    </w:p>
    <w:p w14:paraId="6722C430" w14:textId="6C7EB8B2" w:rsidR="00B96260" w:rsidRDefault="005F6314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 xml:space="preserve">│                 POST-MARKET MONITORING ARCHITECTURE FLOW        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Production Ingestion Stream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│   </w:t>
      </w:r>
      <w:r>
        <w:rPr>
          <w:rFonts w:ascii="Consolas" w:hAnsi="Consolas"/>
          <w:color w:val="1E293B"/>
          <w:sz w:val="17"/>
        </w:rPr>
        <w:t xml:space="preserve">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├─► [1. Embedding Drift </w:t>
      </w:r>
      <w:proofErr w:type="gramStart"/>
      <w:r>
        <w:rPr>
          <w:rFonts w:ascii="Consolas" w:hAnsi="Consolas"/>
          <w:color w:val="1E293B"/>
          <w:sz w:val="17"/>
        </w:rPr>
        <w:t>Monitor]</w:t>
      </w:r>
      <w:r>
        <w:rPr>
          <w:rFonts w:ascii="Consolas" w:hAnsi="Consolas"/>
          <w:color w:val="1E293B"/>
          <w:sz w:val="17"/>
        </w:rPr>
        <w:t>─</w:t>
      </w:r>
      <w:proofErr w:type="gramEnd"/>
      <w:r>
        <w:rPr>
          <w:rFonts w:ascii="Consolas" w:hAnsi="Consolas"/>
          <w:color w:val="1E293B"/>
          <w:sz w:val="17"/>
        </w:rPr>
        <w:t>─▶ Cosine Distance Shift Alert (&gt; 0.15)│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      ├─► [2. Monthly</w:t>
      </w:r>
      <w:r>
        <w:rPr>
          <w:rFonts w:ascii="Consolas" w:hAnsi="Consolas"/>
          <w:color w:val="1E293B"/>
          <w:sz w:val="17"/>
        </w:rPr>
        <w:t xml:space="preserve"> Fairness </w:t>
      </w:r>
      <w:proofErr w:type="gramStart"/>
      <w:r>
        <w:rPr>
          <w:rFonts w:ascii="Consolas" w:hAnsi="Consolas"/>
          <w:color w:val="1E293B"/>
          <w:sz w:val="17"/>
        </w:rPr>
        <w:t>Audit]</w:t>
      </w:r>
      <w:r>
        <w:rPr>
          <w:rFonts w:ascii="Consolas" w:hAnsi="Consolas"/>
          <w:color w:val="1E293B"/>
          <w:sz w:val="17"/>
        </w:rPr>
        <w:t>─</w:t>
      </w:r>
      <w:proofErr w:type="gramEnd"/>
      <w:r>
        <w:rPr>
          <w:rFonts w:ascii="Consolas" w:hAnsi="Consolas"/>
          <w:color w:val="1E293B"/>
          <w:sz w:val="17"/>
        </w:rPr>
        <w:t>─▶ Subgroup DIR Scan (&lt; 0.80 Floor)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└─► [3. Deployer Incident </w:t>
      </w:r>
      <w:proofErr w:type="gramStart"/>
      <w:r>
        <w:rPr>
          <w:rFonts w:ascii="Consolas" w:hAnsi="Consolas"/>
          <w:color w:val="1E293B"/>
          <w:sz w:val="17"/>
        </w:rPr>
        <w:t>Log]</w:t>
      </w:r>
      <w:r>
        <w:rPr>
          <w:rFonts w:ascii="Consolas" w:hAnsi="Consolas"/>
          <w:color w:val="1E293B"/>
          <w:sz w:val="17"/>
        </w:rPr>
        <w:t>─</w:t>
      </w:r>
      <w:proofErr w:type="gramEnd"/>
      <w:r>
        <w:rPr>
          <w:rFonts w:ascii="Consolas" w:hAnsi="Consolas"/>
          <w:color w:val="1E293B"/>
          <w:sz w:val="17"/>
        </w:rPr>
        <w:t>─▶ Recruiter Override Anomaly Alert│</w:t>
      </w:r>
      <w:r>
        <w:rPr>
          <w:rFonts w:ascii="Consolas" w:hAnsi="Consolas"/>
          <w:color w:val="1E293B"/>
          <w:sz w:val="17"/>
        </w:rPr>
        <w:br/>
        <w:t xml:space="preserve">│                                      </w:t>
      </w:r>
      <w:r>
        <w:rPr>
          <w:rFonts w:ascii="Consolas" w:hAnsi="Consolas"/>
          <w:color w:val="1E293B"/>
          <w:sz w:val="17"/>
        </w:rPr>
        <w:t xml:space="preserve">                                 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CD42E0" w14:textId="77777777" w:rsidR="00B96260" w:rsidRDefault="005F6314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4C8B5242" w14:textId="77777777" w:rsidR="00B96260" w:rsidRDefault="005F6314">
      <w:pPr>
        <w:pStyle w:val="Heading2"/>
        <w:spacing w:after="80"/>
      </w:pPr>
      <w:r>
        <w:rPr>
          <w:color w:val="1E3A8A"/>
        </w:rPr>
        <w:t>3. Key Monitoring Metrics &amp; Alert Thresholds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B96260" w14:paraId="1C06FD4E" w14:textId="77777777" w:rsidTr="005F6314">
        <w:trPr>
          <w:jc w:val="center"/>
        </w:trPr>
        <w:tc>
          <w:tcPr>
            <w:tcW w:w="1987" w:type="dxa"/>
            <w:shd w:val="clear" w:color="auto" w:fill="1E293B"/>
          </w:tcPr>
          <w:p w14:paraId="17DF8160" w14:textId="77777777" w:rsidR="00B96260" w:rsidRDefault="005F6314">
            <w:pPr>
              <w:spacing w:before="40" w:after="40"/>
            </w:pPr>
            <w:r>
              <w:rPr>
                <w:b/>
                <w:color w:val="FFFFFF"/>
              </w:rPr>
              <w:t>Monitoring Metric</w:t>
            </w:r>
          </w:p>
        </w:tc>
        <w:tc>
          <w:tcPr>
            <w:tcW w:w="1987" w:type="dxa"/>
            <w:shd w:val="clear" w:color="auto" w:fill="1E293B"/>
          </w:tcPr>
          <w:p w14:paraId="7472F9B7" w14:textId="77777777" w:rsidR="00B96260" w:rsidRDefault="005F6314">
            <w:pPr>
              <w:spacing w:before="40" w:after="40"/>
            </w:pPr>
            <w:r>
              <w:rPr>
                <w:b/>
                <w:color w:val="FFFFFF"/>
              </w:rPr>
              <w:t>Target Baseline</w:t>
            </w:r>
          </w:p>
        </w:tc>
        <w:tc>
          <w:tcPr>
            <w:tcW w:w="1987" w:type="dxa"/>
            <w:shd w:val="clear" w:color="auto" w:fill="1E293B"/>
          </w:tcPr>
          <w:p w14:paraId="79E2EA5F" w14:textId="77777777" w:rsidR="00B96260" w:rsidRDefault="005F6314">
            <w:pPr>
              <w:spacing w:before="40" w:after="40"/>
            </w:pPr>
            <w:r>
              <w:rPr>
                <w:b/>
                <w:color w:val="FFFFFF"/>
              </w:rPr>
              <w:t>Alert Trigger T</w:t>
            </w:r>
            <w:r>
              <w:rPr>
                <w:b/>
                <w:color w:val="FFFFFF"/>
              </w:rPr>
              <w:t>hreshold</w:t>
            </w:r>
          </w:p>
        </w:tc>
        <w:tc>
          <w:tcPr>
            <w:tcW w:w="1987" w:type="dxa"/>
            <w:shd w:val="clear" w:color="auto" w:fill="1E293B"/>
          </w:tcPr>
          <w:p w14:paraId="11463953" w14:textId="77777777" w:rsidR="00B96260" w:rsidRDefault="005F6314">
            <w:pPr>
              <w:spacing w:before="40" w:after="40"/>
            </w:pPr>
            <w:r>
              <w:rPr>
                <w:b/>
                <w:color w:val="FFFFFF"/>
              </w:rPr>
              <w:t>Automated Action Taken Upon Alert</w:t>
            </w:r>
          </w:p>
        </w:tc>
        <w:tc>
          <w:tcPr>
            <w:tcW w:w="1987" w:type="dxa"/>
            <w:shd w:val="clear" w:color="auto" w:fill="1E293B"/>
          </w:tcPr>
          <w:p w14:paraId="4E11CD8A" w14:textId="77777777" w:rsidR="00B96260" w:rsidRDefault="005F6314">
            <w:pPr>
              <w:spacing w:before="40" w:after="40"/>
            </w:pPr>
            <w:r>
              <w:rPr>
                <w:b/>
                <w:color w:val="FFFFFF"/>
              </w:rPr>
              <w:t>Responsible Lead</w:t>
            </w:r>
          </w:p>
        </w:tc>
      </w:tr>
      <w:tr w:rsidR="00B96260" w14:paraId="65F712E2" w14:textId="77777777" w:rsidTr="005F6314">
        <w:trPr>
          <w:jc w:val="center"/>
        </w:trPr>
        <w:tc>
          <w:tcPr>
            <w:tcW w:w="1987" w:type="dxa"/>
            <w:shd w:val="clear" w:color="auto" w:fill="F8FAFC"/>
          </w:tcPr>
          <w:p w14:paraId="53304877" w14:textId="77777777" w:rsidR="00B96260" w:rsidRDefault="005F6314">
            <w:pPr>
              <w:spacing w:before="40" w:after="40"/>
            </w:pPr>
            <w:r>
              <w:rPr>
                <w:b/>
              </w:rPr>
              <w:t>Embedding Drift Score</w:t>
            </w:r>
          </w:p>
        </w:tc>
        <w:tc>
          <w:tcPr>
            <w:tcW w:w="1987" w:type="dxa"/>
            <w:shd w:val="clear" w:color="auto" w:fill="F8FAFC"/>
          </w:tcPr>
          <w:p w14:paraId="7E58E0BB" w14:textId="77777777" w:rsidR="00B96260" w:rsidRDefault="005F6314">
            <w:pPr>
              <w:spacing w:before="40" w:after="40"/>
            </w:pPr>
            <w:r>
              <w:t>Cosine Distance $\le 0.08$</w:t>
            </w:r>
          </w:p>
        </w:tc>
        <w:tc>
          <w:tcPr>
            <w:tcW w:w="1987" w:type="dxa"/>
            <w:shd w:val="clear" w:color="auto" w:fill="F8FAFC"/>
          </w:tcPr>
          <w:p w14:paraId="32B26E87" w14:textId="77777777" w:rsidR="00B96260" w:rsidRDefault="005F6314">
            <w:pPr>
              <w:spacing w:before="40" w:after="40"/>
            </w:pPr>
            <w:r>
              <w:t>Cosine Distance $&gt; 0.15$</w:t>
            </w:r>
          </w:p>
        </w:tc>
        <w:tc>
          <w:tcPr>
            <w:tcW w:w="1987" w:type="dxa"/>
            <w:shd w:val="clear" w:color="auto" w:fill="F8FAFC"/>
          </w:tcPr>
          <w:p w14:paraId="02470FFB" w14:textId="77777777" w:rsidR="00B96260" w:rsidRDefault="005F6314">
            <w:pPr>
              <w:spacing w:before="40" w:after="40"/>
            </w:pPr>
            <w:r>
              <w:t>Triggers automated retraining pipeline &amp; flags drift.</w:t>
            </w:r>
          </w:p>
        </w:tc>
        <w:tc>
          <w:tcPr>
            <w:tcW w:w="1987" w:type="dxa"/>
            <w:shd w:val="clear" w:color="auto" w:fill="F8FAFC"/>
          </w:tcPr>
          <w:p w14:paraId="7B3CC8FA" w14:textId="77777777" w:rsidR="00B96260" w:rsidRDefault="005F6314">
            <w:pPr>
              <w:spacing w:before="40" w:after="40"/>
            </w:pPr>
            <w:r>
              <w:t>MLOps Lead</w:t>
            </w:r>
          </w:p>
        </w:tc>
      </w:tr>
      <w:tr w:rsidR="00B96260" w14:paraId="3FC89317" w14:textId="77777777" w:rsidTr="005F6314">
        <w:trPr>
          <w:jc w:val="center"/>
        </w:trPr>
        <w:tc>
          <w:tcPr>
            <w:tcW w:w="1987" w:type="dxa"/>
            <w:shd w:val="clear" w:color="auto" w:fill="FFFFFF"/>
          </w:tcPr>
          <w:p w14:paraId="529C66CE" w14:textId="77777777" w:rsidR="00B96260" w:rsidRDefault="005F6314">
            <w:pPr>
              <w:spacing w:before="40" w:after="40"/>
            </w:pPr>
            <w:r>
              <w:rPr>
                <w:b/>
              </w:rPr>
              <w:t>Subgroup Disparate Impact Ratio</w:t>
            </w:r>
          </w:p>
        </w:tc>
        <w:tc>
          <w:tcPr>
            <w:tcW w:w="1987" w:type="dxa"/>
            <w:shd w:val="clear" w:color="auto" w:fill="FFFFFF"/>
          </w:tcPr>
          <w:p w14:paraId="5520CC98" w14:textId="77777777" w:rsidR="00B96260" w:rsidRDefault="005F6314">
            <w:pPr>
              <w:spacing w:before="40" w:after="40"/>
            </w:pPr>
            <w:r>
              <w:t xml:space="preserve">DIR $\ge 0.823$ </w:t>
            </w:r>
            <w:r>
              <w:t>across all groups</w:t>
            </w:r>
          </w:p>
        </w:tc>
        <w:tc>
          <w:tcPr>
            <w:tcW w:w="1987" w:type="dxa"/>
            <w:shd w:val="clear" w:color="auto" w:fill="FFFFFF"/>
          </w:tcPr>
          <w:p w14:paraId="6655C24D" w14:textId="77777777" w:rsidR="00B96260" w:rsidRDefault="005F6314">
            <w:pPr>
              <w:spacing w:before="40" w:after="40"/>
            </w:pPr>
            <w:r>
              <w:t>DIR $&lt; 0.80$ for any group</w:t>
            </w:r>
          </w:p>
        </w:tc>
        <w:tc>
          <w:tcPr>
            <w:tcW w:w="1987" w:type="dxa"/>
            <w:shd w:val="clear" w:color="auto" w:fill="FFFFFF"/>
          </w:tcPr>
          <w:p w14:paraId="030BF113" w14:textId="77777777" w:rsidR="00B96260" w:rsidRDefault="005F6314">
            <w:pPr>
              <w:spacing w:before="40" w:after="40"/>
            </w:pPr>
            <w:r>
              <w:rPr>
                <w:b/>
              </w:rPr>
              <w:t>Circuit Breaker:</w:t>
            </w:r>
            <w:r>
              <w:t xml:space="preserve"> Reverts deployment to prior checkpoint.</w:t>
            </w:r>
          </w:p>
        </w:tc>
        <w:tc>
          <w:tcPr>
            <w:tcW w:w="1987" w:type="dxa"/>
            <w:shd w:val="clear" w:color="auto" w:fill="FFFFFF"/>
          </w:tcPr>
          <w:p w14:paraId="7C2C04FF" w14:textId="77777777" w:rsidR="00B96260" w:rsidRDefault="005F6314">
            <w:pPr>
              <w:spacing w:before="40" w:after="40"/>
            </w:pPr>
            <w:r>
              <w:t>Fairness Auditor</w:t>
            </w:r>
          </w:p>
        </w:tc>
      </w:tr>
      <w:tr w:rsidR="00B96260" w14:paraId="3943F577" w14:textId="77777777" w:rsidTr="005F6314">
        <w:trPr>
          <w:jc w:val="center"/>
        </w:trPr>
        <w:tc>
          <w:tcPr>
            <w:tcW w:w="1987" w:type="dxa"/>
            <w:shd w:val="clear" w:color="auto" w:fill="F8FAFC"/>
          </w:tcPr>
          <w:p w14:paraId="0CBFABDB" w14:textId="77777777" w:rsidR="00B96260" w:rsidRDefault="005F6314">
            <w:pPr>
              <w:spacing w:before="40" w:after="40"/>
            </w:pPr>
            <w:r>
              <w:rPr>
                <w:b/>
              </w:rPr>
              <w:t>Recruiter Override Rate</w:t>
            </w:r>
          </w:p>
        </w:tc>
        <w:tc>
          <w:tcPr>
            <w:tcW w:w="1987" w:type="dxa"/>
            <w:shd w:val="clear" w:color="auto" w:fill="F8FAFC"/>
          </w:tcPr>
          <w:p w14:paraId="3030A383" w14:textId="77777777" w:rsidR="00B96260" w:rsidRDefault="005F6314">
            <w:pPr>
              <w:spacing w:before="40" w:after="40"/>
            </w:pPr>
            <w:r>
              <w:t>12% – 18% override range</w:t>
            </w:r>
          </w:p>
        </w:tc>
        <w:tc>
          <w:tcPr>
            <w:tcW w:w="1987" w:type="dxa"/>
            <w:shd w:val="clear" w:color="auto" w:fill="F8FAFC"/>
          </w:tcPr>
          <w:p w14:paraId="54FD9FD8" w14:textId="77777777" w:rsidR="00B96260" w:rsidRDefault="005F6314">
            <w:pPr>
              <w:spacing w:before="40" w:after="40"/>
            </w:pPr>
            <w:r>
              <w:t>Override Rate $&lt; 5\%$ or $&gt; 35\%$</w:t>
            </w:r>
          </w:p>
        </w:tc>
        <w:tc>
          <w:tcPr>
            <w:tcW w:w="1987" w:type="dxa"/>
            <w:shd w:val="clear" w:color="auto" w:fill="F8FAFC"/>
          </w:tcPr>
          <w:p w14:paraId="20EA17B5" w14:textId="77777777" w:rsidR="00B96260" w:rsidRDefault="005F6314">
            <w:pPr>
              <w:spacing w:before="40" w:after="40"/>
            </w:pPr>
            <w:r>
              <w:t>Flags deployer for automation bias / instruction misu</w:t>
            </w:r>
            <w:r>
              <w:t>se.</w:t>
            </w:r>
          </w:p>
        </w:tc>
        <w:tc>
          <w:tcPr>
            <w:tcW w:w="1987" w:type="dxa"/>
            <w:shd w:val="clear" w:color="auto" w:fill="F8FAFC"/>
          </w:tcPr>
          <w:p w14:paraId="4F9C465B" w14:textId="77777777" w:rsidR="00B96260" w:rsidRDefault="005F6314">
            <w:pPr>
              <w:spacing w:before="40" w:after="40"/>
            </w:pPr>
            <w:r>
              <w:t>AI GRC Lead</w:t>
            </w:r>
          </w:p>
        </w:tc>
      </w:tr>
      <w:tr w:rsidR="00B96260" w14:paraId="031AB8C9" w14:textId="77777777" w:rsidTr="005F6314">
        <w:trPr>
          <w:jc w:val="center"/>
        </w:trPr>
        <w:tc>
          <w:tcPr>
            <w:tcW w:w="1987" w:type="dxa"/>
            <w:shd w:val="clear" w:color="auto" w:fill="FFFFFF"/>
          </w:tcPr>
          <w:p w14:paraId="7F2C98FD" w14:textId="77777777" w:rsidR="00B96260" w:rsidRDefault="005F6314">
            <w:pPr>
              <w:spacing w:before="40" w:after="40"/>
            </w:pPr>
            <w:r>
              <w:rPr>
                <w:b/>
              </w:rPr>
              <w:t>System Error Rate</w:t>
            </w:r>
          </w:p>
        </w:tc>
        <w:tc>
          <w:tcPr>
            <w:tcW w:w="1987" w:type="dxa"/>
            <w:shd w:val="clear" w:color="auto" w:fill="FFFFFF"/>
          </w:tcPr>
          <w:p w14:paraId="6CF61C0A" w14:textId="77777777" w:rsidR="00B96260" w:rsidRDefault="005F6314">
            <w:pPr>
              <w:spacing w:before="40" w:after="40"/>
            </w:pPr>
            <w:r>
              <w:t xml:space="preserve">Error Rate $&lt; </w:t>
            </w:r>
            <w:r>
              <w:lastRenderedPageBreak/>
              <w:t>0.1\%$</w:t>
            </w:r>
          </w:p>
        </w:tc>
        <w:tc>
          <w:tcPr>
            <w:tcW w:w="1987" w:type="dxa"/>
            <w:shd w:val="clear" w:color="auto" w:fill="FFFFFF"/>
          </w:tcPr>
          <w:p w14:paraId="389EAED5" w14:textId="77777777" w:rsidR="00B96260" w:rsidRDefault="005F6314">
            <w:pPr>
              <w:spacing w:before="40" w:after="40"/>
            </w:pPr>
            <w:r>
              <w:lastRenderedPageBreak/>
              <w:t xml:space="preserve">Error Rate $&gt; </w:t>
            </w:r>
            <w:r>
              <w:lastRenderedPageBreak/>
              <w:t>0.5\%$</w:t>
            </w:r>
          </w:p>
        </w:tc>
        <w:tc>
          <w:tcPr>
            <w:tcW w:w="1987" w:type="dxa"/>
            <w:shd w:val="clear" w:color="auto" w:fill="FFFFFF"/>
          </w:tcPr>
          <w:p w14:paraId="3AA5FD51" w14:textId="77777777" w:rsidR="00B96260" w:rsidRDefault="005F6314">
            <w:pPr>
              <w:spacing w:before="40" w:after="40"/>
            </w:pPr>
            <w:r>
              <w:lastRenderedPageBreak/>
              <w:t xml:space="preserve">Routes fallback </w:t>
            </w:r>
            <w:r>
              <w:lastRenderedPageBreak/>
              <w:t>parsing &amp; alerts on-call engineer.</w:t>
            </w:r>
          </w:p>
        </w:tc>
        <w:tc>
          <w:tcPr>
            <w:tcW w:w="1987" w:type="dxa"/>
            <w:shd w:val="clear" w:color="auto" w:fill="FFFFFF"/>
          </w:tcPr>
          <w:p w14:paraId="0CF3E166" w14:textId="77777777" w:rsidR="00B96260" w:rsidRDefault="005F6314">
            <w:pPr>
              <w:spacing w:before="40" w:after="40"/>
            </w:pPr>
            <w:r>
              <w:lastRenderedPageBreak/>
              <w:t>MLOps Lead</w:t>
            </w:r>
          </w:p>
        </w:tc>
      </w:tr>
    </w:tbl>
    <w:p w14:paraId="332FA95F" w14:textId="77777777" w:rsidR="00B96260" w:rsidRDefault="00B96260">
      <w:pPr>
        <w:spacing w:after="120"/>
      </w:pPr>
    </w:p>
    <w:p w14:paraId="46817DC0" w14:textId="77777777" w:rsidR="00B96260" w:rsidRDefault="005F6314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0C2103B" w14:textId="77777777" w:rsidR="00B96260" w:rsidRDefault="005F6314">
      <w:pPr>
        <w:pStyle w:val="Heading2"/>
        <w:spacing w:after="80"/>
      </w:pPr>
      <w:r>
        <w:rPr>
          <w:color w:val="1E3A8A"/>
        </w:rPr>
        <w:t>4. Deployer Feedback Loops &amp; Annual Review</w:t>
      </w:r>
    </w:p>
    <w:p w14:paraId="5FF58D56" w14:textId="77777777" w:rsidR="00B96260" w:rsidRDefault="005F6314">
      <w:pPr>
        <w:pStyle w:val="ListNumber"/>
        <w:spacing w:after="40"/>
      </w:pPr>
      <w:r>
        <w:rPr>
          <w:b/>
        </w:rPr>
        <w:t xml:space="preserve">Quarterly Deployer </w:t>
      </w:r>
      <w:r>
        <w:rPr>
          <w:b/>
        </w:rPr>
        <w:t>Compliance Reviews:</w:t>
      </w:r>
      <w:r>
        <w:t xml:space="preserve"> TalentMatch AI B.V. collects operational feedback logs from all 150+ enterprise clients every 90 days.</w:t>
      </w:r>
    </w:p>
    <w:p w14:paraId="6A3BF747" w14:textId="77777777" w:rsidR="00B96260" w:rsidRDefault="005F6314">
      <w:pPr>
        <w:pStyle w:val="ListNumber"/>
        <w:spacing w:after="40"/>
      </w:pPr>
      <w:r>
        <w:rPr>
          <w:b/>
        </w:rPr>
        <w:t>Annual Post-Market Report:</w:t>
      </w:r>
      <w:r>
        <w:t xml:space="preserve"> The Senior GRC Lead authors an annual Post-Market Monitoring Report presented to the </w:t>
      </w:r>
      <w:r>
        <w:rPr>
          <w:b/>
        </w:rPr>
        <w:t>AI Safety &amp; Ethics Bo</w:t>
      </w:r>
      <w:r>
        <w:rPr>
          <w:b/>
        </w:rPr>
        <w:t>ard (ASEB)</w:t>
      </w:r>
      <w:r>
        <w:t xml:space="preserve"> and retained for regulatory inspection.</w:t>
      </w:r>
    </w:p>
    <w:sectPr w:rsidR="00B9626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314"/>
    <w:rsid w:val="00AA1D8D"/>
    <w:rsid w:val="00B47730"/>
    <w:rsid w:val="00B962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7E29C"/>
  <w14:defaultImageDpi w14:val="300"/>
  <w15:docId w15:val="{0E87648B-6B59-474F-995C-ADB6DD99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2026-08-19T12:08:00Z</dcterms:modified>
  <cp:category/>
</cp:coreProperties>
</file>