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E4D3C" w14:textId="77777777" w:rsidR="00445460" w:rsidRDefault="009778C3">
      <w:pPr>
        <w:pStyle w:val="Heading1"/>
        <w:spacing w:before="240" w:after="120"/>
      </w:pPr>
      <w:r>
        <w:rPr>
          <w:color w:val="0F172A"/>
        </w:rPr>
        <w:t>Organizational &amp; Operational Profile: TalentMatch AI B.V.</w:t>
      </w:r>
    </w:p>
    <w:p w14:paraId="4825CDF0" w14:textId="77777777" w:rsidR="00445460" w:rsidRDefault="009778C3">
      <w:pPr>
        <w:spacing w:before="80" w:after="80"/>
        <w:ind w:left="432"/>
      </w:pPr>
      <w:r>
        <w:rPr>
          <w:b/>
          <w:i/>
          <w:color w:val="475569"/>
        </w:rPr>
        <w:t>PORTFOLIO DISCLAIMER:</w:t>
      </w:r>
      <w:r>
        <w:rPr>
          <w:i/>
          <w:color w:val="475569"/>
        </w:rPr>
        <w:t xml:space="preserve"> This document is part of a simulated AI Governance GRC portfolio case study representing TalentMatch AI B.V. It does not represent a real commercial entity, live regulatory filing, or active certification under Regulation (EU) 2024/1689.</w:t>
      </w:r>
    </w:p>
    <w:p w14:paraId="6D5A538A" w14:textId="77777777" w:rsidR="00445460" w:rsidRDefault="009778C3">
      <w:pPr>
        <w:spacing w:before="80" w:after="80"/>
      </w:pPr>
      <w:r>
        <w:rPr>
          <w:color w:val="CBD5E1"/>
        </w:rPr>
        <w:t>―――――――――――――――――</w:t>
      </w:r>
      <w:r>
        <w:rPr>
          <w:color w:val="CBD5E1"/>
        </w:rPr>
        <w:t>―――――――――――――――――――――――</w:t>
      </w:r>
    </w:p>
    <w:p w14:paraId="3D43CFCA" w14:textId="77777777" w:rsidR="00445460" w:rsidRDefault="009778C3">
      <w:pPr>
        <w:pStyle w:val="Heading2"/>
        <w:spacing w:after="80"/>
      </w:pPr>
      <w:r>
        <w:rPr>
          <w:color w:val="1E3A8A"/>
        </w:rPr>
        <w:t>1. Executive Summary &amp; Organizational Context</w:t>
      </w:r>
    </w:p>
    <w:p w14:paraId="6D875F8E" w14:textId="77777777" w:rsidR="00445460" w:rsidRDefault="009778C3">
      <w:pPr>
        <w:spacing w:after="80"/>
      </w:pPr>
      <w:r>
        <w:rPr>
          <w:b/>
        </w:rPr>
        <w:t>TalentMatch AI B.V.</w:t>
      </w:r>
      <w:r>
        <w:t xml:space="preserve"> is a B2B Software-as-a-Service (SaaS) provider incorporated and headquartered in </w:t>
      </w:r>
      <w:r>
        <w:rPr>
          <w:b/>
        </w:rPr>
        <w:t>Amsterdam, Netherlands</w:t>
      </w:r>
      <w:r>
        <w:t>. The company develops and operates an AI-driven candidate scre</w:t>
      </w:r>
      <w:r>
        <w:t>ening, semantic matching, and ranking engine (</w:t>
      </w:r>
      <w:r>
        <w:rPr>
          <w:b/>
        </w:rPr>
        <w:t>TalentMatch AI v2.4</w:t>
      </w:r>
      <w:r>
        <w:t>) sold to enterprise Human Resources (HR) departments across European Union Member States.</w:t>
      </w:r>
    </w:p>
    <w:p w14:paraId="7D69CF5B" w14:textId="5FFC68F0" w:rsidR="00445460" w:rsidRDefault="009778C3"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1E293B"/>
          <w:sz w:val="17"/>
        </w:rPr>
        <w:br/>
        <w:t xml:space="preserve">│                   </w:t>
      </w:r>
      <w:r>
        <w:rPr>
          <w:rFonts w:ascii="Consolas" w:hAnsi="Consolas"/>
          <w:color w:val="1E293B"/>
          <w:sz w:val="17"/>
        </w:rPr>
        <w:t xml:space="preserve"> TALENTMATCH AI B.V. — CORPORATE OVERVIEW                 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1E293B"/>
          <w:sz w:val="17"/>
        </w:rPr>
        <w:br/>
        <w:t>│  Legal Entity          │ TalentMatch AI B.V. (Chamber of Commerce: Amsterdam)│</w:t>
      </w:r>
      <w:r>
        <w:rPr>
          <w:rFonts w:ascii="Consolas" w:hAnsi="Consolas"/>
          <w:color w:val="1E293B"/>
          <w:sz w:val="17"/>
        </w:rPr>
        <w:br/>
        <w:t>│  Operational Model     │ B2B Saa</w:t>
      </w:r>
      <w:r>
        <w:rPr>
          <w:rFonts w:ascii="Consolas" w:hAnsi="Consolas"/>
          <w:color w:val="1E293B"/>
          <w:sz w:val="17"/>
        </w:rPr>
        <w:t>S Cloud Application (Hosted in AWS eu-west-1)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>│  Target Market         │ Enterprise HR &amp; Recruitment Agencies across EU      │</w:t>
      </w:r>
      <w:r>
        <w:rPr>
          <w:rFonts w:ascii="Consolas" w:hAnsi="Consolas"/>
          <w:color w:val="1E293B"/>
          <w:sz w:val="17"/>
        </w:rPr>
        <w:br/>
        <w:t>│  Active Deployer Base  │ 150+ Enterprise Clients (Over 2.5M CVs processed/</w:t>
      </w:r>
      <w:proofErr w:type="spellStart"/>
      <w:r>
        <w:rPr>
          <w:rFonts w:ascii="Consolas" w:hAnsi="Consolas"/>
          <w:color w:val="1E293B"/>
          <w:sz w:val="17"/>
        </w:rPr>
        <w:t>yr</w:t>
      </w:r>
      <w:proofErr w:type="spellEnd"/>
      <w:r>
        <w:rPr>
          <w:rFonts w:ascii="Consolas" w:hAnsi="Consolas"/>
          <w:color w:val="1E293B"/>
          <w:sz w:val="17"/>
        </w:rPr>
        <w:t>)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>│  Primary System        │ TalentMatch AI Can</w:t>
      </w:r>
      <w:r>
        <w:rPr>
          <w:rFonts w:ascii="Consolas" w:hAnsi="Consolas"/>
          <w:color w:val="1E293B"/>
          <w:sz w:val="17"/>
        </w:rPr>
        <w:t>didate Screening Engine v2.4      │</w:t>
      </w:r>
      <w:r>
        <w:rPr>
          <w:rFonts w:ascii="Consolas" w:hAnsi="Consolas"/>
          <w:color w:val="1E293B"/>
          <w:sz w:val="17"/>
        </w:rPr>
        <w:br/>
        <w:t>│  Regulatory Framework  │ Regulation (EU) 2024/1689 (EU AI Act), EU GDPR      │</w:t>
      </w:r>
      <w:r>
        <w:rPr>
          <w:rFonts w:ascii="Consolas" w:hAnsi="Consolas"/>
          <w:color w:val="1E293B"/>
          <w:sz w:val="17"/>
        </w:rPr>
        <w:br/>
        <w:t xml:space="preserve">│  EU AI Act Role        │ PROVIDER (Article 3(2) &amp; Article 16)                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>└────────────────────────────────────────────────────────</w:t>
      </w:r>
      <w:r>
        <w:rPr>
          <w:rFonts w:ascii="Consolas" w:hAnsi="Consolas"/>
          <w:color w:val="1E293B"/>
          <w:sz w:val="17"/>
        </w:rPr>
        <w:t>─────────────────────┘</w:t>
      </w:r>
    </w:p>
    <w:p w14:paraId="5F44D12A" w14:textId="77777777" w:rsidR="00445460" w:rsidRDefault="009778C3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6E1922E1" w14:textId="77777777" w:rsidR="00445460" w:rsidRDefault="009778C3">
      <w:pPr>
        <w:pStyle w:val="Heading2"/>
        <w:spacing w:after="80"/>
      </w:pPr>
      <w:r>
        <w:rPr>
          <w:color w:val="1E3A8A"/>
        </w:rPr>
        <w:t>2. Business Model &amp; Value Proposition</w:t>
      </w:r>
    </w:p>
    <w:p w14:paraId="555BFDC9" w14:textId="77777777" w:rsidR="00445460" w:rsidRDefault="009778C3">
      <w:pPr>
        <w:spacing w:after="80"/>
      </w:pPr>
      <w:r>
        <w:t>TalentMatch AI v2.4 is marketed to enterprise clients to streamline high-volume recruitment workflows. HR departments receive thousands of job application</w:t>
      </w:r>
      <w:r>
        <w:t>s per open position.</w:t>
      </w:r>
    </w:p>
    <w:p w14:paraId="4523DF29" w14:textId="77777777" w:rsidR="00445460" w:rsidRDefault="009778C3">
      <w:pPr>
        <w:pStyle w:val="Heading3"/>
        <w:spacing w:before="160" w:after="40"/>
      </w:pPr>
      <w:r>
        <w:t>Operational Value Proposition</w:t>
      </w:r>
    </w:p>
    <w:p w14:paraId="0C350B41" w14:textId="77777777" w:rsidR="00445460" w:rsidRDefault="009778C3">
      <w:pPr>
        <w:pStyle w:val="ListNumber"/>
        <w:spacing w:after="40"/>
      </w:pPr>
      <w:r>
        <w:rPr>
          <w:b/>
        </w:rPr>
        <w:t>Automated CV Parsing:</w:t>
      </w:r>
      <w:r>
        <w:t xml:space="preserve"> Extracts structured attributes (skills, work history, education) from unstructured PDF/Word resumes.</w:t>
      </w:r>
    </w:p>
    <w:p w14:paraId="69FD6A8B" w14:textId="77777777" w:rsidR="00445460" w:rsidRDefault="009778C3">
      <w:pPr>
        <w:pStyle w:val="ListNumber"/>
        <w:spacing w:after="40"/>
      </w:pPr>
      <w:r>
        <w:rPr>
          <w:b/>
        </w:rPr>
        <w:t>Semantic Job Matching:</w:t>
      </w:r>
      <w:r>
        <w:t xml:space="preserve"> Compares candidate profiles against job descriptions using </w:t>
      </w:r>
      <w:r>
        <w:t>vector embeddings and domain-tuned Natural Language Processing (NLP) models.</w:t>
      </w:r>
    </w:p>
    <w:p w14:paraId="39ED3D99" w14:textId="77777777" w:rsidR="00445460" w:rsidRDefault="009778C3">
      <w:pPr>
        <w:pStyle w:val="ListNumber"/>
        <w:spacing w:after="40"/>
      </w:pPr>
      <w:r>
        <w:rPr>
          <w:b/>
        </w:rPr>
        <w:t>Automated Shortlist Ranking:</w:t>
      </w:r>
      <w:r>
        <w:t xml:space="preserve"> Computes a composite match score ($0–100$) and ranks candidates to assist recruiters in selecting applicants for initial interview rounds.</w:t>
      </w:r>
    </w:p>
    <w:p w14:paraId="5D60EE06" w14:textId="77777777" w:rsidR="00445460" w:rsidRDefault="009778C3">
      <w:pPr>
        <w:spacing w:before="80" w:after="80"/>
      </w:pPr>
      <w:r>
        <w:rPr>
          <w:color w:val="CBD5E1"/>
        </w:rPr>
        <w:t>―――――――――――</w:t>
      </w:r>
      <w:r>
        <w:rPr>
          <w:color w:val="CBD5E1"/>
        </w:rPr>
        <w:t>―――――――――――――――――――――――――――――</w:t>
      </w:r>
    </w:p>
    <w:p w14:paraId="6A98350B" w14:textId="77777777" w:rsidR="00445460" w:rsidRDefault="009778C3">
      <w:pPr>
        <w:pStyle w:val="Heading2"/>
        <w:spacing w:after="80"/>
      </w:pPr>
      <w:r>
        <w:rPr>
          <w:color w:val="1E3A8A"/>
        </w:rPr>
        <w:t>3. Deployment Footprint &amp; EU Market Presence</w:t>
      </w:r>
    </w:p>
    <w:p w14:paraId="6C37D12B" w14:textId="77777777" w:rsidR="00445460" w:rsidRDefault="009778C3">
      <w:pPr>
        <w:pStyle w:val="ListBullet"/>
        <w:spacing w:after="40"/>
      </w:pPr>
      <w:r>
        <w:rPr>
          <w:b/>
        </w:rPr>
        <w:t>Deployer Ecosystem:</w:t>
      </w:r>
      <w:r>
        <w:t xml:space="preserve"> TalentMatch AI v2.4 is deployed by </w:t>
      </w:r>
      <w:r>
        <w:rPr>
          <w:b/>
        </w:rPr>
        <w:t>150+ enterprise HR teams</w:t>
      </w:r>
      <w:r>
        <w:t xml:space="preserve"> across Germany, France, Netherlands, Spain, and Poland.</w:t>
      </w:r>
    </w:p>
    <w:p w14:paraId="34604739" w14:textId="77777777" w:rsidR="00445460" w:rsidRDefault="009778C3">
      <w:pPr>
        <w:pStyle w:val="ListBullet"/>
        <w:spacing w:after="40"/>
      </w:pPr>
      <w:r>
        <w:rPr>
          <w:b/>
        </w:rPr>
        <w:t>Annual Ingestion Volume:</w:t>
      </w:r>
      <w:r>
        <w:t xml:space="preserve"> Approximately 2,500,</w:t>
      </w:r>
      <w:r>
        <w:t>000 candidate resumes processed annually across multi-tenant cloud instances.</w:t>
      </w:r>
    </w:p>
    <w:p w14:paraId="6C991F0F" w14:textId="77777777" w:rsidR="00445460" w:rsidRDefault="009778C3">
      <w:pPr>
        <w:pStyle w:val="ListBullet"/>
        <w:spacing w:after="40"/>
      </w:pPr>
      <w:r>
        <w:rPr>
          <w:b/>
        </w:rPr>
        <w:t>Cloud Hosting Architecture:</w:t>
      </w:r>
      <w:r>
        <w:t xml:space="preserve"> 100% hosted on Amazon Web Services (AWS) in the </w:t>
      </w:r>
      <w:r>
        <w:rPr>
          <w:rFonts w:ascii="Consolas" w:hAnsi="Consolas"/>
          <w:color w:val="333333"/>
          <w:sz w:val="19"/>
        </w:rPr>
        <w:t>eu-west-1</w:t>
      </w:r>
      <w:r>
        <w:t xml:space="preserve"> (Dublin, Ireland) and </w:t>
      </w:r>
      <w:r>
        <w:rPr>
          <w:rFonts w:ascii="Consolas" w:hAnsi="Consolas"/>
          <w:color w:val="333333"/>
          <w:sz w:val="19"/>
        </w:rPr>
        <w:t>eu-central-1</w:t>
      </w:r>
      <w:r>
        <w:t xml:space="preserve"> (Frankfurt, Germany) data center regions.</w:t>
      </w:r>
    </w:p>
    <w:p w14:paraId="49497BFC" w14:textId="77777777" w:rsidR="00445460" w:rsidRDefault="009778C3">
      <w:pPr>
        <w:spacing w:before="80" w:after="80"/>
      </w:pPr>
      <w:r>
        <w:rPr>
          <w:color w:val="CBD5E1"/>
        </w:rPr>
        <w:t>―――――――――――――――</w:t>
      </w:r>
      <w:r>
        <w:rPr>
          <w:color w:val="CBD5E1"/>
        </w:rPr>
        <w:t>―――――――――――――――――――――――――</w:t>
      </w:r>
    </w:p>
    <w:p w14:paraId="23263E00" w14:textId="77777777" w:rsidR="00445460" w:rsidRDefault="009778C3">
      <w:pPr>
        <w:pStyle w:val="Heading2"/>
        <w:spacing w:after="80"/>
      </w:pPr>
      <w:r>
        <w:rPr>
          <w:color w:val="1E3A8A"/>
        </w:rPr>
        <w:lastRenderedPageBreak/>
        <w:t>4. Statutory &amp; Regulatory Baseline</w:t>
      </w:r>
    </w:p>
    <w:p w14:paraId="0D255C78" w14:textId="77777777" w:rsidR="00445460" w:rsidRDefault="009778C3">
      <w:pPr>
        <w:spacing w:after="80"/>
      </w:pPr>
      <w:r>
        <w:t>As a commercial AI provider operating in the EU market, TalentMatch AI B.V. is subject to the following binding regulatory frameworks: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45460" w14:paraId="4981329F" w14:textId="77777777" w:rsidTr="009778C3">
        <w:trPr>
          <w:jc w:val="center"/>
        </w:trPr>
        <w:tc>
          <w:tcPr>
            <w:tcW w:w="3312" w:type="dxa"/>
            <w:shd w:val="clear" w:color="auto" w:fill="1E293B"/>
          </w:tcPr>
          <w:p w14:paraId="6D593298" w14:textId="77777777" w:rsidR="00445460" w:rsidRDefault="009778C3">
            <w:pPr>
              <w:spacing w:before="40" w:after="40"/>
            </w:pPr>
            <w:r>
              <w:rPr>
                <w:b/>
                <w:color w:val="FFFFFF"/>
              </w:rPr>
              <w:t>Regulatory Instrument</w:t>
            </w:r>
          </w:p>
        </w:tc>
        <w:tc>
          <w:tcPr>
            <w:tcW w:w="3312" w:type="dxa"/>
            <w:shd w:val="clear" w:color="auto" w:fill="1E293B"/>
          </w:tcPr>
          <w:p w14:paraId="11F6EA9B" w14:textId="77777777" w:rsidR="00445460" w:rsidRDefault="009778C3">
            <w:pPr>
              <w:spacing w:before="40" w:after="40"/>
            </w:pPr>
            <w:r>
              <w:rPr>
                <w:b/>
                <w:color w:val="FFFFFF"/>
              </w:rPr>
              <w:t>Jurisdiction</w:t>
            </w:r>
          </w:p>
        </w:tc>
        <w:tc>
          <w:tcPr>
            <w:tcW w:w="3312" w:type="dxa"/>
            <w:shd w:val="clear" w:color="auto" w:fill="1E293B"/>
          </w:tcPr>
          <w:p w14:paraId="4892F9AD" w14:textId="77777777" w:rsidR="00445460" w:rsidRDefault="009778C3">
            <w:pPr>
              <w:spacing w:before="40" w:after="40"/>
            </w:pPr>
            <w:r>
              <w:rPr>
                <w:b/>
                <w:color w:val="FFFFFF"/>
              </w:rPr>
              <w:t xml:space="preserve">Operational Impact on </w:t>
            </w:r>
            <w:r>
              <w:rPr>
                <w:b/>
                <w:color w:val="FFFFFF"/>
              </w:rPr>
              <w:t>TalentMatch AI</w:t>
            </w:r>
          </w:p>
        </w:tc>
      </w:tr>
      <w:tr w:rsidR="00445460" w14:paraId="4DD40DBC" w14:textId="77777777" w:rsidTr="009778C3">
        <w:trPr>
          <w:jc w:val="center"/>
        </w:trPr>
        <w:tc>
          <w:tcPr>
            <w:tcW w:w="3312" w:type="dxa"/>
            <w:shd w:val="clear" w:color="auto" w:fill="F8FAFC"/>
          </w:tcPr>
          <w:p w14:paraId="7C7FD041" w14:textId="77777777" w:rsidR="00445460" w:rsidRDefault="009778C3">
            <w:pPr>
              <w:spacing w:before="40" w:after="40"/>
            </w:pPr>
            <w:r>
              <w:rPr>
                <w:b/>
              </w:rPr>
              <w:t>Regulation (EU) 2024/1689 (EU AI Act)</w:t>
            </w:r>
          </w:p>
        </w:tc>
        <w:tc>
          <w:tcPr>
            <w:tcW w:w="3312" w:type="dxa"/>
            <w:shd w:val="clear" w:color="auto" w:fill="F8FAFC"/>
          </w:tcPr>
          <w:p w14:paraId="4E654D4A" w14:textId="77777777" w:rsidR="00445460" w:rsidRDefault="009778C3">
            <w:pPr>
              <w:spacing w:before="40" w:after="40"/>
            </w:pPr>
            <w:r>
              <w:t>European Union</w:t>
            </w:r>
          </w:p>
        </w:tc>
        <w:tc>
          <w:tcPr>
            <w:tcW w:w="3312" w:type="dxa"/>
            <w:shd w:val="clear" w:color="auto" w:fill="F8FAFC"/>
          </w:tcPr>
          <w:p w14:paraId="1F52FD81" w14:textId="77777777" w:rsidR="00445460" w:rsidRDefault="009778C3">
            <w:pPr>
              <w:spacing w:before="40" w:after="40"/>
            </w:pPr>
            <w:r>
              <w:t>High-Risk classification under Article 6(2) &amp; Annex III, Section 4(a). Mandates Articles 9–15 compliance.</w:t>
            </w:r>
          </w:p>
        </w:tc>
      </w:tr>
      <w:tr w:rsidR="00445460" w14:paraId="3EF530A6" w14:textId="77777777" w:rsidTr="009778C3">
        <w:trPr>
          <w:jc w:val="center"/>
        </w:trPr>
        <w:tc>
          <w:tcPr>
            <w:tcW w:w="3312" w:type="dxa"/>
            <w:shd w:val="clear" w:color="auto" w:fill="FFFFFF"/>
          </w:tcPr>
          <w:p w14:paraId="5B1FD743" w14:textId="77777777" w:rsidR="00445460" w:rsidRDefault="009778C3">
            <w:pPr>
              <w:spacing w:before="40" w:after="40"/>
            </w:pPr>
            <w:r>
              <w:rPr>
                <w:b/>
              </w:rPr>
              <w:t>Regulation (EU) 2016/679 (EU GDPR)</w:t>
            </w:r>
          </w:p>
        </w:tc>
        <w:tc>
          <w:tcPr>
            <w:tcW w:w="3312" w:type="dxa"/>
            <w:shd w:val="clear" w:color="auto" w:fill="FFFFFF"/>
          </w:tcPr>
          <w:p w14:paraId="6F9209BE" w14:textId="77777777" w:rsidR="00445460" w:rsidRDefault="009778C3">
            <w:pPr>
              <w:spacing w:before="40" w:after="40"/>
            </w:pPr>
            <w:r>
              <w:t>European Union</w:t>
            </w:r>
          </w:p>
        </w:tc>
        <w:tc>
          <w:tcPr>
            <w:tcW w:w="3312" w:type="dxa"/>
            <w:shd w:val="clear" w:color="auto" w:fill="FFFFFF"/>
          </w:tcPr>
          <w:p w14:paraId="508CA726" w14:textId="77777777" w:rsidR="00445460" w:rsidRDefault="009778C3">
            <w:pPr>
              <w:spacing w:before="40" w:after="40"/>
            </w:pPr>
            <w:r>
              <w:t xml:space="preserve">Governing lawful </w:t>
            </w:r>
            <w:r>
              <w:t>processing of PII, automated decision-making (Article 22), and candidate privacy rights.</w:t>
            </w:r>
          </w:p>
        </w:tc>
      </w:tr>
      <w:tr w:rsidR="00445460" w14:paraId="3C5F00E3" w14:textId="77777777" w:rsidTr="009778C3">
        <w:trPr>
          <w:jc w:val="center"/>
        </w:trPr>
        <w:tc>
          <w:tcPr>
            <w:tcW w:w="3312" w:type="dxa"/>
            <w:shd w:val="clear" w:color="auto" w:fill="F8FAFC"/>
          </w:tcPr>
          <w:p w14:paraId="5F5833F5" w14:textId="77777777" w:rsidR="00445460" w:rsidRDefault="009778C3">
            <w:pPr>
              <w:spacing w:before="40" w:after="40"/>
            </w:pPr>
            <w:r>
              <w:rPr>
                <w:b/>
              </w:rPr>
              <w:t>EU Equal Treatment Directives (2000/43/EC, 2000/78/EC)</w:t>
            </w:r>
          </w:p>
        </w:tc>
        <w:tc>
          <w:tcPr>
            <w:tcW w:w="3312" w:type="dxa"/>
            <w:shd w:val="clear" w:color="auto" w:fill="F8FAFC"/>
          </w:tcPr>
          <w:p w14:paraId="55CE2E2C" w14:textId="77777777" w:rsidR="00445460" w:rsidRDefault="009778C3">
            <w:pPr>
              <w:spacing w:before="40" w:after="40"/>
            </w:pPr>
            <w:r>
              <w:t>European Union</w:t>
            </w:r>
          </w:p>
        </w:tc>
        <w:tc>
          <w:tcPr>
            <w:tcW w:w="3312" w:type="dxa"/>
            <w:shd w:val="clear" w:color="auto" w:fill="F8FAFC"/>
          </w:tcPr>
          <w:p w14:paraId="61CE249A" w14:textId="77777777" w:rsidR="00445460" w:rsidRDefault="009778C3">
            <w:pPr>
              <w:spacing w:before="40" w:after="40"/>
            </w:pPr>
            <w:r>
              <w:t>Banning direct and indirect discrimination based on sex, age, racial or ethnic origin in employm</w:t>
            </w:r>
            <w:r>
              <w:t>ent.</w:t>
            </w:r>
          </w:p>
        </w:tc>
      </w:tr>
    </w:tbl>
    <w:p w14:paraId="23B1CF3F" w14:textId="77777777" w:rsidR="00445460" w:rsidRDefault="00445460">
      <w:pPr>
        <w:spacing w:after="120"/>
      </w:pPr>
    </w:p>
    <w:p w14:paraId="77686200" w14:textId="77777777" w:rsidR="00445460" w:rsidRDefault="009778C3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7A848A17" w14:textId="77777777" w:rsidR="00445460" w:rsidRDefault="009778C3">
      <w:pPr>
        <w:pStyle w:val="Heading2"/>
        <w:spacing w:after="80"/>
      </w:pPr>
      <w:r>
        <w:rPr>
          <w:color w:val="1E3A8A"/>
        </w:rPr>
        <w:t>5. AI Governance Organization &amp; Roles</w:t>
      </w:r>
    </w:p>
    <w:p w14:paraId="49B28A5E" w14:textId="77777777" w:rsidR="00445460" w:rsidRDefault="009778C3">
      <w:pPr>
        <w:spacing w:after="80"/>
      </w:pPr>
      <w:r>
        <w:t xml:space="preserve">Information security and AI governance are directed by an </w:t>
      </w:r>
      <w:r>
        <w:rPr>
          <w:b/>
        </w:rPr>
        <w:t>AI Safety &amp; Ethics Board (ASEB)</w:t>
      </w:r>
      <w:r>
        <w:t xml:space="preserve"> meeting bi-weekly.</w:t>
      </w:r>
    </w:p>
    <w:p w14:paraId="5210AEA9" w14:textId="77777777" w:rsidR="009778C3" w:rsidRDefault="009778C3">
      <w:pPr>
        <w:spacing w:before="80" w:after="80"/>
        <w:ind w:left="288"/>
        <w:rPr>
          <w:rFonts w:ascii="Consolas" w:hAnsi="Consolas"/>
          <w:color w:val="1E293B"/>
          <w:sz w:val="17"/>
        </w:rPr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1E293B"/>
          <w:sz w:val="17"/>
        </w:rPr>
        <w:br/>
        <w:t>│                    TALENTMATCH AI GOVERNANCE STRUCTURE                      │</w:t>
      </w:r>
      <w:r>
        <w:rPr>
          <w:rFonts w:ascii="Consolas" w:hAnsi="Consolas"/>
          <w:color w:val="1E293B"/>
          <w:sz w:val="17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1E293B"/>
          <w:sz w:val="17"/>
        </w:rPr>
        <w:br/>
        <w:t xml:space="preserve">│               </w:t>
      </w:r>
      <w:r>
        <w:rPr>
          <w:rFonts w:ascii="Consolas" w:hAnsi="Consolas"/>
          <w:color w:val="1E293B"/>
          <w:sz w:val="17"/>
        </w:rPr>
        <w:t xml:space="preserve">            Chief Executive Officer                           │</w:t>
      </w:r>
      <w:r>
        <w:rPr>
          <w:rFonts w:ascii="Consolas" w:hAnsi="Consolas"/>
          <w:color w:val="1E293B"/>
          <w:sz w:val="17"/>
        </w:rPr>
        <w:br/>
        <w:t>│                                      │                                      │</w:t>
      </w:r>
      <w:r>
        <w:rPr>
          <w:rFonts w:ascii="Consolas" w:hAnsi="Consolas"/>
          <w:color w:val="1E293B"/>
          <w:sz w:val="17"/>
        </w:rPr>
        <w:br/>
        <w:t>│                         AI Safety &amp; Ethics Board                            │</w:t>
      </w:r>
      <w:r>
        <w:rPr>
          <w:rFonts w:ascii="Consolas" w:hAnsi="Consolas"/>
          <w:color w:val="1E293B"/>
          <w:sz w:val="17"/>
        </w:rPr>
        <w:br/>
        <w:t xml:space="preserve">│                               </w:t>
      </w:r>
      <w:r>
        <w:rPr>
          <w:rFonts w:ascii="Consolas" w:hAnsi="Consolas"/>
          <w:color w:val="1E293B"/>
          <w:sz w:val="17"/>
        </w:rPr>
        <w:t xml:space="preserve">       │                                      │</w:t>
      </w:r>
      <w:r>
        <w:rPr>
          <w:rFonts w:ascii="Consolas" w:hAnsi="Consolas"/>
          <w:color w:val="1E293B"/>
          <w:sz w:val="17"/>
        </w:rPr>
        <w:br/>
        <w:t>│         ┌────────────────────────────┼────────────────────────────┐         │</w:t>
      </w:r>
      <w:r>
        <w:rPr>
          <w:rFonts w:ascii="Consolas" w:hAnsi="Consolas"/>
          <w:color w:val="1E293B"/>
          <w:sz w:val="17"/>
        </w:rPr>
        <w:br/>
        <w:t>│         ▼                            ▼                            ▼         │</w:t>
      </w:r>
      <w:r>
        <w:rPr>
          <w:rFonts w:ascii="Consolas" w:hAnsi="Consolas"/>
          <w:color w:val="1E293B"/>
          <w:sz w:val="17"/>
        </w:rPr>
        <w:br/>
        <w:t>│  Chief AI Officer (CAIO)    Head of AI Enginee</w:t>
      </w:r>
      <w:r>
        <w:rPr>
          <w:rFonts w:ascii="Consolas" w:hAnsi="Consolas"/>
          <w:color w:val="1E293B"/>
          <w:sz w:val="17"/>
        </w:rPr>
        <w:t xml:space="preserve">ring          Data Protection 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 xml:space="preserve">│         │                            │                    Officer (DPO)     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>│  ┌──────┴──────┐             ┌───────┴───────┐             ┌──────┴──────┐  │</w:t>
      </w:r>
      <w:r>
        <w:rPr>
          <w:rFonts w:ascii="Consolas" w:hAnsi="Consolas"/>
          <w:color w:val="1E293B"/>
          <w:sz w:val="17"/>
        </w:rPr>
        <w:br/>
        <w:t xml:space="preserve">│  ▼             ▼             ▼               ▼             ▼  </w:t>
      </w:r>
      <w:r>
        <w:rPr>
          <w:rFonts w:ascii="Consolas" w:hAnsi="Consolas"/>
          <w:color w:val="1E293B"/>
          <w:sz w:val="17"/>
        </w:rPr>
        <w:t xml:space="preserve">           ▼  │</w:t>
      </w:r>
      <w:r>
        <w:rPr>
          <w:rFonts w:ascii="Consolas" w:hAnsi="Consolas"/>
          <w:color w:val="1E293B"/>
          <w:sz w:val="17"/>
        </w:rPr>
        <w:br/>
        <w:t xml:space="preserve">│ AI GRC Lead  Fairness     MLOps Lead      NLP Lead       Privacy     Legal </w:t>
      </w:r>
    </w:p>
    <w:p w14:paraId="61731548" w14:textId="75EE5875" w:rsidR="00445460" w:rsidRDefault="009778C3"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 xml:space="preserve">                                                                      </w:t>
      </w:r>
      <w:r>
        <w:rPr>
          <w:rFonts w:ascii="Consolas" w:hAnsi="Consolas"/>
          <w:color w:val="1E293B"/>
          <w:sz w:val="17"/>
        </w:rPr>
        <w:t xml:space="preserve">Counsel 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 xml:space="preserve">│ Engineer     Auditor                                     Analyst            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>└─────────────────────────────────────────────────────────────────────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Consolas" w:hAnsi="Consolas"/>
          <w:color w:val="1E293B"/>
          <w:sz w:val="17"/>
        </w:rPr>
        <w:t>────────┘</w:t>
      </w:r>
    </w:p>
    <w:p w14:paraId="170462E5" w14:textId="77777777" w:rsidR="00445460" w:rsidRDefault="009778C3">
      <w:pPr>
        <w:pStyle w:val="Heading3"/>
        <w:spacing w:before="160" w:after="40"/>
      </w:pPr>
      <w:r>
        <w:t>Roles &amp; Responsibilities</w:t>
      </w:r>
    </w:p>
    <w:p w14:paraId="1E52A8B6" w14:textId="77777777" w:rsidR="00445460" w:rsidRDefault="009778C3">
      <w:pPr>
        <w:pStyle w:val="ListBullet"/>
        <w:spacing w:after="40"/>
      </w:pPr>
      <w:r>
        <w:rPr>
          <w:b/>
        </w:rPr>
        <w:t>Chief AI Officer (CAIO):</w:t>
      </w:r>
      <w:r>
        <w:t xml:space="preserve"> Overall accountability for AI risk management (Article 9), quality management systems (Article 17), and regulatory compliance filings.</w:t>
      </w:r>
    </w:p>
    <w:p w14:paraId="641F0676" w14:textId="77777777" w:rsidR="00445460" w:rsidRDefault="009778C3">
      <w:pPr>
        <w:pStyle w:val="ListBullet"/>
        <w:spacing w:after="40"/>
      </w:pPr>
      <w:r>
        <w:rPr>
          <w:b/>
        </w:rPr>
        <w:t>AI GRC Lead Engineer:</w:t>
      </w:r>
      <w:r>
        <w:t xml:space="preserve"> Operational maintenance of the EU AI Ac</w:t>
      </w:r>
      <w:r>
        <w:t>t Control Matrix, technical documentation binders (Annex IV), and regulator challenge readiness.</w:t>
      </w:r>
    </w:p>
    <w:p w14:paraId="1547CD7D" w14:textId="77777777" w:rsidR="00445460" w:rsidRDefault="009778C3">
      <w:pPr>
        <w:pStyle w:val="ListBullet"/>
        <w:spacing w:after="40"/>
      </w:pPr>
      <w:r>
        <w:rPr>
          <w:b/>
        </w:rPr>
        <w:t>Fairness Auditor:</w:t>
      </w:r>
      <w:r>
        <w:t xml:space="preserve"> Execution of statistical bias testing, Disparate Impact Ratio (DIR) calculations, and Fairlearn mitigation calibrations.</w:t>
      </w:r>
    </w:p>
    <w:p w14:paraId="7EA2E81B" w14:textId="77777777" w:rsidR="00445460" w:rsidRDefault="009778C3">
      <w:pPr>
        <w:pStyle w:val="ListBullet"/>
        <w:spacing w:after="40"/>
      </w:pPr>
      <w:r>
        <w:rPr>
          <w:b/>
        </w:rPr>
        <w:lastRenderedPageBreak/>
        <w:t>MLOps Lead:</w:t>
      </w:r>
      <w:r>
        <w:t xml:space="preserve"> Technica</w:t>
      </w:r>
      <w:r>
        <w:t>l management of model versioning, concept drift monitoring pipelines, and model registry governance.</w:t>
      </w:r>
    </w:p>
    <w:p w14:paraId="4AAF60C0" w14:textId="77777777" w:rsidR="00445460" w:rsidRDefault="009778C3">
      <w:pPr>
        <w:pStyle w:val="ListBullet"/>
        <w:spacing w:after="40"/>
      </w:pPr>
      <w:r>
        <w:rPr>
          <w:b/>
        </w:rPr>
        <w:t>Data Protection Officer (DPO):</w:t>
      </w:r>
      <w:r>
        <w:t xml:space="preserve"> Independent oversight of GDPR compliance, Privacy Impact Assessments (DPIAs), and candidate access rights.</w:t>
      </w:r>
    </w:p>
    <w:sectPr w:rsidR="0044546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5460"/>
    <w:rsid w:val="009778C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85EB83"/>
  <w14:defaultImageDpi w14:val="300"/>
  <w15:docId w15:val="{A217D32A-6992-4611-B681-D84C978B7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2</cp:revision>
  <dcterms:created xsi:type="dcterms:W3CDTF">2013-12-23T23:15:00Z</dcterms:created>
  <dcterms:modified xsi:type="dcterms:W3CDTF">2026-08-19T12:11:00Z</dcterms:modified>
  <cp:category/>
</cp:coreProperties>
</file>