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color w:val="0F172A"/>
        </w:rPr>
        <w:t>System Performance, Accuracy &amp; Robustness Audit (EU AI Act Article 15)</w:t>
      </w:r>
    </w:p>
    <w:p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 All performance metrics, accuracy statistics, and confusion matrix values represent simulated empirical evaluation data.</w:t>
      </w: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color w:val="1E3A8A"/>
        </w:rPr>
        <w:t>1. Statutory Context (EU AI Act Article 15)</w:t>
      </w:r>
    </w:p>
    <w:p>
      <w:pPr>
        <w:spacing w:before="0" w:after="80"/>
      </w:pPr>
      <w:r>
        <w:rPr>
          <w:b/>
        </w:rPr>
        <w:t>Article 15 of Regulation (EU) 2024/1689</w:t>
      </w:r>
      <w:r>
        <w:t xml:space="preserve"> mandates that high-risk AI systems shall be designed and developed in such a way that they achieve an appropriate level of accuracy, robustness, and cybersecurity, and perform consistently in these respects throughout their lifecycle.</w:t>
      </w: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color w:val="1E3A8A"/>
        </w:rPr>
        <w:t>2. Empirical Performance Metrics Summary</w:t>
      </w:r>
    </w:p>
    <w:p>
      <w:pPr>
        <w:spacing w:before="0" w:after="80"/>
      </w:pPr>
      <w:r>
        <w:t xml:space="preserve">TalentMatch AI v2.4 was evaluated on a holdout test set of </w:t>
      </w:r>
      <w:r>
        <w:rPr>
          <w:b/>
        </w:rPr>
        <w:t>7,500 unseen candidate profiles</w:t>
      </w:r>
      <w:r>
        <w:t xml:space="preserve"> across 4 job domains (Engineering, Finance, Marketing, Customer Support).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TALENTMATCH AI v2.4 PERFORMANCE SCORECARD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Overall Model Accuracy (Post-Mitigation) │ 76.5% (Pre-Mitigation: 78.0%)  │</w:t>
        <w:br/>
        <w:t>│  Precision (Shortlist Relevance)           │ 0.792                           │</w:t>
        <w:br/>
        <w:t>│  Recall (Qualified Candidate Capture)     │ 0.758                           │</w:t>
        <w:br/>
        <w:t>│  F1-Score                                  │ 0.775                           │</w:t>
        <w:br/>
        <w:t>│  ROC-AUC Score                             │ 0.841                           │</w:t>
        <w:br/>
        <w:t>│  Mean Absolute Error (MAE)                 │ 4.12 Points (out of 100)        │</w:t>
        <w:br/>
        <w:t>│  Inference Latency (95th Percentile)       │ 420 ms per resume PDF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color w:val="1E3A8A"/>
        </w:rPr>
        <w:t>3. The Accuracy vs. Fairness Trade-Off</w:t>
      </w:r>
    </w:p>
    <w:p>
      <w:pPr>
        <w:spacing w:before="0" w:after="80"/>
      </w:pPr>
      <w:r>
        <w:t xml:space="preserve">To satisfy Article 10 bias mitigation requirements, TalentMatch AI B.V. applied </w:t>
      </w:r>
      <w:r>
        <w:rPr>
          <w:b/>
        </w:rPr>
        <w:t>Fairlearn demographic parity calibration</w:t>
      </w:r>
      <w:r>
        <w:t xml:space="preserve"> and </w:t>
      </w:r>
      <w:r>
        <w:rPr>
          <w:b/>
        </w:rPr>
        <w:t>proxy feature masking</w:t>
      </w:r>
      <w:r>
        <w:t xml:space="preserve"> (removing graduation year, masking university prestige).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ACCURACY VS FAIRNESS TRADEOFF ANALYSIS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 MODEL VERSION           ACCURACY     MIN SUBGROUP DIR    FAIRNESS STATUS  │</w:t>
        <w:br/>
        <w:t>│   ─────────────           ────────     ────────────────    ───────────────  │</w:t>
        <w:br/>
        <w:t>│   v2.3 (Unmitigated Baseline) 78.0%         0.649           FAIL (&lt; 0.80)   │</w:t>
        <w:br/>
        <w:t>│   v2.4 (Mitigated &amp; Calibrated) 76.5%       0.823           PASS (&gt;= 0.80)  │</w:t>
        <w:br/>
        <w:t>│                                                                             │</w:t>
        <w:br/>
        <w:t>│   GRC TRADE-OFF DECISION:                                                   │</w:t>
        <w:br/>
        <w:t>│   Accepting a 1.5% drop in overall accuracy was legally mandatory to        │</w:t>
        <w:br/>
        <w:t>│   eliminate severe subgroup discrimination against older candidates (45+)   │</w:t>
        <w:br/>
        <w:t>│   and non-Western candidate profiles. Fundamental rights protections take   │</w:t>
        <w:br/>
        <w:t>│   precedence over raw predictive optimization under EU AI Act Article 10.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color w:val="1E3A8A"/>
        </w:rPr>
        <w:t>4. Confusion Matrix Analysis (7,500 Test Profiles)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6" w:space="0" w:color="999999"/>
          <w:right w:val="none"/>
          <w:insideH w:val="single" w:sz="4" w:space="0" w:color="E0E0E0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Actual Candidate Qualification</w:t>
            </w:r>
          </w:p>
        </w:tc>
        <w:tc>
          <w:tcPr>
            <w:tcW w:type="dxa" w:w="2484"/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Predicted: Shortlisted ($\ge 75.0$)</w:t>
            </w:r>
          </w:p>
        </w:tc>
        <w:tc>
          <w:tcPr>
            <w:tcW w:type="dxa" w:w="2484"/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Predicted: Not Shortlisted ($&lt; 75.0$)</w:t>
            </w:r>
          </w:p>
        </w:tc>
        <w:tc>
          <w:tcPr>
            <w:tcW w:type="dxa" w:w="2484"/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b/>
              </w:rPr>
              <w:t>Actually Qualified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t>2,842 (True Positives)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t>908 (False Negatives)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t>3,750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40" w:after="40"/>
            </w:pPr>
            <w:r>
              <w:rPr>
                <w:b/>
              </w:rPr>
              <w:t>Actually Unqualified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</w:pPr>
            <w:r>
              <w:t>748 (False Positives)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</w:pPr>
            <w:r>
              <w:t>3,002 (True Negatives)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</w:pPr>
            <w:r>
              <w:t>3,750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t>3,590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t>3,910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t>7,500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t>Analysis of Classification Errors</w:t>
      </w:r>
    </w:p>
    <w:p>
      <w:pPr>
        <w:pStyle w:val="ListBullet"/>
        <w:spacing w:before="0" w:after="40"/>
      </w:pPr>
      <w:r>
        <w:rPr>
          <w:b/>
        </w:rPr>
        <w:t>False Negative Rate (24.2%):</w:t>
      </w:r>
      <w:r>
        <w:t xml:space="preserve"> Qualified candidates placed below score threshold. Mitigated by Article 14 Human Oversight (recruiters can manually search unranked pool) and Candidate Right to Appeal (</w:t>
      </w:r>
      <w:r>
        <w:rPr>
          <w:rFonts w:ascii="Consolas" w:hAnsi="Consolas"/>
          <w:color w:val="333333"/>
          <w:sz w:val="19"/>
        </w:rPr>
        <w:t>decision/go-no-go.md</w:t>
      </w:r>
      <w:r>
        <w:t>).</w:t>
      </w:r>
    </w:p>
    <w:p>
      <w:pPr>
        <w:pStyle w:val="ListBullet"/>
        <w:spacing w:before="0" w:after="40"/>
      </w:pPr>
      <w:r>
        <w:rPr>
          <w:b/>
        </w:rPr>
        <w:t>False Positive Rate (19.9%):</w:t>
      </w:r>
      <w:r>
        <w:t xml:space="preserve"> Unqualified candidates shortlisted by AI. Caught and rejected during 2-minute recruiter manual review.</w:t>
      </w: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color w:val="1E3A8A"/>
        </w:rPr>
        <w:t>5. Concept Drift &amp; System Robustness Protocols</w:t>
      </w:r>
    </w:p>
    <w:p>
      <w:pPr>
        <w:pStyle w:val="ListNumber"/>
        <w:spacing w:before="0" w:after="40"/>
      </w:pPr>
      <w:r>
        <w:rPr>
          <w:b/>
        </w:rPr>
        <w:t>Embedding Drift Threshold:</w:t>
      </w:r>
      <w:r>
        <w:t xml:space="preserve"> Continuous monitoring of cosine distance shifts between production embeddings and baseline training vectors. A drift score $&gt;0.15$ triggers an automated alert to the MLOps Lead.</w:t>
      </w:r>
    </w:p>
    <w:p>
      <w:pPr>
        <w:pStyle w:val="ListNumber"/>
        <w:spacing w:before="0" w:after="40"/>
      </w:pPr>
      <w:r>
        <w:rPr>
          <w:b/>
        </w:rPr>
        <w:t>Graceful Fallback:</w:t>
      </w:r>
      <w:r>
        <w:t xml:space="preserve"> If PDF text parsing fails due to complex layout corruption, system falls back to basic OCR text extraction and alerts the recruiter to conduct a 100% manual review.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