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AFB09" w14:textId="77777777" w:rsidR="009D1090" w:rsidRDefault="002E3EF7">
      <w:pPr>
        <w:pStyle w:val="Heading1"/>
        <w:spacing w:before="240" w:after="120"/>
      </w:pPr>
      <w:r>
        <w:t>Document 2: Risk Management Summary</w:t>
      </w:r>
    </w:p>
    <w:p w14:paraId="1B5D731F" w14:textId="77777777" w:rsidR="009D1090" w:rsidRDefault="002E3EF7">
      <w:pPr>
        <w:spacing w:before="40" w:after="80"/>
      </w:pPr>
      <w:r>
        <w:rPr>
          <w:b/>
        </w:rPr>
        <w:t>System:</w:t>
      </w:r>
      <w:r>
        <w:t xml:space="preserve"> HireAssist Pro (NS-AI-008)</w:t>
      </w:r>
    </w:p>
    <w:p w14:paraId="6B1620A2" w14:textId="77777777" w:rsidR="009D1090" w:rsidRDefault="002E3EF7">
      <w:pPr>
        <w:spacing w:before="40" w:after="80"/>
      </w:pPr>
      <w:r>
        <w:rPr>
          <w:b/>
        </w:rPr>
        <w:t>EU AI Act Reference:</w:t>
      </w:r>
      <w:r>
        <w:t xml:space="preserve"> Article 9 (Risk Management System)</w:t>
      </w:r>
    </w:p>
    <w:p w14:paraId="4AEEE5C8" w14:textId="77777777" w:rsidR="009D1090" w:rsidRDefault="002E3EF7">
      <w:pPr>
        <w:spacing w:before="40" w:after="80"/>
      </w:pPr>
      <w:r>
        <w:rPr>
          <w:b/>
        </w:rPr>
        <w:t>Document Type:</w:t>
      </w:r>
      <w:r>
        <w:t xml:space="preserve"> Deployer (NorthStar) — with provider inputs</w:t>
      </w:r>
    </w:p>
    <w:p w14:paraId="49F1F81B" w14:textId="77777777" w:rsidR="009D1090" w:rsidRDefault="002E3EF7">
      <w:pPr>
        <w:spacing w:before="40" w:after="80"/>
      </w:pPr>
      <w:r>
        <w:rPr>
          <w:b/>
        </w:rPr>
        <w:t>Version:</w:t>
      </w:r>
      <w:r>
        <w:t xml:space="preserve"> 1.0 — March 2026</w:t>
      </w:r>
    </w:p>
    <w:p w14:paraId="62C80477" w14:textId="77777777" w:rsidR="009D1090" w:rsidRDefault="009D1090">
      <w:pPr>
        <w:pBdr>
          <w:bottom w:val="single" w:sz="6" w:space="1" w:color="D3D3D3"/>
        </w:pBdr>
        <w:spacing w:before="120" w:after="120"/>
      </w:pPr>
    </w:p>
    <w:p w14:paraId="2E602F36" w14:textId="77777777" w:rsidR="009D1090" w:rsidRDefault="002E3EF7">
      <w:pPr>
        <w:pStyle w:val="Heading2"/>
        <w:spacing w:before="240" w:after="80"/>
      </w:pPr>
      <w:r>
        <w:t>1. Risk Management System Overview</w:t>
      </w:r>
    </w:p>
    <w:p w14:paraId="3AFFE643" w14:textId="77777777" w:rsidR="009D1090" w:rsidRDefault="002E3EF7" w:rsidP="002E3EF7">
      <w:pPr>
        <w:spacing w:before="40" w:after="80"/>
        <w:jc w:val="both"/>
      </w:pPr>
      <w:r>
        <w:t>Article 9 of the EU AI Act requires that high-risk AI systems be subject to a risk management system that is a continuous, iterative process across the system's entire lifecycle. This document summarises the risk management approach for HireAssist Pro at N</w:t>
      </w:r>
      <w:r>
        <w:t>orthStar Financial Services.</w:t>
      </w:r>
    </w:p>
    <w:p w14:paraId="0631624C" w14:textId="77777777" w:rsidR="009D1090" w:rsidRDefault="002E3EF7" w:rsidP="002E3EF7">
      <w:pPr>
        <w:spacing w:before="40" w:after="80"/>
        <w:jc w:val="both"/>
      </w:pPr>
      <w:r>
        <w:t>The risk management system covers:</w:t>
      </w:r>
    </w:p>
    <w:p w14:paraId="2F94BBCD" w14:textId="77777777" w:rsidR="009D1090" w:rsidRDefault="002E3EF7" w:rsidP="002E3EF7">
      <w:pPr>
        <w:pStyle w:val="ListBullet"/>
        <w:spacing w:before="20" w:after="40"/>
        <w:jc w:val="both"/>
      </w:pPr>
      <w:r>
        <w:t>Identification and analysis of known and foreseeable risks</w:t>
      </w:r>
    </w:p>
    <w:p w14:paraId="77F5782B" w14:textId="77777777" w:rsidR="009D1090" w:rsidRDefault="002E3EF7" w:rsidP="002E3EF7">
      <w:pPr>
        <w:pStyle w:val="ListBullet"/>
        <w:spacing w:before="20" w:after="40"/>
        <w:jc w:val="both"/>
      </w:pPr>
      <w:r>
        <w:t>Estimation and evaluation of risks in the deployment context</w:t>
      </w:r>
    </w:p>
    <w:p w14:paraId="1F0FFB84" w14:textId="77777777" w:rsidR="009D1090" w:rsidRDefault="002E3EF7" w:rsidP="002E3EF7">
      <w:pPr>
        <w:pStyle w:val="ListBullet"/>
        <w:spacing w:before="20" w:after="40"/>
        <w:jc w:val="both"/>
      </w:pPr>
      <w:r>
        <w:t>Implementation of risk mitigation measures</w:t>
      </w:r>
    </w:p>
    <w:p w14:paraId="4330AE07" w14:textId="77777777" w:rsidR="009D1090" w:rsidRDefault="002E3EF7" w:rsidP="002E3EF7">
      <w:pPr>
        <w:pStyle w:val="ListBullet"/>
        <w:spacing w:before="20" w:after="40"/>
        <w:jc w:val="both"/>
      </w:pPr>
      <w:r>
        <w:t>Residual risk assessment</w:t>
      </w:r>
    </w:p>
    <w:p w14:paraId="3D91096D" w14:textId="77777777" w:rsidR="009D1090" w:rsidRDefault="002E3EF7" w:rsidP="002E3EF7">
      <w:pPr>
        <w:pStyle w:val="ListBullet"/>
        <w:spacing w:before="20" w:after="40"/>
        <w:jc w:val="both"/>
      </w:pPr>
      <w:r>
        <w:t>Test</w:t>
      </w:r>
      <w:r>
        <w:t>ing against intended purpose and foreseeable misuse scenarios</w:t>
      </w:r>
    </w:p>
    <w:p w14:paraId="00236DFF" w14:textId="77777777" w:rsidR="009D1090" w:rsidRDefault="002E3EF7" w:rsidP="002E3EF7">
      <w:pPr>
        <w:pStyle w:val="ListBullet"/>
        <w:spacing w:before="20" w:after="40"/>
        <w:jc w:val="both"/>
      </w:pPr>
      <w:r>
        <w:t>Review and update obligations</w:t>
      </w:r>
    </w:p>
    <w:p w14:paraId="6A3F897B" w14:textId="77777777" w:rsidR="009D1090" w:rsidRDefault="009D1090">
      <w:pPr>
        <w:pBdr>
          <w:bottom w:val="single" w:sz="6" w:space="1" w:color="D3D3D3"/>
        </w:pBdr>
        <w:spacing w:before="120" w:after="120"/>
      </w:pPr>
    </w:p>
    <w:p w14:paraId="228A1638" w14:textId="77777777" w:rsidR="009D1090" w:rsidRDefault="002E3EF7">
      <w:pPr>
        <w:pStyle w:val="Heading2"/>
        <w:spacing w:before="240" w:after="80"/>
      </w:pPr>
      <w:r>
        <w:t>2. Risk Identification</w:t>
      </w:r>
    </w:p>
    <w:p w14:paraId="26831EBD" w14:textId="77777777" w:rsidR="009D1090" w:rsidRDefault="002E3EF7">
      <w:pPr>
        <w:spacing w:before="40" w:after="80"/>
      </w:pPr>
      <w:r>
        <w:t>The following risk categories have been identified for HireAssist Pro in NorthStar's deployment context:</w:t>
      </w:r>
    </w:p>
    <w:p w14:paraId="0F3EFB93" w14:textId="77777777" w:rsidR="009D1090" w:rsidRDefault="002E3EF7">
      <w:pPr>
        <w:pStyle w:val="Heading3"/>
        <w:spacing w:before="160" w:after="40"/>
      </w:pPr>
      <w:r>
        <w:t>R1 — Discriminatory Shortlisting Ou</w:t>
      </w:r>
      <w:r>
        <w:t>tcomes</w:t>
      </w:r>
    </w:p>
    <w:p w14:paraId="7E45F1BE" w14:textId="77777777" w:rsidR="009D1090" w:rsidRDefault="002E3EF7" w:rsidP="002E3EF7">
      <w:pPr>
        <w:spacing w:before="40" w:after="80"/>
        <w:jc w:val="both"/>
      </w:pPr>
      <w:r>
        <w:rPr>
          <w:b/>
        </w:rPr>
        <w:t>Description:</w:t>
      </w:r>
      <w:r>
        <w:t xml:space="preserve"> The model may produce shortlists that systematically disadvantage candidates from protected groups (gender, age, ethnicity, disability) due to proxy discrimination, training data bias, or feature encoding.</w:t>
      </w:r>
    </w:p>
    <w:p w14:paraId="5C5800D4" w14:textId="77777777" w:rsidR="009D1090" w:rsidRDefault="002E3EF7" w:rsidP="002E3EF7">
      <w:pPr>
        <w:spacing w:before="40" w:after="80"/>
        <w:jc w:val="both"/>
      </w:pPr>
      <w:r>
        <w:rPr>
          <w:b/>
        </w:rPr>
        <w:t>Likelihood:</w:t>
      </w:r>
      <w:r>
        <w:t xml:space="preserve"> Medium (bias risk </w:t>
      </w:r>
      <w:r>
        <w:t>is inherent in NLP-based CV processing; vendor has conducted bias testing — see Section 3)</w:t>
      </w:r>
    </w:p>
    <w:p w14:paraId="3724BA21" w14:textId="77777777" w:rsidR="009D1090" w:rsidRDefault="002E3EF7" w:rsidP="002E3EF7">
      <w:pPr>
        <w:spacing w:before="40" w:after="80"/>
        <w:jc w:val="both"/>
      </w:pPr>
      <w:r>
        <w:rPr>
          <w:b/>
        </w:rPr>
        <w:t>Impact:</w:t>
      </w:r>
      <w:r>
        <w:t xml:space="preserve"> High (employment access denied; legal and regulatory consequence)</w:t>
      </w:r>
    </w:p>
    <w:p w14:paraId="17055A29" w14:textId="77777777" w:rsidR="009D1090" w:rsidRDefault="002E3EF7" w:rsidP="002E3EF7">
      <w:pPr>
        <w:spacing w:before="40" w:after="80"/>
        <w:jc w:val="both"/>
      </w:pPr>
      <w:r>
        <w:rPr>
          <w:b/>
        </w:rPr>
        <w:t>Risk level:</w:t>
      </w:r>
      <w:r>
        <w:t xml:space="preserve"> High</w:t>
      </w:r>
    </w:p>
    <w:p w14:paraId="43608606" w14:textId="77777777" w:rsidR="009D1090" w:rsidRDefault="002E3EF7" w:rsidP="002E3EF7">
      <w:pPr>
        <w:spacing w:before="40" w:after="80"/>
        <w:jc w:val="both"/>
      </w:pPr>
      <w:r>
        <w:rPr>
          <w:b/>
        </w:rPr>
        <w:t>Mitigation measures:</w:t>
      </w:r>
    </w:p>
    <w:p w14:paraId="690277AF" w14:textId="77777777" w:rsidR="009D1090" w:rsidRDefault="002E3EF7" w:rsidP="002E3EF7">
      <w:pPr>
        <w:pStyle w:val="ListBullet"/>
        <w:spacing w:before="20" w:after="40"/>
        <w:jc w:val="both"/>
      </w:pPr>
      <w:r>
        <w:t xml:space="preserve">Vendor-supplied bias audit against EU </w:t>
      </w:r>
      <w:r>
        <w:t>protected characteristics (pre-deployment)</w:t>
      </w:r>
    </w:p>
    <w:p w14:paraId="1EB656CF" w14:textId="77777777" w:rsidR="009D1090" w:rsidRDefault="002E3EF7" w:rsidP="002E3EF7">
      <w:pPr>
        <w:pStyle w:val="ListBullet"/>
        <w:spacing w:before="20" w:after="40"/>
        <w:jc w:val="both"/>
      </w:pPr>
      <w:r>
        <w:t>NorthStar independent validation on a representative candidate dataset</w:t>
      </w:r>
    </w:p>
    <w:p w14:paraId="542CFBB2" w14:textId="77777777" w:rsidR="009D1090" w:rsidRDefault="002E3EF7" w:rsidP="002E3EF7">
      <w:pPr>
        <w:pStyle w:val="ListBullet"/>
        <w:spacing w:before="20" w:after="40"/>
        <w:jc w:val="both"/>
      </w:pPr>
      <w:r>
        <w:t>Ongoing monitoring of shortlisting rates by demographic proxy indicators</w:t>
      </w:r>
    </w:p>
    <w:p w14:paraId="5CC0B3DA" w14:textId="77777777" w:rsidR="009D1090" w:rsidRDefault="002E3EF7" w:rsidP="002E3EF7">
      <w:pPr>
        <w:pStyle w:val="ListBullet"/>
        <w:spacing w:before="20" w:after="40"/>
        <w:jc w:val="both"/>
      </w:pPr>
      <w:r>
        <w:lastRenderedPageBreak/>
        <w:t>Human oversight of all shortlisting decisions (see Document 4)</w:t>
      </w:r>
    </w:p>
    <w:p w14:paraId="67C0AA61" w14:textId="77777777" w:rsidR="009D1090" w:rsidRDefault="002E3EF7" w:rsidP="002E3EF7">
      <w:pPr>
        <w:spacing w:before="40" w:after="80"/>
        <w:jc w:val="both"/>
      </w:pPr>
      <w:r>
        <w:rPr>
          <w:b/>
        </w:rPr>
        <w:t>Residu</w:t>
      </w:r>
      <w:r>
        <w:rPr>
          <w:b/>
        </w:rPr>
        <w:t>al risk:</w:t>
      </w:r>
      <w:r>
        <w:t xml:space="preserve"> Medium (mitigations reduce but do not eliminate bias risk; ongoing monitoring is essential)</w:t>
      </w:r>
    </w:p>
    <w:p w14:paraId="65553290" w14:textId="77777777" w:rsidR="009D1090" w:rsidRDefault="009D1090">
      <w:pPr>
        <w:pBdr>
          <w:bottom w:val="single" w:sz="6" w:space="1" w:color="D3D3D3"/>
        </w:pBdr>
        <w:spacing w:before="120" w:after="120"/>
      </w:pPr>
    </w:p>
    <w:p w14:paraId="1081AAA9" w14:textId="77777777" w:rsidR="009D1090" w:rsidRDefault="002E3EF7">
      <w:pPr>
        <w:pStyle w:val="Heading3"/>
        <w:spacing w:before="160" w:after="40"/>
      </w:pPr>
      <w:r>
        <w:t>R2 — Over-reliance by HR Users</w:t>
      </w:r>
    </w:p>
    <w:p w14:paraId="597CE1E5" w14:textId="77777777" w:rsidR="009D1090" w:rsidRDefault="002E3EF7" w:rsidP="002E3EF7">
      <w:pPr>
        <w:spacing w:before="40" w:after="80"/>
        <w:jc w:val="both"/>
      </w:pPr>
      <w:r>
        <w:rPr>
          <w:b/>
        </w:rPr>
        <w:t>Description:</w:t>
      </w:r>
      <w:r>
        <w:t xml:space="preserve"> HR coordinators may defer to AI recommendations without exercising genuine independent judgement, effectively </w:t>
      </w:r>
      <w:r>
        <w:t>making the system's output the decision rather than a recommendation.</w:t>
      </w:r>
    </w:p>
    <w:p w14:paraId="26F2F97E" w14:textId="77777777" w:rsidR="009D1090" w:rsidRDefault="002E3EF7" w:rsidP="002E3EF7">
      <w:pPr>
        <w:spacing w:before="40" w:after="80"/>
        <w:jc w:val="both"/>
      </w:pPr>
      <w:r>
        <w:rPr>
          <w:b/>
        </w:rPr>
        <w:t>Likelihood:</w:t>
      </w:r>
      <w:r>
        <w:t xml:space="preserve"> Medium (documented phenomenon in human-AI teaming)</w:t>
      </w:r>
    </w:p>
    <w:p w14:paraId="525A0E72" w14:textId="77777777" w:rsidR="009D1090" w:rsidRDefault="002E3EF7" w:rsidP="002E3EF7">
      <w:pPr>
        <w:spacing w:before="40" w:after="80"/>
        <w:jc w:val="both"/>
      </w:pPr>
      <w:r>
        <w:rPr>
          <w:b/>
        </w:rPr>
        <w:t>Impact:</w:t>
      </w:r>
      <w:r>
        <w:t xml:space="preserve"> Medium (undermines human oversight; increases downstream risk of R1 harm)</w:t>
      </w:r>
    </w:p>
    <w:p w14:paraId="63E903AD" w14:textId="77777777" w:rsidR="009D1090" w:rsidRDefault="002E3EF7" w:rsidP="002E3EF7">
      <w:pPr>
        <w:spacing w:before="40" w:after="80"/>
        <w:jc w:val="both"/>
      </w:pPr>
      <w:r>
        <w:rPr>
          <w:b/>
        </w:rPr>
        <w:t>Risk level:</w:t>
      </w:r>
      <w:r>
        <w:t xml:space="preserve"> Medium</w:t>
      </w:r>
    </w:p>
    <w:p w14:paraId="7D3F02FF" w14:textId="77777777" w:rsidR="009D1090" w:rsidRDefault="002E3EF7" w:rsidP="002E3EF7">
      <w:pPr>
        <w:spacing w:before="40" w:after="80"/>
        <w:jc w:val="both"/>
      </w:pPr>
      <w:r>
        <w:rPr>
          <w:b/>
        </w:rPr>
        <w:t>Mitigation measures:</w:t>
      </w:r>
    </w:p>
    <w:p w14:paraId="7562FA34" w14:textId="77777777" w:rsidR="009D1090" w:rsidRDefault="002E3EF7" w:rsidP="002E3EF7">
      <w:pPr>
        <w:pStyle w:val="ListBullet"/>
        <w:spacing w:before="20" w:after="40"/>
        <w:jc w:val="both"/>
      </w:pPr>
      <w:r>
        <w:t>M</w:t>
      </w:r>
      <w:r>
        <w:t>andatory oversight training before system access is granted</w:t>
      </w:r>
    </w:p>
    <w:p w14:paraId="7125899C" w14:textId="77777777" w:rsidR="009D1090" w:rsidRDefault="002E3EF7" w:rsidP="002E3EF7">
      <w:pPr>
        <w:pStyle w:val="ListBullet"/>
        <w:spacing w:before="20" w:after="40"/>
        <w:jc w:val="both"/>
      </w:pPr>
      <w:r>
        <w:t>UI design: shortlist presented with explanation text requiring active review, not just approval</w:t>
      </w:r>
    </w:p>
    <w:p w14:paraId="481D1517" w14:textId="77777777" w:rsidR="009D1090" w:rsidRDefault="002E3EF7" w:rsidP="002E3EF7">
      <w:pPr>
        <w:pStyle w:val="ListBullet"/>
        <w:spacing w:before="20" w:after="40"/>
        <w:jc w:val="both"/>
      </w:pPr>
      <w:r>
        <w:t>Override rate monitoring — unusually low override rates trigger coaching</w:t>
      </w:r>
    </w:p>
    <w:p w14:paraId="1EBEF118" w14:textId="77777777" w:rsidR="009D1090" w:rsidRDefault="002E3EF7" w:rsidP="002E3EF7">
      <w:pPr>
        <w:pStyle w:val="ListBullet"/>
        <w:spacing w:before="20" w:after="40"/>
        <w:jc w:val="both"/>
      </w:pPr>
      <w:r>
        <w:t>Annual oversight effectiven</w:t>
      </w:r>
      <w:r>
        <w:t>ess assessment</w:t>
      </w:r>
    </w:p>
    <w:p w14:paraId="1E33E21D" w14:textId="77777777" w:rsidR="009D1090" w:rsidRDefault="002E3EF7" w:rsidP="002E3EF7">
      <w:pPr>
        <w:spacing w:before="40" w:after="80"/>
        <w:jc w:val="both"/>
      </w:pPr>
      <w:r>
        <w:rPr>
          <w:b/>
        </w:rPr>
        <w:t>Residual risk:</w:t>
      </w:r>
      <w:r>
        <w:t xml:space="preserve"> Low</w:t>
      </w:r>
    </w:p>
    <w:p w14:paraId="47763572" w14:textId="77777777" w:rsidR="009D1090" w:rsidRDefault="009D1090">
      <w:pPr>
        <w:pBdr>
          <w:bottom w:val="single" w:sz="6" w:space="1" w:color="D3D3D3"/>
        </w:pBdr>
        <w:spacing w:before="120" w:after="120"/>
      </w:pPr>
    </w:p>
    <w:p w14:paraId="1CED381F" w14:textId="77777777" w:rsidR="009D1090" w:rsidRDefault="002E3EF7">
      <w:pPr>
        <w:pStyle w:val="Heading3"/>
        <w:spacing w:before="160" w:after="40"/>
      </w:pPr>
      <w:r>
        <w:t>R3 — Scope Creep Beyond Intended Purpose</w:t>
      </w:r>
    </w:p>
    <w:p w14:paraId="538ED1B4" w14:textId="77777777" w:rsidR="009D1090" w:rsidRDefault="002E3EF7" w:rsidP="002E3EF7">
      <w:pPr>
        <w:spacing w:before="40" w:after="80"/>
        <w:jc w:val="both"/>
      </w:pPr>
      <w:r>
        <w:rPr>
          <w:b/>
        </w:rPr>
        <w:t>Description:</w:t>
      </w:r>
      <w:r>
        <w:t xml:space="preserve"> System used beyond the approved CV screening and shortlisting function (e.g., interview scoring, internal mobility decisions).</w:t>
      </w:r>
    </w:p>
    <w:p w14:paraId="290FDB6E" w14:textId="77777777" w:rsidR="009D1090" w:rsidRDefault="002E3EF7" w:rsidP="002E3EF7">
      <w:pPr>
        <w:spacing w:before="40" w:after="80"/>
        <w:jc w:val="both"/>
      </w:pPr>
      <w:r>
        <w:rPr>
          <w:b/>
        </w:rPr>
        <w:t>Likelihood:</w:t>
      </w:r>
      <w:r>
        <w:t xml:space="preserve"> Low (strong access controls;</w:t>
      </w:r>
      <w:r>
        <w:t xml:space="preserve"> clear policy prohibition)</w:t>
      </w:r>
    </w:p>
    <w:p w14:paraId="6061DA29" w14:textId="77777777" w:rsidR="009D1090" w:rsidRDefault="002E3EF7" w:rsidP="002E3EF7">
      <w:pPr>
        <w:spacing w:before="40" w:after="80"/>
        <w:jc w:val="both"/>
      </w:pPr>
      <w:r>
        <w:rPr>
          <w:b/>
        </w:rPr>
        <w:t>Impact:</w:t>
      </w:r>
      <w:r>
        <w:t xml:space="preserve"> Medium (different use cases may carry different risk profiles requiring separate assessment)</w:t>
      </w:r>
    </w:p>
    <w:p w14:paraId="24FB3083" w14:textId="77777777" w:rsidR="009D1090" w:rsidRDefault="002E3EF7" w:rsidP="002E3EF7">
      <w:pPr>
        <w:spacing w:before="40" w:after="80"/>
        <w:jc w:val="both"/>
      </w:pPr>
      <w:r>
        <w:rPr>
          <w:b/>
        </w:rPr>
        <w:t>Risk level:</w:t>
      </w:r>
      <w:r>
        <w:t xml:space="preserve"> Low</w:t>
      </w:r>
    </w:p>
    <w:p w14:paraId="5380CE5B" w14:textId="77777777" w:rsidR="009D1090" w:rsidRDefault="002E3EF7" w:rsidP="002E3EF7">
      <w:pPr>
        <w:spacing w:before="40" w:after="80"/>
        <w:jc w:val="both"/>
      </w:pPr>
      <w:r>
        <w:rPr>
          <w:b/>
        </w:rPr>
        <w:t>Mitigation measures:</w:t>
      </w:r>
    </w:p>
    <w:p w14:paraId="0F795ED1" w14:textId="77777777" w:rsidR="009D1090" w:rsidRDefault="002E3EF7" w:rsidP="002E3EF7">
      <w:pPr>
        <w:pStyle w:val="ListBullet"/>
        <w:spacing w:before="20" w:after="40"/>
        <w:jc w:val="both"/>
      </w:pPr>
      <w:r>
        <w:t>Technical access controls limiting available functions to approved use case</w:t>
      </w:r>
    </w:p>
    <w:p w14:paraId="3E371EAA" w14:textId="77777777" w:rsidR="009D1090" w:rsidRDefault="002E3EF7" w:rsidP="002E3EF7">
      <w:pPr>
        <w:pStyle w:val="ListBullet"/>
        <w:spacing w:before="20" w:after="40"/>
        <w:jc w:val="both"/>
      </w:pPr>
      <w:r>
        <w:t xml:space="preserve">Policy </w:t>
      </w:r>
      <w:r>
        <w:t>prohibition documented and communicated</w:t>
      </w:r>
    </w:p>
    <w:p w14:paraId="63A03613" w14:textId="77777777" w:rsidR="009D1090" w:rsidRDefault="002E3EF7" w:rsidP="002E3EF7">
      <w:pPr>
        <w:pStyle w:val="ListBullet"/>
        <w:spacing w:before="20" w:after="40"/>
        <w:jc w:val="both"/>
      </w:pPr>
      <w:r>
        <w:t>Annual scope attestation by system owner</w:t>
      </w:r>
    </w:p>
    <w:p w14:paraId="14475A56" w14:textId="77777777" w:rsidR="009D1090" w:rsidRDefault="002E3EF7" w:rsidP="002E3EF7">
      <w:pPr>
        <w:spacing w:before="40" w:after="80"/>
        <w:jc w:val="both"/>
      </w:pPr>
      <w:r>
        <w:rPr>
          <w:b/>
        </w:rPr>
        <w:t>Residual risk:</w:t>
      </w:r>
      <w:r>
        <w:t xml:space="preserve"> Low</w:t>
      </w:r>
    </w:p>
    <w:p w14:paraId="10614A25" w14:textId="77777777" w:rsidR="009D1090" w:rsidRDefault="009D1090">
      <w:pPr>
        <w:pBdr>
          <w:bottom w:val="single" w:sz="6" w:space="1" w:color="D3D3D3"/>
        </w:pBdr>
        <w:spacing w:before="120" w:after="120"/>
      </w:pPr>
    </w:p>
    <w:p w14:paraId="7F662A0E" w14:textId="77777777" w:rsidR="009D1090" w:rsidRDefault="002E3EF7">
      <w:pPr>
        <w:pStyle w:val="Heading3"/>
        <w:spacing w:before="160" w:after="40"/>
      </w:pPr>
      <w:r>
        <w:t>R4 — Data Minimisation Failure</w:t>
      </w:r>
    </w:p>
    <w:p w14:paraId="0D685945" w14:textId="77777777" w:rsidR="009D1090" w:rsidRDefault="002E3EF7" w:rsidP="002E3EF7">
      <w:pPr>
        <w:spacing w:before="40" w:after="80"/>
        <w:jc w:val="both"/>
      </w:pPr>
      <w:r>
        <w:rPr>
          <w:b/>
        </w:rPr>
        <w:t>Description:</w:t>
      </w:r>
      <w:r>
        <w:t xml:space="preserve"> System processes more candidate personal data than is necessary for the stated purpose.</w:t>
      </w:r>
    </w:p>
    <w:p w14:paraId="77355B0B" w14:textId="77777777" w:rsidR="009D1090" w:rsidRDefault="002E3EF7" w:rsidP="002E3EF7">
      <w:pPr>
        <w:spacing w:before="40" w:after="80"/>
        <w:jc w:val="both"/>
      </w:pPr>
      <w:r>
        <w:rPr>
          <w:b/>
        </w:rPr>
        <w:t>Likelihood:</w:t>
      </w:r>
      <w:r>
        <w:t xml:space="preserve"> Low (system designed to process CV content only)</w:t>
      </w:r>
    </w:p>
    <w:p w14:paraId="54F2B0ED" w14:textId="77777777" w:rsidR="009D1090" w:rsidRDefault="002E3EF7" w:rsidP="002E3EF7">
      <w:pPr>
        <w:spacing w:before="40" w:after="80"/>
        <w:jc w:val="both"/>
      </w:pPr>
      <w:r>
        <w:rPr>
          <w:b/>
        </w:rPr>
        <w:lastRenderedPageBreak/>
        <w:t>Impact:</w:t>
      </w:r>
      <w:r>
        <w:t xml:space="preserve"> Medium (GDPR compliance; candidate trust)</w:t>
      </w:r>
    </w:p>
    <w:p w14:paraId="7D7A5EB8" w14:textId="77777777" w:rsidR="009D1090" w:rsidRDefault="002E3EF7" w:rsidP="002E3EF7">
      <w:pPr>
        <w:spacing w:before="40" w:after="80"/>
        <w:jc w:val="both"/>
      </w:pPr>
      <w:r>
        <w:rPr>
          <w:b/>
        </w:rPr>
        <w:t>Risk level:</w:t>
      </w:r>
      <w:r>
        <w:t xml:space="preserve"> Low</w:t>
      </w:r>
    </w:p>
    <w:p w14:paraId="5A90A4E4" w14:textId="77777777" w:rsidR="009D1090" w:rsidRDefault="002E3EF7" w:rsidP="002E3EF7">
      <w:pPr>
        <w:spacing w:before="40" w:after="80"/>
        <w:jc w:val="both"/>
      </w:pPr>
      <w:r>
        <w:rPr>
          <w:b/>
        </w:rPr>
        <w:t>Mitigation measures:</w:t>
      </w:r>
    </w:p>
    <w:p w14:paraId="7A1295F7" w14:textId="77777777" w:rsidR="009D1090" w:rsidRDefault="002E3EF7" w:rsidP="002E3EF7">
      <w:pPr>
        <w:pStyle w:val="ListBullet"/>
        <w:spacing w:before="20" w:after="40"/>
        <w:jc w:val="both"/>
      </w:pPr>
      <w:r>
        <w:t>Data flows document</w:t>
      </w:r>
      <w:r>
        <w:t>ed and validated against GDPR minimisation principle</w:t>
      </w:r>
    </w:p>
    <w:p w14:paraId="36102E73" w14:textId="77777777" w:rsidR="009D1090" w:rsidRDefault="002E3EF7" w:rsidP="002E3EF7">
      <w:pPr>
        <w:pStyle w:val="ListBullet"/>
        <w:spacing w:before="20" w:after="40"/>
        <w:jc w:val="both"/>
      </w:pPr>
      <w:r>
        <w:t>Vendor data processing agreement in place</w:t>
      </w:r>
    </w:p>
    <w:p w14:paraId="25D2C639" w14:textId="77777777" w:rsidR="009D1090" w:rsidRDefault="002E3EF7" w:rsidP="002E3EF7">
      <w:pPr>
        <w:pStyle w:val="ListBullet"/>
        <w:spacing w:before="20" w:after="40"/>
        <w:jc w:val="both"/>
      </w:pPr>
      <w:r>
        <w:t>DPO review completed</w:t>
      </w:r>
    </w:p>
    <w:p w14:paraId="220B4762" w14:textId="77777777" w:rsidR="009D1090" w:rsidRDefault="002E3EF7" w:rsidP="002E3EF7">
      <w:pPr>
        <w:spacing w:before="40" w:after="80"/>
        <w:jc w:val="both"/>
      </w:pPr>
      <w:r>
        <w:rPr>
          <w:b/>
        </w:rPr>
        <w:t>Residual risk:</w:t>
      </w:r>
      <w:r>
        <w:t xml:space="preserve"> Low</w:t>
      </w:r>
    </w:p>
    <w:p w14:paraId="25BE49CD" w14:textId="77777777" w:rsidR="009D1090" w:rsidRDefault="009D1090">
      <w:pPr>
        <w:pBdr>
          <w:bottom w:val="single" w:sz="6" w:space="1" w:color="D3D3D3"/>
        </w:pBdr>
        <w:spacing w:before="120" w:after="120"/>
      </w:pPr>
    </w:p>
    <w:p w14:paraId="10221717" w14:textId="77777777" w:rsidR="009D1090" w:rsidRDefault="002E3EF7">
      <w:pPr>
        <w:pStyle w:val="Heading3"/>
        <w:spacing w:before="160" w:after="40"/>
      </w:pPr>
      <w:r>
        <w:t>R5 — Vendor Model Changes Without Notification</w:t>
      </w:r>
    </w:p>
    <w:p w14:paraId="06DC8A20" w14:textId="77777777" w:rsidR="009D1090" w:rsidRDefault="002E3EF7" w:rsidP="002E3EF7">
      <w:pPr>
        <w:spacing w:before="40" w:after="80"/>
        <w:jc w:val="both"/>
      </w:pPr>
      <w:r>
        <w:rPr>
          <w:b/>
        </w:rPr>
        <w:t>Description:</w:t>
      </w:r>
      <w:r>
        <w:t xml:space="preserve"> HireFlow Technologies Ltd updates the model without adequate</w:t>
      </w:r>
      <w:r>
        <w:t xml:space="preserve"> notification to NorthStar, introducing changes that affect performance, fairness, or compliance.</w:t>
      </w:r>
    </w:p>
    <w:p w14:paraId="55ABAD03" w14:textId="77777777" w:rsidR="009D1090" w:rsidRDefault="002E3EF7" w:rsidP="002E3EF7">
      <w:pPr>
        <w:spacing w:before="40" w:after="80"/>
        <w:jc w:val="both"/>
      </w:pPr>
      <w:r>
        <w:rPr>
          <w:b/>
        </w:rPr>
        <w:t>Likelihood:</w:t>
      </w:r>
      <w:r>
        <w:t xml:space="preserve"> Medium (SaaS vendors update models regularly)</w:t>
      </w:r>
    </w:p>
    <w:p w14:paraId="36193F8E" w14:textId="77777777" w:rsidR="009D1090" w:rsidRDefault="002E3EF7" w:rsidP="002E3EF7">
      <w:pPr>
        <w:spacing w:before="40" w:after="80"/>
        <w:jc w:val="both"/>
      </w:pPr>
      <w:r>
        <w:rPr>
          <w:b/>
        </w:rPr>
        <w:t>Impact:</w:t>
      </w:r>
      <w:r>
        <w:t xml:space="preserve"> High (material model change could re-introduce risks)</w:t>
      </w:r>
    </w:p>
    <w:p w14:paraId="01A800E8" w14:textId="77777777" w:rsidR="009D1090" w:rsidRDefault="002E3EF7" w:rsidP="002E3EF7">
      <w:pPr>
        <w:spacing w:before="40" w:after="80"/>
        <w:jc w:val="both"/>
      </w:pPr>
      <w:r>
        <w:rPr>
          <w:b/>
        </w:rPr>
        <w:t>Risk level:</w:t>
      </w:r>
      <w:r>
        <w:t xml:space="preserve"> High</w:t>
      </w:r>
    </w:p>
    <w:p w14:paraId="2537815A" w14:textId="77777777" w:rsidR="009D1090" w:rsidRDefault="002E3EF7" w:rsidP="002E3EF7">
      <w:pPr>
        <w:spacing w:before="40" w:after="80"/>
        <w:jc w:val="both"/>
      </w:pPr>
      <w:r>
        <w:rPr>
          <w:b/>
        </w:rPr>
        <w:t>Mitigation measures:</w:t>
      </w:r>
    </w:p>
    <w:p w14:paraId="5D6A0E98" w14:textId="77777777" w:rsidR="009D1090" w:rsidRDefault="002E3EF7" w:rsidP="002E3EF7">
      <w:pPr>
        <w:pStyle w:val="ListBullet"/>
        <w:spacing w:before="20" w:after="40"/>
        <w:jc w:val="both"/>
      </w:pPr>
      <w:r>
        <w:t>Contract requires minimum 60 days' notice of material model changes</w:t>
      </w:r>
    </w:p>
    <w:p w14:paraId="48BECBB3" w14:textId="77777777" w:rsidR="009D1090" w:rsidRDefault="002E3EF7" w:rsidP="002E3EF7">
      <w:pPr>
        <w:pStyle w:val="ListBullet"/>
        <w:spacing w:before="20" w:after="40"/>
        <w:jc w:val="both"/>
      </w:pPr>
      <w:r>
        <w:t>Material change defined in contract: any update affecting model architecture, training data, or feature set</w:t>
      </w:r>
    </w:p>
    <w:p w14:paraId="5A997887" w14:textId="77777777" w:rsidR="009D1090" w:rsidRDefault="002E3EF7" w:rsidP="002E3EF7">
      <w:pPr>
        <w:pStyle w:val="ListBullet"/>
        <w:spacing w:before="20" w:after="40"/>
        <w:jc w:val="both"/>
      </w:pPr>
      <w:r>
        <w:t>NorthStar right to conduct validation testing before accepting update</w:t>
      </w:r>
    </w:p>
    <w:p w14:paraId="4CB1BF77" w14:textId="77777777" w:rsidR="009D1090" w:rsidRDefault="002E3EF7" w:rsidP="002E3EF7">
      <w:pPr>
        <w:pStyle w:val="ListBullet"/>
        <w:spacing w:before="20" w:after="40"/>
        <w:jc w:val="both"/>
      </w:pPr>
      <w:r>
        <w:t>Right to d</w:t>
      </w:r>
      <w:r>
        <w:t>elay model update to production pending NorthStar validation</w:t>
      </w:r>
    </w:p>
    <w:p w14:paraId="5A0B0BB3" w14:textId="77777777" w:rsidR="009D1090" w:rsidRDefault="002E3EF7" w:rsidP="002E3EF7">
      <w:pPr>
        <w:spacing w:before="40" w:after="80"/>
        <w:jc w:val="both"/>
      </w:pPr>
      <w:r>
        <w:rPr>
          <w:b/>
        </w:rPr>
        <w:t>Residual risk:</w:t>
      </w:r>
      <w:r>
        <w:t xml:space="preserve"> Low</w:t>
      </w:r>
    </w:p>
    <w:p w14:paraId="74CCB933" w14:textId="77777777" w:rsidR="009D1090" w:rsidRDefault="009D1090">
      <w:pPr>
        <w:pBdr>
          <w:bottom w:val="single" w:sz="6" w:space="1" w:color="D3D3D3"/>
        </w:pBdr>
        <w:spacing w:before="120" w:after="120"/>
      </w:pPr>
    </w:p>
    <w:p w14:paraId="6CE9DE4C" w14:textId="77777777" w:rsidR="009D1090" w:rsidRDefault="002E3EF7">
      <w:pPr>
        <w:pStyle w:val="Heading3"/>
        <w:spacing w:before="160" w:after="40"/>
      </w:pPr>
      <w:r>
        <w:t>R6 — Candidate Rights and Transparency Failure</w:t>
      </w:r>
    </w:p>
    <w:p w14:paraId="630204B7" w14:textId="77777777" w:rsidR="009D1090" w:rsidRDefault="002E3EF7" w:rsidP="002E3EF7">
      <w:pPr>
        <w:spacing w:before="40" w:after="80"/>
        <w:jc w:val="both"/>
      </w:pPr>
      <w:r>
        <w:rPr>
          <w:b/>
        </w:rPr>
        <w:t>Description:</w:t>
      </w:r>
      <w:r>
        <w:t xml:space="preserve"> Candidates are not informed that AI is used in the recruitment process, or cannot exercise rights to explanation or challenge under GDPR Article 22.</w:t>
      </w:r>
    </w:p>
    <w:p w14:paraId="5F7BCB1A" w14:textId="77777777" w:rsidR="009D1090" w:rsidRDefault="002E3EF7" w:rsidP="002E3EF7">
      <w:pPr>
        <w:spacing w:before="40" w:after="80"/>
        <w:jc w:val="both"/>
      </w:pPr>
      <w:r>
        <w:rPr>
          <w:b/>
        </w:rPr>
        <w:t>Likelihood:</w:t>
      </w:r>
      <w:r>
        <w:t xml:space="preserve"> Low (controls designed in from outset)</w:t>
      </w:r>
    </w:p>
    <w:p w14:paraId="2B2B907E" w14:textId="77777777" w:rsidR="009D1090" w:rsidRDefault="002E3EF7" w:rsidP="002E3EF7">
      <w:pPr>
        <w:spacing w:before="40" w:after="80"/>
        <w:jc w:val="both"/>
      </w:pPr>
      <w:r>
        <w:rPr>
          <w:b/>
        </w:rPr>
        <w:t>Impact:</w:t>
      </w:r>
      <w:r>
        <w:t xml:space="preserve"> Medium–High (legal non-compliance; regulatory c</w:t>
      </w:r>
      <w:r>
        <w:t>onsequence; candidate harm)</w:t>
      </w:r>
    </w:p>
    <w:p w14:paraId="415308C4" w14:textId="77777777" w:rsidR="009D1090" w:rsidRDefault="002E3EF7" w:rsidP="002E3EF7">
      <w:pPr>
        <w:spacing w:before="40" w:after="80"/>
        <w:jc w:val="both"/>
      </w:pPr>
      <w:r>
        <w:rPr>
          <w:b/>
        </w:rPr>
        <w:t>Risk level:</w:t>
      </w:r>
      <w:r>
        <w:t xml:space="preserve"> Medium</w:t>
      </w:r>
    </w:p>
    <w:p w14:paraId="29841CA0" w14:textId="77777777" w:rsidR="009D1090" w:rsidRDefault="002E3EF7" w:rsidP="002E3EF7">
      <w:pPr>
        <w:spacing w:before="40" w:after="80"/>
        <w:jc w:val="both"/>
      </w:pPr>
      <w:r>
        <w:rPr>
          <w:b/>
        </w:rPr>
        <w:t>Mitigation measures:</w:t>
      </w:r>
    </w:p>
    <w:p w14:paraId="4C4ADC4C" w14:textId="77777777" w:rsidR="009D1090" w:rsidRDefault="002E3EF7" w:rsidP="002E3EF7">
      <w:pPr>
        <w:pStyle w:val="ListBullet"/>
        <w:spacing w:before="20" w:after="40"/>
        <w:jc w:val="both"/>
      </w:pPr>
      <w:r>
        <w:t>Candidate-facing disclosure in job application process: AI is used for initial CV screening</w:t>
      </w:r>
    </w:p>
    <w:p w14:paraId="6EF235F5" w14:textId="77777777" w:rsidR="009D1090" w:rsidRDefault="002E3EF7" w:rsidP="002E3EF7">
      <w:pPr>
        <w:pStyle w:val="ListBullet"/>
        <w:spacing w:before="20" w:after="40"/>
        <w:jc w:val="both"/>
      </w:pPr>
      <w:r>
        <w:t>Explanation capability: system provides human-readable score rationale</w:t>
      </w:r>
    </w:p>
    <w:p w14:paraId="5D0CFCDA" w14:textId="77777777" w:rsidR="009D1090" w:rsidRDefault="002E3EF7" w:rsidP="002E3EF7">
      <w:pPr>
        <w:pStyle w:val="ListBullet"/>
        <w:spacing w:before="20" w:after="40"/>
        <w:jc w:val="both"/>
      </w:pPr>
      <w:r>
        <w:t>Challenge mechanism: cand</w:t>
      </w:r>
      <w:r>
        <w:t>idates who receive rejection decisions can request human review</w:t>
      </w:r>
    </w:p>
    <w:p w14:paraId="564D12FB" w14:textId="77777777" w:rsidR="009D1090" w:rsidRDefault="002E3EF7" w:rsidP="002E3EF7">
      <w:pPr>
        <w:pStyle w:val="ListBullet"/>
        <w:spacing w:before="20" w:after="40"/>
        <w:jc w:val="both"/>
      </w:pPr>
      <w:r>
        <w:t>Legal review of candidate communications completed</w:t>
      </w:r>
    </w:p>
    <w:p w14:paraId="65DE1494" w14:textId="77777777" w:rsidR="009D1090" w:rsidRDefault="002E3EF7" w:rsidP="002E3EF7">
      <w:pPr>
        <w:spacing w:before="40" w:after="80"/>
        <w:jc w:val="both"/>
      </w:pPr>
      <w:r>
        <w:rPr>
          <w:b/>
        </w:rPr>
        <w:t>Residual risk:</w:t>
      </w:r>
      <w:r>
        <w:t xml:space="preserve"> Low</w:t>
      </w:r>
    </w:p>
    <w:p w14:paraId="13C8531A" w14:textId="77777777" w:rsidR="009D1090" w:rsidRDefault="009D1090">
      <w:pPr>
        <w:pBdr>
          <w:bottom w:val="single" w:sz="6" w:space="1" w:color="D3D3D3"/>
        </w:pBdr>
        <w:spacing w:before="120" w:after="120"/>
      </w:pPr>
    </w:p>
    <w:p w14:paraId="0728BE0D" w14:textId="77777777" w:rsidR="009D1090" w:rsidRDefault="002E3EF7">
      <w:pPr>
        <w:pStyle w:val="Heading2"/>
        <w:spacing w:before="240" w:after="80"/>
      </w:pPr>
      <w:r>
        <w:lastRenderedPageBreak/>
        <w:t>3. Pre-Deployment Risk Evaluation</w:t>
      </w:r>
    </w:p>
    <w:p w14:paraId="410FB5A4" w14:textId="77777777" w:rsidR="009D1090" w:rsidRDefault="002E3EF7">
      <w:pPr>
        <w:spacing w:before="40" w:after="80"/>
      </w:pPr>
      <w:r>
        <w:t>Before deployment, the following evaluations must be completed and documented: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9D1090" w14:paraId="3B52C26E" w14:textId="77777777" w:rsidTr="002E3EF7">
        <w:trPr>
          <w:jc w:val="center"/>
        </w:trPr>
        <w:tc>
          <w:tcPr>
            <w:tcW w:w="2340" w:type="dxa"/>
            <w:shd w:val="clear" w:color="auto" w:fill="1B365D"/>
            <w:tcMar>
              <w:top w:w="100" w:type="dxa"/>
              <w:left w:w="120" w:type="dxa"/>
              <w:bottom w:w="100" w:type="dxa"/>
              <w:right w:w="120" w:type="dxa"/>
            </w:tcMar>
            <w:vAlign w:val="center"/>
          </w:tcPr>
          <w:p w14:paraId="12B821E8" w14:textId="77777777" w:rsidR="009D1090" w:rsidRDefault="002E3EF7">
            <w:pPr>
              <w:spacing w:before="40" w:after="40"/>
            </w:pPr>
            <w:r>
              <w:rPr>
                <w:b/>
                <w:color w:val="FFFFFF"/>
              </w:rPr>
              <w:t>Evaluation</w:t>
            </w:r>
          </w:p>
        </w:tc>
        <w:tc>
          <w:tcPr>
            <w:tcW w:w="2340" w:type="dxa"/>
            <w:shd w:val="clear" w:color="auto" w:fill="1B365D"/>
            <w:tcMar>
              <w:top w:w="100" w:type="dxa"/>
              <w:left w:w="120" w:type="dxa"/>
              <w:bottom w:w="100" w:type="dxa"/>
              <w:right w:w="120" w:type="dxa"/>
            </w:tcMar>
            <w:vAlign w:val="center"/>
          </w:tcPr>
          <w:p w14:paraId="3CF98624" w14:textId="77777777" w:rsidR="009D1090" w:rsidRDefault="002E3EF7">
            <w:pPr>
              <w:spacing w:before="40" w:after="40"/>
            </w:pPr>
            <w:r>
              <w:rPr>
                <w:b/>
                <w:color w:val="FFFFFF"/>
              </w:rPr>
              <w:t>Owner</w:t>
            </w:r>
          </w:p>
        </w:tc>
        <w:tc>
          <w:tcPr>
            <w:tcW w:w="2340" w:type="dxa"/>
            <w:shd w:val="clear" w:color="auto" w:fill="1B365D"/>
            <w:tcMar>
              <w:top w:w="100" w:type="dxa"/>
              <w:left w:w="120" w:type="dxa"/>
              <w:bottom w:w="100" w:type="dxa"/>
              <w:right w:w="120" w:type="dxa"/>
            </w:tcMar>
            <w:vAlign w:val="center"/>
          </w:tcPr>
          <w:p w14:paraId="4B9BEA25" w14:textId="77777777" w:rsidR="009D1090" w:rsidRDefault="002E3EF7">
            <w:pPr>
              <w:spacing w:before="40" w:after="40"/>
            </w:pPr>
            <w:r>
              <w:rPr>
                <w:b/>
                <w:color w:val="FFFFFF"/>
              </w:rPr>
              <w:t>Standard</w:t>
            </w:r>
          </w:p>
        </w:tc>
        <w:tc>
          <w:tcPr>
            <w:tcW w:w="2340" w:type="dxa"/>
            <w:shd w:val="clear" w:color="auto" w:fill="1B365D"/>
            <w:tcMar>
              <w:top w:w="100" w:type="dxa"/>
              <w:left w:w="120" w:type="dxa"/>
              <w:bottom w:w="100" w:type="dxa"/>
              <w:right w:w="120" w:type="dxa"/>
            </w:tcMar>
            <w:vAlign w:val="center"/>
          </w:tcPr>
          <w:p w14:paraId="377269D4" w14:textId="77777777" w:rsidR="009D1090" w:rsidRDefault="002E3EF7">
            <w:pPr>
              <w:spacing w:before="40" w:after="40"/>
            </w:pPr>
            <w:r>
              <w:rPr>
                <w:b/>
                <w:color w:val="FFFFFF"/>
              </w:rPr>
              <w:t>Status</w:t>
            </w:r>
          </w:p>
        </w:tc>
      </w:tr>
      <w:tr w:rsidR="009D1090" w14:paraId="479FF74F" w14:textId="77777777" w:rsidTr="002E3EF7">
        <w:trPr>
          <w:jc w:val="center"/>
        </w:trPr>
        <w:tc>
          <w:tcPr>
            <w:tcW w:w="2340" w:type="dxa"/>
            <w:shd w:val="clear" w:color="auto" w:fill="F8F9FA"/>
            <w:tcMar>
              <w:top w:w="100" w:type="dxa"/>
              <w:left w:w="120" w:type="dxa"/>
              <w:bottom w:w="100" w:type="dxa"/>
              <w:right w:w="120" w:type="dxa"/>
            </w:tcMar>
            <w:vAlign w:val="center"/>
          </w:tcPr>
          <w:p w14:paraId="70F9DCAF" w14:textId="77777777" w:rsidR="009D1090" w:rsidRDefault="002E3EF7">
            <w:pPr>
              <w:spacing w:before="40" w:after="40"/>
            </w:pPr>
            <w:r>
              <w:t>Vendor bias audit (EU protected characteristics)</w:t>
            </w:r>
          </w:p>
        </w:tc>
        <w:tc>
          <w:tcPr>
            <w:tcW w:w="2340" w:type="dxa"/>
            <w:shd w:val="clear" w:color="auto" w:fill="F8F9FA"/>
            <w:tcMar>
              <w:top w:w="100" w:type="dxa"/>
              <w:left w:w="120" w:type="dxa"/>
              <w:bottom w:w="100" w:type="dxa"/>
              <w:right w:w="120" w:type="dxa"/>
            </w:tcMar>
            <w:vAlign w:val="center"/>
          </w:tcPr>
          <w:p w14:paraId="3C9426E7" w14:textId="77777777" w:rsidR="009D1090" w:rsidRDefault="002E3EF7">
            <w:pPr>
              <w:spacing w:before="40" w:after="40"/>
            </w:pPr>
            <w:r>
              <w:t>HireFlow Technologies Ltd</w:t>
            </w:r>
          </w:p>
        </w:tc>
        <w:tc>
          <w:tcPr>
            <w:tcW w:w="2340" w:type="dxa"/>
            <w:shd w:val="clear" w:color="auto" w:fill="F8F9FA"/>
            <w:tcMar>
              <w:top w:w="100" w:type="dxa"/>
              <w:left w:w="120" w:type="dxa"/>
              <w:bottom w:w="100" w:type="dxa"/>
              <w:right w:w="120" w:type="dxa"/>
            </w:tcMar>
            <w:vAlign w:val="center"/>
          </w:tcPr>
          <w:p w14:paraId="1AA5332D" w14:textId="77777777" w:rsidR="009D1090" w:rsidRDefault="002E3EF7">
            <w:pPr>
              <w:spacing w:before="40" w:after="40"/>
            </w:pPr>
            <w:r>
              <w:t>Demographic parity across gender, age, ethnicity proxies</w:t>
            </w:r>
          </w:p>
        </w:tc>
        <w:tc>
          <w:tcPr>
            <w:tcW w:w="2340" w:type="dxa"/>
            <w:shd w:val="clear" w:color="auto" w:fill="F8F9FA"/>
            <w:tcMar>
              <w:top w:w="100" w:type="dxa"/>
              <w:left w:w="120" w:type="dxa"/>
              <w:bottom w:w="100" w:type="dxa"/>
              <w:right w:w="120" w:type="dxa"/>
            </w:tcMar>
            <w:vAlign w:val="center"/>
          </w:tcPr>
          <w:p w14:paraId="4EA91538" w14:textId="77777777" w:rsidR="009D1090" w:rsidRDefault="002E3EF7">
            <w:pPr>
              <w:spacing w:before="40" w:after="40"/>
            </w:pPr>
            <w:r>
              <w:t>Completed — results reviewed ✓</w:t>
            </w:r>
          </w:p>
        </w:tc>
      </w:tr>
      <w:tr w:rsidR="009D1090" w14:paraId="45D63F77" w14:textId="77777777" w:rsidTr="002E3EF7">
        <w:trPr>
          <w:jc w:val="center"/>
        </w:trPr>
        <w:tc>
          <w:tcPr>
            <w:tcW w:w="2340" w:type="dxa"/>
            <w:shd w:val="clear" w:color="auto" w:fill="FFFFFF"/>
            <w:tcMar>
              <w:top w:w="100" w:type="dxa"/>
              <w:left w:w="120" w:type="dxa"/>
              <w:bottom w:w="100" w:type="dxa"/>
              <w:right w:w="120" w:type="dxa"/>
            </w:tcMar>
            <w:vAlign w:val="center"/>
          </w:tcPr>
          <w:p w14:paraId="5EDF761A" w14:textId="77777777" w:rsidR="009D1090" w:rsidRDefault="002E3EF7">
            <w:pPr>
              <w:spacing w:before="40" w:after="40"/>
            </w:pPr>
            <w:r>
              <w:t>NorthStar independent fairness validation</w:t>
            </w:r>
          </w:p>
        </w:tc>
        <w:tc>
          <w:tcPr>
            <w:tcW w:w="2340" w:type="dxa"/>
            <w:shd w:val="clear" w:color="auto" w:fill="FFFFFF"/>
            <w:tcMar>
              <w:top w:w="100" w:type="dxa"/>
              <w:left w:w="120" w:type="dxa"/>
              <w:bottom w:w="100" w:type="dxa"/>
              <w:right w:w="120" w:type="dxa"/>
            </w:tcMar>
            <w:vAlign w:val="center"/>
          </w:tcPr>
          <w:p w14:paraId="3DC2AC92" w14:textId="77777777" w:rsidR="009D1090" w:rsidRDefault="002E3EF7">
            <w:pPr>
              <w:spacing w:before="40" w:after="40"/>
            </w:pPr>
            <w:r>
              <w:t xml:space="preserve">AGPO + </w:t>
            </w:r>
            <w:r>
              <w:t>external evaluator</w:t>
            </w:r>
          </w:p>
        </w:tc>
        <w:tc>
          <w:tcPr>
            <w:tcW w:w="2340" w:type="dxa"/>
            <w:shd w:val="clear" w:color="auto" w:fill="FFFFFF"/>
            <w:tcMar>
              <w:top w:w="100" w:type="dxa"/>
              <w:left w:w="120" w:type="dxa"/>
              <w:bottom w:w="100" w:type="dxa"/>
              <w:right w:w="120" w:type="dxa"/>
            </w:tcMar>
            <w:vAlign w:val="center"/>
          </w:tcPr>
          <w:p w14:paraId="706330CE" w14:textId="77777777" w:rsidR="009D1090" w:rsidRDefault="002E3EF7">
            <w:pPr>
              <w:spacing w:before="40" w:after="40"/>
            </w:pPr>
            <w:r>
              <w:t>Demographic parity ≤ 0.8 disparate impact ratio</w:t>
            </w:r>
          </w:p>
        </w:tc>
        <w:tc>
          <w:tcPr>
            <w:tcW w:w="2340" w:type="dxa"/>
            <w:shd w:val="clear" w:color="auto" w:fill="FFFFFF"/>
            <w:tcMar>
              <w:top w:w="100" w:type="dxa"/>
              <w:left w:w="120" w:type="dxa"/>
              <w:bottom w:w="100" w:type="dxa"/>
              <w:right w:w="120" w:type="dxa"/>
            </w:tcMar>
            <w:vAlign w:val="center"/>
          </w:tcPr>
          <w:p w14:paraId="285451E3" w14:textId="77777777" w:rsidR="009D1090" w:rsidRDefault="002E3EF7">
            <w:pPr>
              <w:spacing w:before="40" w:after="40"/>
            </w:pPr>
            <w:r>
              <w:t>In progress</w:t>
            </w:r>
          </w:p>
        </w:tc>
      </w:tr>
      <w:tr w:rsidR="009D1090" w14:paraId="31F3A900" w14:textId="77777777" w:rsidTr="002E3EF7">
        <w:trPr>
          <w:jc w:val="center"/>
        </w:trPr>
        <w:tc>
          <w:tcPr>
            <w:tcW w:w="2340" w:type="dxa"/>
            <w:shd w:val="clear" w:color="auto" w:fill="F8F9FA"/>
            <w:tcMar>
              <w:top w:w="100" w:type="dxa"/>
              <w:left w:w="120" w:type="dxa"/>
              <w:bottom w:w="100" w:type="dxa"/>
              <w:right w:w="120" w:type="dxa"/>
            </w:tcMar>
            <w:vAlign w:val="center"/>
          </w:tcPr>
          <w:p w14:paraId="474D9571" w14:textId="77777777" w:rsidR="009D1090" w:rsidRDefault="002E3EF7">
            <w:pPr>
              <w:spacing w:before="40" w:after="40"/>
            </w:pPr>
            <w:r>
              <w:t>Data protection impact assessment</w:t>
            </w:r>
          </w:p>
        </w:tc>
        <w:tc>
          <w:tcPr>
            <w:tcW w:w="2340" w:type="dxa"/>
            <w:shd w:val="clear" w:color="auto" w:fill="F8F9FA"/>
            <w:tcMar>
              <w:top w:w="100" w:type="dxa"/>
              <w:left w:w="120" w:type="dxa"/>
              <w:bottom w:w="100" w:type="dxa"/>
              <w:right w:w="120" w:type="dxa"/>
            </w:tcMar>
            <w:vAlign w:val="center"/>
          </w:tcPr>
          <w:p w14:paraId="066AE865" w14:textId="77777777" w:rsidR="009D1090" w:rsidRDefault="002E3EF7">
            <w:pPr>
              <w:spacing w:before="40" w:after="40"/>
            </w:pPr>
            <w:r>
              <w:t>DPO</w:t>
            </w:r>
          </w:p>
        </w:tc>
        <w:tc>
          <w:tcPr>
            <w:tcW w:w="2340" w:type="dxa"/>
            <w:shd w:val="clear" w:color="auto" w:fill="F8F9FA"/>
            <w:tcMar>
              <w:top w:w="100" w:type="dxa"/>
              <w:left w:w="120" w:type="dxa"/>
              <w:bottom w:w="100" w:type="dxa"/>
              <w:right w:w="120" w:type="dxa"/>
            </w:tcMar>
            <w:vAlign w:val="center"/>
          </w:tcPr>
          <w:p w14:paraId="4E622416" w14:textId="77777777" w:rsidR="009D1090" w:rsidRDefault="002E3EF7">
            <w:pPr>
              <w:spacing w:before="40" w:after="40"/>
            </w:pPr>
            <w:r>
              <w:t>GDPR Article 35</w:t>
            </w:r>
          </w:p>
        </w:tc>
        <w:tc>
          <w:tcPr>
            <w:tcW w:w="2340" w:type="dxa"/>
            <w:shd w:val="clear" w:color="auto" w:fill="F8F9FA"/>
            <w:tcMar>
              <w:top w:w="100" w:type="dxa"/>
              <w:left w:w="120" w:type="dxa"/>
              <w:bottom w:w="100" w:type="dxa"/>
              <w:right w:w="120" w:type="dxa"/>
            </w:tcMar>
            <w:vAlign w:val="center"/>
          </w:tcPr>
          <w:p w14:paraId="260F3F14" w14:textId="77777777" w:rsidR="009D1090" w:rsidRDefault="002E3EF7">
            <w:pPr>
              <w:spacing w:before="40" w:after="40"/>
            </w:pPr>
            <w:r>
              <w:t>Completed ✓</w:t>
            </w:r>
          </w:p>
        </w:tc>
      </w:tr>
      <w:tr w:rsidR="009D1090" w14:paraId="0E2F1CA5" w14:textId="77777777" w:rsidTr="002E3EF7">
        <w:trPr>
          <w:jc w:val="center"/>
        </w:trPr>
        <w:tc>
          <w:tcPr>
            <w:tcW w:w="2340" w:type="dxa"/>
            <w:shd w:val="clear" w:color="auto" w:fill="FFFFFF"/>
            <w:tcMar>
              <w:top w:w="100" w:type="dxa"/>
              <w:left w:w="120" w:type="dxa"/>
              <w:bottom w:w="100" w:type="dxa"/>
              <w:right w:w="120" w:type="dxa"/>
            </w:tcMar>
            <w:vAlign w:val="center"/>
          </w:tcPr>
          <w:p w14:paraId="6BA72A75" w14:textId="77777777" w:rsidR="009D1090" w:rsidRDefault="002E3EF7">
            <w:pPr>
              <w:spacing w:before="40" w:after="40"/>
            </w:pPr>
            <w:r>
              <w:t>Technical documentation review</w:t>
            </w:r>
          </w:p>
        </w:tc>
        <w:tc>
          <w:tcPr>
            <w:tcW w:w="2340" w:type="dxa"/>
            <w:shd w:val="clear" w:color="auto" w:fill="FFFFFF"/>
            <w:tcMar>
              <w:top w:w="100" w:type="dxa"/>
              <w:left w:w="120" w:type="dxa"/>
              <w:bottom w:w="100" w:type="dxa"/>
              <w:right w:w="120" w:type="dxa"/>
            </w:tcMar>
            <w:vAlign w:val="center"/>
          </w:tcPr>
          <w:p w14:paraId="0714B2F5" w14:textId="77777777" w:rsidR="009D1090" w:rsidRDefault="002E3EF7">
            <w:pPr>
              <w:spacing w:before="40" w:after="40"/>
            </w:pPr>
            <w:r>
              <w:t>AGPO + Legal</w:t>
            </w:r>
          </w:p>
        </w:tc>
        <w:tc>
          <w:tcPr>
            <w:tcW w:w="2340" w:type="dxa"/>
            <w:shd w:val="clear" w:color="auto" w:fill="FFFFFF"/>
            <w:tcMar>
              <w:top w:w="100" w:type="dxa"/>
              <w:left w:w="120" w:type="dxa"/>
              <w:bottom w:w="100" w:type="dxa"/>
              <w:right w:w="120" w:type="dxa"/>
            </w:tcMar>
            <w:vAlign w:val="center"/>
          </w:tcPr>
          <w:p w14:paraId="40221C92" w14:textId="77777777" w:rsidR="009D1090" w:rsidRDefault="002E3EF7">
            <w:pPr>
              <w:spacing w:before="40" w:after="40"/>
            </w:pPr>
            <w:r>
              <w:t>Annex IV completeness</w:t>
            </w:r>
          </w:p>
        </w:tc>
        <w:tc>
          <w:tcPr>
            <w:tcW w:w="2340" w:type="dxa"/>
            <w:shd w:val="clear" w:color="auto" w:fill="FFFFFF"/>
            <w:tcMar>
              <w:top w:w="100" w:type="dxa"/>
              <w:left w:w="120" w:type="dxa"/>
              <w:bottom w:w="100" w:type="dxa"/>
              <w:right w:w="120" w:type="dxa"/>
            </w:tcMar>
            <w:vAlign w:val="center"/>
          </w:tcPr>
          <w:p w14:paraId="77AEF663" w14:textId="77777777" w:rsidR="009D1090" w:rsidRDefault="002E3EF7">
            <w:pPr>
              <w:spacing w:before="40" w:after="40"/>
            </w:pPr>
            <w:r>
              <w:t>In progress</w:t>
            </w:r>
          </w:p>
        </w:tc>
      </w:tr>
      <w:tr w:rsidR="009D1090" w14:paraId="42CB9B8F" w14:textId="77777777" w:rsidTr="002E3EF7">
        <w:trPr>
          <w:jc w:val="center"/>
        </w:trPr>
        <w:tc>
          <w:tcPr>
            <w:tcW w:w="2340" w:type="dxa"/>
            <w:shd w:val="clear" w:color="auto" w:fill="F8F9FA"/>
            <w:tcMar>
              <w:top w:w="100" w:type="dxa"/>
              <w:left w:w="120" w:type="dxa"/>
              <w:bottom w:w="100" w:type="dxa"/>
              <w:right w:w="120" w:type="dxa"/>
            </w:tcMar>
            <w:vAlign w:val="center"/>
          </w:tcPr>
          <w:p w14:paraId="406A8FFA" w14:textId="77777777" w:rsidR="009D1090" w:rsidRDefault="002E3EF7">
            <w:pPr>
              <w:spacing w:before="40" w:after="40"/>
            </w:pPr>
            <w:r>
              <w:t xml:space="preserve">Penetration and </w:t>
            </w:r>
            <w:r>
              <w:t>adversarial testing</w:t>
            </w:r>
          </w:p>
        </w:tc>
        <w:tc>
          <w:tcPr>
            <w:tcW w:w="2340" w:type="dxa"/>
            <w:shd w:val="clear" w:color="auto" w:fill="F8F9FA"/>
            <w:tcMar>
              <w:top w:w="100" w:type="dxa"/>
              <w:left w:w="120" w:type="dxa"/>
              <w:bottom w:w="100" w:type="dxa"/>
              <w:right w:w="120" w:type="dxa"/>
            </w:tcMar>
            <w:vAlign w:val="center"/>
          </w:tcPr>
          <w:p w14:paraId="53223FD6" w14:textId="77777777" w:rsidR="009D1090" w:rsidRDefault="002E3EF7">
            <w:pPr>
              <w:spacing w:before="40" w:after="40"/>
            </w:pPr>
            <w:r>
              <w:t>Information Security</w:t>
            </w:r>
          </w:p>
        </w:tc>
        <w:tc>
          <w:tcPr>
            <w:tcW w:w="2340" w:type="dxa"/>
            <w:shd w:val="clear" w:color="auto" w:fill="F8F9FA"/>
            <w:tcMar>
              <w:top w:w="100" w:type="dxa"/>
              <w:left w:w="120" w:type="dxa"/>
              <w:bottom w:w="100" w:type="dxa"/>
              <w:right w:w="120" w:type="dxa"/>
            </w:tcMar>
            <w:vAlign w:val="center"/>
          </w:tcPr>
          <w:p w14:paraId="63F7E2A9" w14:textId="77777777" w:rsidR="009D1090" w:rsidRDefault="002E3EF7">
            <w:pPr>
              <w:spacing w:before="40" w:after="40"/>
            </w:pPr>
            <w:r>
              <w:t>Adversarial input testing protocol</w:t>
            </w:r>
          </w:p>
        </w:tc>
        <w:tc>
          <w:tcPr>
            <w:tcW w:w="2340" w:type="dxa"/>
            <w:shd w:val="clear" w:color="auto" w:fill="F8F9FA"/>
            <w:tcMar>
              <w:top w:w="100" w:type="dxa"/>
              <w:left w:w="120" w:type="dxa"/>
              <w:bottom w:w="100" w:type="dxa"/>
              <w:right w:w="120" w:type="dxa"/>
            </w:tcMar>
            <w:vAlign w:val="center"/>
          </w:tcPr>
          <w:p w14:paraId="37BF5924" w14:textId="77777777" w:rsidR="009D1090" w:rsidRDefault="002E3EF7">
            <w:pPr>
              <w:spacing w:before="40" w:after="40"/>
            </w:pPr>
            <w:r>
              <w:t>Scheduled — April 2026</w:t>
            </w:r>
          </w:p>
        </w:tc>
      </w:tr>
      <w:tr w:rsidR="009D1090" w14:paraId="41F2E1D6" w14:textId="77777777" w:rsidTr="002E3EF7">
        <w:trPr>
          <w:jc w:val="center"/>
        </w:trPr>
        <w:tc>
          <w:tcPr>
            <w:tcW w:w="2340" w:type="dxa"/>
            <w:shd w:val="clear" w:color="auto" w:fill="FFFFFF"/>
            <w:tcMar>
              <w:top w:w="100" w:type="dxa"/>
              <w:left w:w="120" w:type="dxa"/>
              <w:bottom w:w="100" w:type="dxa"/>
              <w:right w:w="120" w:type="dxa"/>
            </w:tcMar>
            <w:vAlign w:val="center"/>
          </w:tcPr>
          <w:p w14:paraId="181BA2DB" w14:textId="77777777" w:rsidR="009D1090" w:rsidRDefault="002E3EF7">
            <w:pPr>
              <w:spacing w:before="40" w:after="40"/>
            </w:pPr>
            <w:r>
              <w:t>User acceptance testing with oversight training</w:t>
            </w:r>
          </w:p>
        </w:tc>
        <w:tc>
          <w:tcPr>
            <w:tcW w:w="2340" w:type="dxa"/>
            <w:shd w:val="clear" w:color="auto" w:fill="FFFFFF"/>
            <w:tcMar>
              <w:top w:w="100" w:type="dxa"/>
              <w:left w:w="120" w:type="dxa"/>
              <w:bottom w:w="100" w:type="dxa"/>
              <w:right w:w="120" w:type="dxa"/>
            </w:tcMar>
            <w:vAlign w:val="center"/>
          </w:tcPr>
          <w:p w14:paraId="7743603B" w14:textId="77777777" w:rsidR="009D1090" w:rsidRDefault="002E3EF7">
            <w:pPr>
              <w:spacing w:before="40" w:after="40"/>
            </w:pPr>
            <w:r>
              <w:t>HR Director + AGPO</w:t>
            </w:r>
          </w:p>
        </w:tc>
        <w:tc>
          <w:tcPr>
            <w:tcW w:w="2340" w:type="dxa"/>
            <w:shd w:val="clear" w:color="auto" w:fill="FFFFFF"/>
            <w:tcMar>
              <w:top w:w="100" w:type="dxa"/>
              <w:left w:w="120" w:type="dxa"/>
              <w:bottom w:w="100" w:type="dxa"/>
              <w:right w:w="120" w:type="dxa"/>
            </w:tcMar>
            <w:vAlign w:val="center"/>
          </w:tcPr>
          <w:p w14:paraId="6ECFABDF" w14:textId="77777777" w:rsidR="009D1090" w:rsidRDefault="002E3EF7">
            <w:pPr>
              <w:spacing w:before="40" w:after="40"/>
            </w:pPr>
            <w:r>
              <w:t>100% of system users trained and UAT complete</w:t>
            </w:r>
          </w:p>
        </w:tc>
        <w:tc>
          <w:tcPr>
            <w:tcW w:w="2340" w:type="dxa"/>
            <w:shd w:val="clear" w:color="auto" w:fill="FFFFFF"/>
            <w:tcMar>
              <w:top w:w="100" w:type="dxa"/>
              <w:left w:w="120" w:type="dxa"/>
              <w:bottom w:w="100" w:type="dxa"/>
              <w:right w:w="120" w:type="dxa"/>
            </w:tcMar>
            <w:vAlign w:val="center"/>
          </w:tcPr>
          <w:p w14:paraId="30016E58" w14:textId="77777777" w:rsidR="009D1090" w:rsidRDefault="002E3EF7">
            <w:pPr>
              <w:spacing w:before="40" w:after="40"/>
            </w:pPr>
            <w:r>
              <w:t>Scheduled — May 2026</w:t>
            </w:r>
          </w:p>
        </w:tc>
      </w:tr>
    </w:tbl>
    <w:p w14:paraId="1DCEAD9B" w14:textId="77777777" w:rsidR="009D1090" w:rsidRDefault="009D1090"/>
    <w:p w14:paraId="1CE6C523" w14:textId="77777777" w:rsidR="009D1090" w:rsidRDefault="002E3EF7">
      <w:pPr>
        <w:spacing w:before="40" w:after="80"/>
      </w:pPr>
      <w:r>
        <w:rPr>
          <w:b/>
        </w:rPr>
        <w:t>Go-live gate:</w:t>
      </w:r>
      <w:r>
        <w:t xml:space="preserve"> All evaluations must be completed and sign-off from AGPO, DPO, Legal, and HR Director received before production deployment.</w:t>
      </w:r>
    </w:p>
    <w:p w14:paraId="5C25A189" w14:textId="77777777" w:rsidR="009D1090" w:rsidRDefault="009D1090">
      <w:pPr>
        <w:pBdr>
          <w:bottom w:val="single" w:sz="6" w:space="1" w:color="D3D3D3"/>
        </w:pBdr>
        <w:spacing w:before="120" w:after="120"/>
      </w:pPr>
    </w:p>
    <w:p w14:paraId="2AB2EC19" w14:textId="77777777" w:rsidR="009D1090" w:rsidRDefault="002E3EF7">
      <w:pPr>
        <w:pStyle w:val="Heading2"/>
        <w:spacing w:before="240" w:after="80"/>
      </w:pPr>
      <w:r>
        <w:t>4. Foreseeable Misuse Scenarios</w:t>
      </w:r>
    </w:p>
    <w:p w14:paraId="2D184111" w14:textId="77777777" w:rsidR="009D1090" w:rsidRDefault="002E3EF7">
      <w:pPr>
        <w:spacing w:before="40" w:after="80"/>
      </w:pPr>
      <w:r>
        <w:t>The following reasonably foreseeable misuse scenarios have been considered and mitigated: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9D1090" w14:paraId="125DA697" w14:textId="77777777" w:rsidTr="002E3EF7">
        <w:trPr>
          <w:jc w:val="center"/>
        </w:trPr>
        <w:tc>
          <w:tcPr>
            <w:tcW w:w="3120" w:type="dxa"/>
            <w:shd w:val="clear" w:color="auto" w:fill="1B365D"/>
            <w:tcMar>
              <w:top w:w="100" w:type="dxa"/>
              <w:left w:w="120" w:type="dxa"/>
              <w:bottom w:w="100" w:type="dxa"/>
              <w:right w:w="120" w:type="dxa"/>
            </w:tcMar>
            <w:vAlign w:val="center"/>
          </w:tcPr>
          <w:p w14:paraId="1684F5AE" w14:textId="77777777" w:rsidR="009D1090" w:rsidRDefault="002E3EF7">
            <w:pPr>
              <w:spacing w:before="40" w:after="40"/>
            </w:pPr>
            <w:r>
              <w:rPr>
                <w:b/>
                <w:color w:val="FFFFFF"/>
              </w:rPr>
              <w:t>Scenari</w:t>
            </w:r>
            <w:r>
              <w:rPr>
                <w:b/>
                <w:color w:val="FFFFFF"/>
              </w:rPr>
              <w:t>o</w:t>
            </w:r>
          </w:p>
        </w:tc>
        <w:tc>
          <w:tcPr>
            <w:tcW w:w="3120" w:type="dxa"/>
            <w:shd w:val="clear" w:color="auto" w:fill="1B365D"/>
            <w:tcMar>
              <w:top w:w="100" w:type="dxa"/>
              <w:left w:w="120" w:type="dxa"/>
              <w:bottom w:w="100" w:type="dxa"/>
              <w:right w:w="120" w:type="dxa"/>
            </w:tcMar>
            <w:vAlign w:val="center"/>
          </w:tcPr>
          <w:p w14:paraId="05D1D926" w14:textId="77777777" w:rsidR="009D1090" w:rsidRDefault="002E3EF7">
            <w:pPr>
              <w:spacing w:before="40" w:after="40"/>
            </w:pPr>
            <w:r>
              <w:rPr>
                <w:b/>
                <w:color w:val="FFFFFF"/>
              </w:rPr>
              <w:t>Risk</w:t>
            </w:r>
          </w:p>
        </w:tc>
        <w:tc>
          <w:tcPr>
            <w:tcW w:w="3120" w:type="dxa"/>
            <w:shd w:val="clear" w:color="auto" w:fill="1B365D"/>
            <w:tcMar>
              <w:top w:w="100" w:type="dxa"/>
              <w:left w:w="120" w:type="dxa"/>
              <w:bottom w:w="100" w:type="dxa"/>
              <w:right w:w="120" w:type="dxa"/>
            </w:tcMar>
            <w:vAlign w:val="center"/>
          </w:tcPr>
          <w:p w14:paraId="5E843E7A" w14:textId="77777777" w:rsidR="009D1090" w:rsidRDefault="002E3EF7">
            <w:pPr>
              <w:spacing w:before="40" w:after="40"/>
            </w:pPr>
            <w:r>
              <w:rPr>
                <w:b/>
                <w:color w:val="FFFFFF"/>
              </w:rPr>
              <w:t>Mitigation</w:t>
            </w:r>
          </w:p>
        </w:tc>
      </w:tr>
      <w:tr w:rsidR="009D1090" w14:paraId="33E16C6C" w14:textId="77777777" w:rsidTr="002E3EF7">
        <w:trPr>
          <w:jc w:val="center"/>
        </w:trPr>
        <w:tc>
          <w:tcPr>
            <w:tcW w:w="3120" w:type="dxa"/>
            <w:shd w:val="clear" w:color="auto" w:fill="F8F9FA"/>
            <w:tcMar>
              <w:top w:w="100" w:type="dxa"/>
              <w:left w:w="120" w:type="dxa"/>
              <w:bottom w:w="100" w:type="dxa"/>
              <w:right w:w="120" w:type="dxa"/>
            </w:tcMar>
            <w:vAlign w:val="center"/>
          </w:tcPr>
          <w:p w14:paraId="2DCCA149" w14:textId="77777777" w:rsidR="009D1090" w:rsidRDefault="002E3EF7">
            <w:pPr>
              <w:spacing w:before="40" w:after="40"/>
            </w:pPr>
            <w:r>
              <w:t>HR coordinator accepts all AI recommendations without review</w:t>
            </w:r>
          </w:p>
        </w:tc>
        <w:tc>
          <w:tcPr>
            <w:tcW w:w="3120" w:type="dxa"/>
            <w:shd w:val="clear" w:color="auto" w:fill="F8F9FA"/>
            <w:tcMar>
              <w:top w:w="100" w:type="dxa"/>
              <w:left w:w="120" w:type="dxa"/>
              <w:bottom w:w="100" w:type="dxa"/>
              <w:right w:w="120" w:type="dxa"/>
            </w:tcMar>
            <w:vAlign w:val="center"/>
          </w:tcPr>
          <w:p w14:paraId="1E542A5D" w14:textId="77777777" w:rsidR="009D1090" w:rsidRDefault="002E3EF7">
            <w:pPr>
              <w:spacing w:before="40" w:after="40"/>
            </w:pPr>
            <w:r>
              <w:t>Autonomous AI decision-making</w:t>
            </w:r>
          </w:p>
        </w:tc>
        <w:tc>
          <w:tcPr>
            <w:tcW w:w="3120" w:type="dxa"/>
            <w:shd w:val="clear" w:color="auto" w:fill="F8F9FA"/>
            <w:tcMar>
              <w:top w:w="100" w:type="dxa"/>
              <w:left w:w="120" w:type="dxa"/>
              <w:bottom w:w="100" w:type="dxa"/>
              <w:right w:w="120" w:type="dxa"/>
            </w:tcMar>
            <w:vAlign w:val="center"/>
          </w:tcPr>
          <w:p w14:paraId="1DE9F825" w14:textId="77777777" w:rsidR="009D1090" w:rsidRDefault="002E3EF7">
            <w:pPr>
              <w:spacing w:before="40" w:after="40"/>
            </w:pPr>
            <w:r>
              <w:t>Training, UI friction, override rate monitoring</w:t>
            </w:r>
          </w:p>
        </w:tc>
      </w:tr>
      <w:tr w:rsidR="009D1090" w14:paraId="6E764474" w14:textId="77777777" w:rsidTr="002E3EF7">
        <w:trPr>
          <w:jc w:val="center"/>
        </w:trPr>
        <w:tc>
          <w:tcPr>
            <w:tcW w:w="3120" w:type="dxa"/>
            <w:shd w:val="clear" w:color="auto" w:fill="FFFFFF"/>
            <w:tcMar>
              <w:top w:w="100" w:type="dxa"/>
              <w:left w:w="120" w:type="dxa"/>
              <w:bottom w:w="100" w:type="dxa"/>
              <w:right w:w="120" w:type="dxa"/>
            </w:tcMar>
            <w:vAlign w:val="center"/>
          </w:tcPr>
          <w:p w14:paraId="6A0941ED" w14:textId="77777777" w:rsidR="009D1090" w:rsidRDefault="002E3EF7">
            <w:pPr>
              <w:spacing w:before="40" w:after="40"/>
            </w:pPr>
            <w:r>
              <w:lastRenderedPageBreak/>
              <w:t>System used to screen internal transfer candidates</w:t>
            </w:r>
          </w:p>
        </w:tc>
        <w:tc>
          <w:tcPr>
            <w:tcW w:w="3120" w:type="dxa"/>
            <w:shd w:val="clear" w:color="auto" w:fill="FFFFFF"/>
            <w:tcMar>
              <w:top w:w="100" w:type="dxa"/>
              <w:left w:w="120" w:type="dxa"/>
              <w:bottom w:w="100" w:type="dxa"/>
              <w:right w:w="120" w:type="dxa"/>
            </w:tcMar>
            <w:vAlign w:val="center"/>
          </w:tcPr>
          <w:p w14:paraId="00330103" w14:textId="77777777" w:rsidR="009D1090" w:rsidRDefault="002E3EF7">
            <w:pPr>
              <w:spacing w:before="40" w:after="40"/>
            </w:pPr>
            <w:r>
              <w:t>Out-of-scope use</w:t>
            </w:r>
          </w:p>
        </w:tc>
        <w:tc>
          <w:tcPr>
            <w:tcW w:w="3120" w:type="dxa"/>
            <w:shd w:val="clear" w:color="auto" w:fill="FFFFFF"/>
            <w:tcMar>
              <w:top w:w="100" w:type="dxa"/>
              <w:left w:w="120" w:type="dxa"/>
              <w:bottom w:w="100" w:type="dxa"/>
              <w:right w:w="120" w:type="dxa"/>
            </w:tcMar>
            <w:vAlign w:val="center"/>
          </w:tcPr>
          <w:p w14:paraId="3FBA7062" w14:textId="77777777" w:rsidR="009D1090" w:rsidRDefault="002E3EF7">
            <w:pPr>
              <w:spacing w:before="40" w:after="40"/>
            </w:pPr>
            <w:r>
              <w:t xml:space="preserve">Access controls, </w:t>
            </w:r>
            <w:r>
              <w:t>policy, scope attestation</w:t>
            </w:r>
          </w:p>
        </w:tc>
      </w:tr>
      <w:tr w:rsidR="009D1090" w14:paraId="1473E705" w14:textId="77777777" w:rsidTr="002E3EF7">
        <w:trPr>
          <w:jc w:val="center"/>
        </w:trPr>
        <w:tc>
          <w:tcPr>
            <w:tcW w:w="3120" w:type="dxa"/>
            <w:shd w:val="clear" w:color="auto" w:fill="F8F9FA"/>
            <w:tcMar>
              <w:top w:w="100" w:type="dxa"/>
              <w:left w:w="120" w:type="dxa"/>
              <w:bottom w:w="100" w:type="dxa"/>
              <w:right w:w="120" w:type="dxa"/>
            </w:tcMar>
            <w:vAlign w:val="center"/>
          </w:tcPr>
          <w:p w14:paraId="4A2D1119" w14:textId="77777777" w:rsidR="009D1090" w:rsidRDefault="002E3EF7">
            <w:pPr>
              <w:spacing w:before="40" w:after="40"/>
            </w:pPr>
            <w:r>
              <w:t>Manager requests score for a specific candidate before CV submission</w:t>
            </w:r>
          </w:p>
        </w:tc>
        <w:tc>
          <w:tcPr>
            <w:tcW w:w="3120" w:type="dxa"/>
            <w:shd w:val="clear" w:color="auto" w:fill="F8F9FA"/>
            <w:tcMar>
              <w:top w:w="100" w:type="dxa"/>
              <w:left w:w="120" w:type="dxa"/>
              <w:bottom w:w="100" w:type="dxa"/>
              <w:right w:w="120" w:type="dxa"/>
            </w:tcMar>
            <w:vAlign w:val="center"/>
          </w:tcPr>
          <w:p w14:paraId="3DF5C8C5" w14:textId="77777777" w:rsidR="009D1090" w:rsidRDefault="002E3EF7">
            <w:pPr>
              <w:spacing w:before="40" w:after="40"/>
            </w:pPr>
            <w:r>
              <w:t>Gaming / bias</w:t>
            </w:r>
          </w:p>
        </w:tc>
        <w:tc>
          <w:tcPr>
            <w:tcW w:w="3120" w:type="dxa"/>
            <w:shd w:val="clear" w:color="auto" w:fill="F8F9FA"/>
            <w:tcMar>
              <w:top w:w="100" w:type="dxa"/>
              <w:left w:w="120" w:type="dxa"/>
              <w:bottom w:w="100" w:type="dxa"/>
              <w:right w:w="120" w:type="dxa"/>
            </w:tcMar>
            <w:vAlign w:val="center"/>
          </w:tcPr>
          <w:p w14:paraId="1923FB7F" w14:textId="77777777" w:rsidR="009D1090" w:rsidRDefault="002E3EF7">
            <w:pPr>
              <w:spacing w:before="40" w:after="40"/>
            </w:pPr>
            <w:r>
              <w:t>System does not accept individual queries outside standard batch process</w:t>
            </w:r>
          </w:p>
        </w:tc>
      </w:tr>
      <w:tr w:rsidR="009D1090" w14:paraId="1253A22A" w14:textId="77777777" w:rsidTr="002E3EF7">
        <w:trPr>
          <w:jc w:val="center"/>
        </w:trPr>
        <w:tc>
          <w:tcPr>
            <w:tcW w:w="3120" w:type="dxa"/>
            <w:shd w:val="clear" w:color="auto" w:fill="FFFFFF"/>
            <w:tcMar>
              <w:top w:w="100" w:type="dxa"/>
              <w:left w:w="120" w:type="dxa"/>
              <w:bottom w:w="100" w:type="dxa"/>
              <w:right w:w="120" w:type="dxa"/>
            </w:tcMar>
            <w:vAlign w:val="center"/>
          </w:tcPr>
          <w:p w14:paraId="3D7260EA" w14:textId="77777777" w:rsidR="009D1090" w:rsidRDefault="002E3EF7">
            <w:pPr>
              <w:spacing w:before="40" w:after="40"/>
            </w:pPr>
            <w:r>
              <w:t>Candidate submits CV crafted to game the AI (adversarial CV)</w:t>
            </w:r>
          </w:p>
        </w:tc>
        <w:tc>
          <w:tcPr>
            <w:tcW w:w="3120" w:type="dxa"/>
            <w:shd w:val="clear" w:color="auto" w:fill="FFFFFF"/>
            <w:tcMar>
              <w:top w:w="100" w:type="dxa"/>
              <w:left w:w="120" w:type="dxa"/>
              <w:bottom w:w="100" w:type="dxa"/>
              <w:right w:w="120" w:type="dxa"/>
            </w:tcMar>
            <w:vAlign w:val="center"/>
          </w:tcPr>
          <w:p w14:paraId="67FCD064" w14:textId="77777777" w:rsidR="009D1090" w:rsidRDefault="002E3EF7">
            <w:pPr>
              <w:spacing w:before="40" w:after="40"/>
            </w:pPr>
            <w:r>
              <w:t xml:space="preserve">Model </w:t>
            </w:r>
            <w:r>
              <w:t>gaming</w:t>
            </w:r>
          </w:p>
        </w:tc>
        <w:tc>
          <w:tcPr>
            <w:tcW w:w="3120" w:type="dxa"/>
            <w:shd w:val="clear" w:color="auto" w:fill="FFFFFF"/>
            <w:tcMar>
              <w:top w:w="100" w:type="dxa"/>
              <w:left w:w="120" w:type="dxa"/>
              <w:bottom w:w="100" w:type="dxa"/>
              <w:right w:w="120" w:type="dxa"/>
            </w:tcMar>
            <w:vAlign w:val="center"/>
          </w:tcPr>
          <w:p w14:paraId="68D36EEE" w14:textId="77777777" w:rsidR="009D1090" w:rsidRDefault="002E3EF7">
            <w:pPr>
              <w:spacing w:before="40" w:after="40"/>
            </w:pPr>
            <w:r>
              <w:t>Low risk given human review; adversarial input testing planned</w:t>
            </w:r>
          </w:p>
        </w:tc>
      </w:tr>
    </w:tbl>
    <w:p w14:paraId="2D80E8D8" w14:textId="77777777" w:rsidR="009D1090" w:rsidRDefault="009D1090"/>
    <w:p w14:paraId="45717A2A" w14:textId="77777777" w:rsidR="009D1090" w:rsidRDefault="009D1090">
      <w:pPr>
        <w:pBdr>
          <w:bottom w:val="single" w:sz="6" w:space="1" w:color="D3D3D3"/>
        </w:pBdr>
        <w:spacing w:before="120" w:after="120"/>
      </w:pPr>
    </w:p>
    <w:p w14:paraId="2D6872FA" w14:textId="77777777" w:rsidR="009D1090" w:rsidRDefault="002E3EF7">
      <w:pPr>
        <w:pStyle w:val="Heading2"/>
        <w:spacing w:before="240" w:after="80"/>
      </w:pPr>
      <w:r>
        <w:t>5. Residual Risk Acceptance</w:t>
      </w:r>
    </w:p>
    <w:p w14:paraId="1B0FB2DF" w14:textId="77777777" w:rsidR="009D1090" w:rsidRDefault="002E3EF7" w:rsidP="002E3EF7">
      <w:pPr>
        <w:spacing w:before="40" w:after="80"/>
        <w:jc w:val="both"/>
      </w:pPr>
      <w:r>
        <w:t xml:space="preserve">Following implementation of all mitigation measures, the overall residual risk position is assessed as </w:t>
      </w:r>
      <w:r>
        <w:rPr>
          <w:b/>
        </w:rPr>
        <w:t>Medium</w:t>
      </w:r>
      <w:r>
        <w:t>.</w:t>
      </w:r>
    </w:p>
    <w:p w14:paraId="444DC484" w14:textId="77777777" w:rsidR="009D1090" w:rsidRDefault="002E3EF7" w:rsidP="002E3EF7">
      <w:pPr>
        <w:spacing w:before="40" w:after="80"/>
        <w:jc w:val="both"/>
      </w:pPr>
      <w:r>
        <w:t xml:space="preserve">The residual Medium rating reflects </w:t>
      </w:r>
      <w:r>
        <w:t>that:</w:t>
      </w:r>
    </w:p>
    <w:p w14:paraId="7678DBEF" w14:textId="77777777" w:rsidR="009D1090" w:rsidRDefault="002E3EF7" w:rsidP="002E3EF7">
      <w:pPr>
        <w:pStyle w:val="ListBullet"/>
        <w:spacing w:before="20" w:after="40"/>
        <w:jc w:val="both"/>
      </w:pPr>
      <w:r>
        <w:t>AI-based CV processing carries inherent bias risk that monitoring can detect but not entirely eliminate</w:t>
      </w:r>
    </w:p>
    <w:p w14:paraId="159A53D1" w14:textId="77777777" w:rsidR="009D1090" w:rsidRDefault="002E3EF7" w:rsidP="002E3EF7">
      <w:pPr>
        <w:pStyle w:val="ListBullet"/>
        <w:spacing w:before="20" w:after="40"/>
        <w:jc w:val="both"/>
      </w:pPr>
      <w:r>
        <w:t>Human oversight remains a dependency — if oversight quality degrades, residual risk increases</w:t>
      </w:r>
    </w:p>
    <w:p w14:paraId="5C8E334B" w14:textId="77777777" w:rsidR="009D1090" w:rsidRDefault="002E3EF7" w:rsidP="002E3EF7">
      <w:pPr>
        <w:spacing w:before="40" w:after="80"/>
        <w:jc w:val="both"/>
      </w:pPr>
      <w:r>
        <w:t>The AI Governance Committee has reviewed and accepte</w:t>
      </w:r>
      <w:r>
        <w:t>d this residual risk position as consistent with:</w:t>
      </w:r>
    </w:p>
    <w:p w14:paraId="5652B131" w14:textId="77777777" w:rsidR="009D1090" w:rsidRDefault="002E3EF7" w:rsidP="002E3EF7">
      <w:pPr>
        <w:pStyle w:val="ListBullet"/>
        <w:spacing w:before="20" w:after="40"/>
        <w:jc w:val="both"/>
      </w:pPr>
      <w:r>
        <w:t>NorthStar's risk appetite for operational AI risk</w:t>
      </w:r>
    </w:p>
    <w:p w14:paraId="3D6482B0" w14:textId="77777777" w:rsidR="009D1090" w:rsidRDefault="002E3EF7" w:rsidP="002E3EF7">
      <w:pPr>
        <w:pStyle w:val="ListBullet"/>
        <w:spacing w:before="20" w:after="40"/>
        <w:jc w:val="both"/>
      </w:pPr>
      <w:r>
        <w:t>The requirements of Article 9(4) (ensuring risks are reduced to an acceptable level)</w:t>
      </w:r>
    </w:p>
    <w:p w14:paraId="53F66444" w14:textId="77777777" w:rsidR="009D1090" w:rsidRDefault="002E3EF7" w:rsidP="002E3EF7">
      <w:pPr>
        <w:pStyle w:val="ListBullet"/>
        <w:spacing w:before="20" w:after="40"/>
        <w:jc w:val="both"/>
      </w:pPr>
      <w:r>
        <w:t xml:space="preserve">The understanding that ongoing monitoring will detect emerging </w:t>
      </w:r>
      <w:r>
        <w:t>issues</w:t>
      </w:r>
    </w:p>
    <w:p w14:paraId="2E7165BD" w14:textId="77777777" w:rsidR="009D1090" w:rsidRDefault="002E3EF7" w:rsidP="002E3EF7">
      <w:pPr>
        <w:spacing w:before="40" w:after="80"/>
        <w:jc w:val="both"/>
      </w:pPr>
      <w:r>
        <w:rPr>
          <w:b/>
        </w:rPr>
        <w:t>Acceptance recorded:</w:t>
      </w:r>
      <w:r>
        <w:t xml:space="preserve"> AI Governance Committee, 20 May 2026</w:t>
      </w:r>
    </w:p>
    <w:p w14:paraId="4F58BFC1" w14:textId="77777777" w:rsidR="009D1090" w:rsidRDefault="009D1090">
      <w:pPr>
        <w:pBdr>
          <w:bottom w:val="single" w:sz="6" w:space="1" w:color="D3D3D3"/>
        </w:pBdr>
        <w:spacing w:before="120" w:after="120"/>
      </w:pPr>
    </w:p>
    <w:p w14:paraId="1AC11C84" w14:textId="77777777" w:rsidR="009D1090" w:rsidRDefault="002E3EF7">
      <w:pPr>
        <w:pStyle w:val="Heading2"/>
        <w:spacing w:before="240" w:after="80"/>
      </w:pPr>
      <w:r>
        <w:t>6. Auditor / Interviewer Challenge Q&amp;A</w:t>
      </w:r>
    </w:p>
    <w:p w14:paraId="7D6FBFC7" w14:textId="77777777" w:rsidR="009D1090" w:rsidRDefault="002E3EF7">
      <w:pPr>
        <w:pStyle w:val="Heading3"/>
        <w:spacing w:before="160" w:after="40"/>
      </w:pPr>
      <w:r>
        <w:t>Challenge 1: "How does HireAssist Pro differ from TalentMatch AI from an Article 9 Risk Management perspective?"</w:t>
      </w:r>
    </w:p>
    <w:p w14:paraId="431D2E9A" w14:textId="77777777" w:rsidR="009D1090" w:rsidRDefault="002E3EF7" w:rsidP="002E3EF7">
      <w:pPr>
        <w:spacing w:before="80" w:after="80"/>
        <w:jc w:val="both"/>
      </w:pPr>
      <w:r>
        <w:rPr>
          <w:b/>
          <w:i/>
        </w:rPr>
        <w:t>Defensible Answer:</w:t>
      </w:r>
      <w:r>
        <w:rPr>
          <w:i/>
        </w:rPr>
        <w:t xml:space="preserve"> TalentMatch AI was </w:t>
      </w:r>
      <w:r>
        <w:rPr>
          <w:i/>
        </w:rPr>
        <w:t>deployed as a black-box system without pre-deployment risk identification, training data provenance, or bias testing. HireAssist Pro implements Article 9 lifecycle risk management from day one: pre-deployment bias audits conducted across protected characte</w:t>
      </w:r>
      <w:r>
        <w:rPr>
          <w:i/>
        </w:rPr>
        <w:t>ristics, explicit technical boundary controls prohibiting autonomous decisioning, continuous demographic parity monitoring, and a formal provider/deployer risk allocation matrix.</w:t>
      </w:r>
    </w:p>
    <w:p w14:paraId="5191A6C8" w14:textId="77777777" w:rsidR="009D1090" w:rsidRDefault="002E3EF7">
      <w:pPr>
        <w:pStyle w:val="Heading3"/>
        <w:spacing w:before="160" w:after="40"/>
      </w:pPr>
      <w:r>
        <w:lastRenderedPageBreak/>
        <w:t>Challenge 2: "What is NorthStar's exact liability if HireFlow Technologies ch</w:t>
      </w:r>
      <w:r>
        <w:t>anges the underlying model without notice?"</w:t>
      </w:r>
    </w:p>
    <w:p w14:paraId="5BB82284" w14:textId="77777777" w:rsidR="009D1090" w:rsidRDefault="002E3EF7" w:rsidP="002E3EF7">
      <w:pPr>
        <w:spacing w:before="80" w:after="80"/>
        <w:jc w:val="both"/>
      </w:pPr>
      <w:r>
        <w:rPr>
          <w:b/>
          <w:i/>
        </w:rPr>
        <w:t>Defensible Answer:</w:t>
      </w:r>
      <w:r>
        <w:rPr>
          <w:i/>
        </w:rPr>
        <w:t xml:space="preserve"> Under Article 28 of the EU AI Act and our master SaaS agreement, HireFlow is contractually bound to provide 60 days' advance notice of any material model modification (defined as changes affect</w:t>
      </w:r>
      <w:r>
        <w:rPr>
          <w:i/>
        </w:rPr>
        <w:t>ing architecture, feature weights, or training data). If HireFlow deploys an unnotified material update, NorthStar has the automated technical capability via API version pinning to maintain execution on the validated v3.1.2 release, isolating our operation</w:t>
      </w:r>
      <w:r>
        <w:rPr>
          <w:i/>
        </w:rPr>
        <w:t>al environment until AGPO validation sign-off is complete.</w:t>
      </w:r>
    </w:p>
    <w:p w14:paraId="42111651" w14:textId="77777777" w:rsidR="009D1090" w:rsidRDefault="009D1090">
      <w:pPr>
        <w:pBdr>
          <w:bottom w:val="single" w:sz="6" w:space="1" w:color="D3D3D3"/>
        </w:pBdr>
        <w:spacing w:before="120" w:after="120"/>
      </w:pPr>
    </w:p>
    <w:p w14:paraId="2491FEA3" w14:textId="77777777" w:rsidR="009D1090" w:rsidRDefault="002E3EF7">
      <w:pPr>
        <w:spacing w:before="40" w:after="80"/>
      </w:pPr>
      <w:r>
        <w:rPr>
          <w:i/>
        </w:rPr>
        <w:t>Risk management is a continuous process. This document will be updated following any material incident, material system change, or at the annual review.</w:t>
      </w:r>
    </w:p>
    <w:sectPr w:rsidR="009D10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EF7"/>
    <w:rsid w:val="00326F90"/>
    <w:rsid w:val="009D10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0A659"/>
  <w14:defaultImageDpi w14:val="300"/>
  <w15:docId w15:val="{864DD0A5-5709-4F25-A8E0-047372E0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C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2026-08-19T17:40:00Z</dcterms:modified>
  <cp:category/>
</cp:coreProperties>
</file>