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6CB2" w14:textId="77777777" w:rsidR="00606CD6" w:rsidRDefault="00235FBE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Control Objective Specification</w:t>
      </w:r>
    </w:p>
    <w:p w14:paraId="5B54B4FF" w14:textId="77777777" w:rsidR="00235FBE" w:rsidRDefault="00235FBE" w:rsidP="00235FBE">
      <w:pPr>
        <w:spacing w:before="120" w:after="120"/>
        <w:rPr>
          <w:color w:val="475569"/>
          <w:sz w:val="21"/>
        </w:rPr>
      </w:pPr>
    </w:p>
    <w:p w14:paraId="2A67B3D2" w14:textId="3D82BB35" w:rsidR="00606CD6" w:rsidRDefault="00235FBE" w:rsidP="00235FBE">
      <w:pPr>
        <w:spacing w:before="120" w:after="120"/>
      </w:pPr>
      <w:r>
        <w:rPr>
          <w:b/>
          <w:sz w:val="21"/>
        </w:rPr>
        <w:t>DISCLAIMER</w:t>
      </w:r>
      <w:r>
        <w:rPr>
          <w:color w:val="475569"/>
          <w:sz w:val="21"/>
        </w:rPr>
        <w:t>: Fictional portfolio prototype specification.</w:t>
      </w:r>
      <w:r>
        <w:rPr>
          <w:color w:val="475569"/>
          <w:sz w:val="21"/>
        </w:rPr>
        <w:br/>
      </w:r>
    </w:p>
    <w:p w14:paraId="676A39E2" w14:textId="77777777" w:rsidR="00606CD6" w:rsidRDefault="00235FBE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1. Stated Control Language</w:t>
      </w:r>
    </w:p>
    <w:p w14:paraId="713B6E96" w14:textId="77777777" w:rsidR="00606CD6" w:rsidRDefault="00235FBE">
      <w:pPr>
        <w:spacing w:before="120" w:after="120"/>
        <w:ind w:left="576"/>
      </w:pPr>
      <w:r>
        <w:rPr>
          <w:color w:val="475569"/>
          <w:sz w:val="21"/>
        </w:rPr>
        <w:br/>
      </w:r>
      <w:r>
        <w:rPr>
          <w:i/>
          <w:sz w:val="21"/>
        </w:rPr>
        <w:t>"Privileged access shall be reviewed quarterly to ensure appropriateness and enforce least privilege principles."</w:t>
      </w:r>
      <w:r>
        <w:br/>
      </w:r>
      <w:r>
        <w:rPr>
          <w:color w:val="475569"/>
          <w:sz w:val="21"/>
        </w:rPr>
        <w:br/>
        <w:t xml:space="preserve">— </w:t>
      </w:r>
      <w:r>
        <w:rPr>
          <w:b/>
          <w:sz w:val="21"/>
        </w:rPr>
        <w:t xml:space="preserve">SOC 2 Type II </w:t>
      </w:r>
      <w:r>
        <w:rPr>
          <w:b/>
          <w:sz w:val="21"/>
        </w:rPr>
        <w:t>(CC6.1, CC6.2, CC6.3) &amp; PCI DSS v4.0 (Req 7.2, 8.1.4)</w:t>
      </w:r>
      <w:r>
        <w:rPr>
          <w:color w:val="475569"/>
          <w:sz w:val="21"/>
        </w:rPr>
        <w:br/>
      </w:r>
    </w:p>
    <w:p w14:paraId="100E6861" w14:textId="77777777" w:rsidR="00606CD6" w:rsidRDefault="00235FBE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2. Tripartite Objective Breakdown</w:t>
      </w:r>
    </w:p>
    <w:p w14:paraId="13C71CB2" w14:textId="77777777" w:rsidR="00606CD6" w:rsidRDefault="00235FBE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Compliance Requirement</w:t>
      </w:r>
    </w:p>
    <w:p w14:paraId="58A488C4" w14:textId="77777777" w:rsidR="00606CD6" w:rsidRDefault="00235FBE">
      <w:pPr>
        <w:pStyle w:val="ListBullet"/>
        <w:spacing w:after="60"/>
      </w:pPr>
      <w:r>
        <w:rPr>
          <w:sz w:val="21"/>
        </w:rPr>
        <w:t>Demonstrate to external auditors that 100% of privileged entitlements across AWS, Okta, and GitHub are systematically reviewed every 90 days.</w:t>
      </w:r>
    </w:p>
    <w:p w14:paraId="3B1FB892" w14:textId="77777777" w:rsidR="00606CD6" w:rsidRDefault="00235FBE">
      <w:pPr>
        <w:pStyle w:val="ListBullet"/>
        <w:spacing w:after="60"/>
      </w:pPr>
      <w:r>
        <w:rPr>
          <w:sz w:val="21"/>
        </w:rPr>
        <w:t>Re</w:t>
      </w:r>
      <w:r>
        <w:rPr>
          <w:sz w:val="21"/>
        </w:rPr>
        <w:t>tain immutable, timestamped audit trail of all access approvals, revocations, and risk acceptance decisions.</w:t>
      </w:r>
    </w:p>
    <w:p w14:paraId="4AF88C0F" w14:textId="77777777" w:rsidR="00606CD6" w:rsidRDefault="00235FBE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Security Objective</w:t>
      </w:r>
    </w:p>
    <w:p w14:paraId="3C21FF2E" w14:textId="77777777" w:rsidR="00606CD6" w:rsidRDefault="00235FBE">
      <w:pPr>
        <w:pStyle w:val="ListBullet"/>
        <w:spacing w:after="60"/>
      </w:pPr>
      <w:r>
        <w:rPr>
          <w:sz w:val="21"/>
        </w:rPr>
        <w:t xml:space="preserve">Reduce offboarding vulnerability window from 30+ days down to </w:t>
      </w:r>
      <w:r>
        <w:rPr>
          <w:b/>
          <w:sz w:val="21"/>
        </w:rPr>
        <w:t>&lt; 15 minutes</w:t>
      </w:r>
      <w:r>
        <w:rPr>
          <w:sz w:val="21"/>
        </w:rPr>
        <w:t>.</w:t>
      </w:r>
    </w:p>
    <w:p w14:paraId="7F47587B" w14:textId="77777777" w:rsidR="00606CD6" w:rsidRDefault="00235FBE">
      <w:pPr>
        <w:pStyle w:val="ListBullet"/>
        <w:spacing w:after="60"/>
      </w:pPr>
      <w:r>
        <w:rPr>
          <w:sz w:val="21"/>
        </w:rPr>
        <w:t>Enforce Zero Trust least privilege by continuously p</w:t>
      </w:r>
      <w:r>
        <w:rPr>
          <w:sz w:val="21"/>
        </w:rPr>
        <w:t>runing dormant accounts (&gt;30 days inactive) and unowned service accounts.</w:t>
      </w:r>
    </w:p>
    <w:p w14:paraId="6F1A5F8A" w14:textId="77777777" w:rsidR="00606CD6" w:rsidRDefault="00235FBE">
      <w:pPr>
        <w:pStyle w:val="ListBullet"/>
        <w:spacing w:after="60"/>
      </w:pPr>
      <w:r>
        <w:rPr>
          <w:sz w:val="21"/>
        </w:rPr>
        <w:t>Prevent unauthorized out-of-band privilege escalation in production cloud accounts.</w:t>
      </w:r>
    </w:p>
    <w:p w14:paraId="61D030E2" w14:textId="77777777" w:rsidR="00606CD6" w:rsidRDefault="00235FBE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Business Objective</w:t>
      </w:r>
    </w:p>
    <w:p w14:paraId="0AF042C5" w14:textId="77777777" w:rsidR="00606CD6" w:rsidRDefault="00235FBE">
      <w:pPr>
        <w:pStyle w:val="ListBullet"/>
        <w:spacing w:after="60"/>
      </w:pPr>
      <w:r>
        <w:rPr>
          <w:sz w:val="21"/>
        </w:rPr>
        <w:t xml:space="preserve">Save </w:t>
      </w:r>
      <w:r>
        <w:rPr>
          <w:b/>
          <w:sz w:val="21"/>
        </w:rPr>
        <w:t>60+ analyst and manager hours per quarter</w:t>
      </w:r>
      <w:r>
        <w:rPr>
          <w:sz w:val="21"/>
        </w:rPr>
        <w:t xml:space="preserve"> previously wasted on manual spre</w:t>
      </w:r>
      <w:r>
        <w:rPr>
          <w:sz w:val="21"/>
        </w:rPr>
        <w:t>adsheet merging and email chasing.</w:t>
      </w:r>
    </w:p>
    <w:p w14:paraId="3E3E2BED" w14:textId="77777777" w:rsidR="00606CD6" w:rsidRDefault="00235FBE">
      <w:pPr>
        <w:pStyle w:val="ListBullet"/>
        <w:spacing w:after="60"/>
      </w:pPr>
      <w:r>
        <w:rPr>
          <w:sz w:val="21"/>
        </w:rPr>
        <w:t>Eliminate audit friction and fire-drills prior to SOC 2 and PCI DSS compliance audits.</w:t>
      </w:r>
    </w:p>
    <w:p w14:paraId="7227EAF3" w14:textId="77777777" w:rsidR="00606CD6" w:rsidRDefault="00235FBE">
      <w:pPr>
        <w:pStyle w:val="ListBullet"/>
        <w:spacing w:after="60"/>
      </w:pPr>
      <w:r>
        <w:rPr>
          <w:sz w:val="21"/>
        </w:rPr>
        <w:t>Preserve engineering velocity by offering interactive ChatOps approvals (Slack/Jira).</w:t>
      </w:r>
    </w:p>
    <w:sectPr w:rsidR="00606C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FBE"/>
    <w:rsid w:val="0029639D"/>
    <w:rsid w:val="00326F90"/>
    <w:rsid w:val="00606C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40FB5"/>
  <w14:defaultImageDpi w14:val="300"/>
  <w15:docId w15:val="{A7183FCE-AB3F-4310-84DB-BB8521F6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2026-08-19T15:36:00Z</dcterms:modified>
  <cp:category/>
</cp:coreProperties>
</file>