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這段影片由「棄綠保台我投柯」頻道於 2025 年 12 月 15 日發布，內容為翟本喬（翟老）在柯文哲京華城案「言詞辯論」期間，針對檢察官的論告內容以及法庭程序爭議進行的實況轉述與法律分析。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以下是為您整理的影片內容大綱與簡介：</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影片摘要：言詞辯論攻防——檢方圖利罪論點受質疑與「口罩抗議」始末</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本影片記錄了 2025 年 12 月 15 日京華城案言詞辯論庭的最新實況。翟本喬在影片中說明他為何在庭上戴口罩向法官抗議，並深入分析檢察官針對「圖利罪」提出的法律見解。翟本喬指出，檢方試圖證明京華城案違反上位計劃且無通案性，但辯方則以行政規則與對外效力的法律位階進行反擊，質疑檢方的指控在法律邏輯上站不住腳。</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翟本喬的「口罩抗議」：不滿法官變卦</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變更裁定惹議</w:t>
      </w:r>
      <w:r w:rsidDel="00000000" w:rsidR="00000000" w:rsidRPr="00000000">
        <w:rPr>
          <w:rFonts w:ascii="Arial Unicode MS" w:cs="Arial Unicode MS" w:eastAsia="Arial Unicode MS" w:hAnsi="Arial Unicode MS"/>
          <w:rtl w:val="0"/>
        </w:rPr>
        <w:t xml:space="preserve">：法官原本准許旁聽民眾申請遮蔽臉部，但在休息後卻改口稱，依據《法院組織法》，僅「訴訟參與者」（被告、律師、法官、檢察官、證人）有權申請變生變相。</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抗議法庭透明度</w:t>
      </w:r>
      <w:r w:rsidDel="00000000" w:rsidR="00000000" w:rsidRPr="00000000">
        <w:rPr>
          <w:rFonts w:ascii="Arial Unicode MS" w:cs="Arial Unicode MS" w:eastAsia="Arial Unicode MS" w:hAnsi="Arial Unicode MS"/>
          <w:rtl w:val="0"/>
        </w:rPr>
        <w:t xml:space="preserve">：翟本喬不滿法官將旁聽民眾排除在外，認為小草（支持者）旁聽也有被肉搜霸凌的風險。他為此在庭上戴起口罩以示抗議，並諷刺法官理由牽強 [</w:t>
      </w:r>
      <w:hyperlink r:id="rId6">
        <w:r w:rsidDel="00000000" w:rsidR="00000000" w:rsidRPr="00000000">
          <w:rPr>
            <w:color w:val="0000ee"/>
            <w:u w:val="single"/>
            <w:rtl w:val="0"/>
          </w:rPr>
          <w:t xml:space="preserve">00:13</w:t>
        </w:r>
      </w:hyperlink>
      <w:r w:rsidDel="00000000" w:rsidR="00000000" w:rsidRPr="00000000">
        <w:rPr>
          <w:rtl w:val="0"/>
        </w:rPr>
        <w:t xml:space="preserve">, </w:t>
      </w:r>
      <w:hyperlink r:id="rId7">
        <w:r w:rsidDel="00000000" w:rsidR="00000000" w:rsidRPr="00000000">
          <w:rPr>
            <w:color w:val="0000ee"/>
            <w:u w:val="single"/>
            <w:rtl w:val="0"/>
          </w:rPr>
          <w:t xml:space="preserve">00:52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檢察官論告焦點：圖利罪與行政處分</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起訴內容分段</w:t>
      </w:r>
      <w:r w:rsidDel="00000000" w:rsidR="00000000" w:rsidRPr="00000000">
        <w:rPr>
          <w:rFonts w:ascii="Arial Unicode MS" w:cs="Arial Unicode MS" w:eastAsia="Arial Unicode MS" w:hAnsi="Arial Unicode MS"/>
          <w:rtl w:val="0"/>
        </w:rPr>
        <w:t xml:space="preserve">：檢方規劃上午陳述圖利罪部分，下午陳述貪污罪部分，隔日則針對應曉薇相關部分進行論告 [</w:t>
      </w:r>
      <w:hyperlink r:id="rId8">
        <w:r w:rsidDel="00000000" w:rsidR="00000000" w:rsidRPr="00000000">
          <w:rPr>
            <w:color w:val="0000ee"/>
            <w:u w:val="single"/>
            <w:rtl w:val="0"/>
          </w:rPr>
          <w:t xml:space="preserve">01:31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質疑容積獎勵合法性</w:t>
      </w:r>
      <w:r w:rsidDel="00000000" w:rsidR="00000000" w:rsidRPr="00000000">
        <w:rPr>
          <w:rFonts w:ascii="Arial Unicode MS" w:cs="Arial Unicode MS" w:eastAsia="Arial Unicode MS" w:hAnsi="Arial Unicode MS"/>
          <w:rtl w:val="0"/>
        </w:rPr>
        <w:t xml:space="preserve">：檢方主張京華城細部計劃屬於「行政處分」，不能違反上位的「主要計劃」或「通盤檢討」。檢方列舉東方文華、南港輪胎等案皆有法律依據，唯獨京華城案缺乏法源 [</w:t>
      </w:r>
      <w:hyperlink r:id="rId9">
        <w:r w:rsidDel="00000000" w:rsidR="00000000" w:rsidRPr="00000000">
          <w:rPr>
            <w:color w:val="0000ee"/>
            <w:u w:val="single"/>
            <w:rtl w:val="0"/>
          </w:rPr>
          <w:t xml:space="preserve">01:57</w:t>
        </w:r>
      </w:hyperlink>
      <w:r w:rsidDel="00000000" w:rsidR="00000000" w:rsidRPr="00000000">
        <w:rPr>
          <w:rtl w:val="0"/>
        </w:rPr>
        <w:t xml:space="preserve">, </w:t>
      </w:r>
      <w:hyperlink r:id="rId10">
        <w:r w:rsidDel="00000000" w:rsidR="00000000" w:rsidRPr="00000000">
          <w:rPr>
            <w:color w:val="0000ee"/>
            <w:u w:val="single"/>
            <w:rtl w:val="0"/>
          </w:rPr>
          <w:t xml:space="preserve">02:20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對「通案性」的爭議</w:t>
      </w:r>
      <w:r w:rsidDel="00000000" w:rsidR="00000000" w:rsidRPr="00000000">
        <w:rPr>
          <w:rFonts w:ascii="Arial Unicode MS" w:cs="Arial Unicode MS" w:eastAsia="Arial Unicode MS" w:hAnsi="Arial Unicode MS"/>
          <w:rtl w:val="0"/>
        </w:rPr>
        <w:t xml:space="preserve">：檢方認為京華城享有的容積獎勵不具通案性。翟本喬反駁，那是因為目前還沒人申請，且蔣萬安上任後才修改規程，變相證明原本的規定並無此限制 [</w:t>
      </w:r>
      <w:hyperlink r:id="rId11">
        <w:r w:rsidDel="00000000" w:rsidR="00000000" w:rsidRPr="00000000">
          <w:rPr>
            <w:color w:val="0000ee"/>
            <w:u w:val="single"/>
            <w:rtl w:val="0"/>
          </w:rPr>
          <w:t xml:space="preserve">03:25</w:t>
        </w:r>
      </w:hyperlink>
      <w:r w:rsidDel="00000000" w:rsidR="00000000" w:rsidRPr="00000000">
        <w:rPr>
          <w:rtl w:val="0"/>
        </w:rPr>
        <w:t xml:space="preserve">, </w:t>
      </w:r>
      <w:hyperlink r:id="rId12">
        <w:r w:rsidDel="00000000" w:rsidR="00000000" w:rsidRPr="00000000">
          <w:rPr>
            <w:color w:val="0000ee"/>
            <w:u w:val="single"/>
            <w:rtl w:val="0"/>
          </w:rPr>
          <w:t xml:space="preserve">04:11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法律攻防：行政規則 vs 對外法規</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「明知違法」的門檻</w:t>
      </w:r>
      <w:r w:rsidDel="00000000" w:rsidR="00000000" w:rsidRPr="00000000">
        <w:rPr>
          <w:rFonts w:ascii="Arial Unicode MS" w:cs="Arial Unicode MS" w:eastAsia="Arial Unicode MS" w:hAnsi="Arial Unicode MS"/>
          <w:rtl w:val="0"/>
        </w:rPr>
        <w:t xml:space="preserve">：圖利罪的成立要件須為「明知違法」。翟本喬指出，若多數公務員在當時都認為程序合法，且違反的是對內的「行政規則」而非對外的「行政法規」，則不具備圖利罪的違法性 [</w:t>
      </w:r>
      <w:hyperlink r:id="rId13">
        <w:r w:rsidDel="00000000" w:rsidR="00000000" w:rsidRPr="00000000">
          <w:rPr>
            <w:color w:val="0000ee"/>
            <w:u w:val="single"/>
            <w:rtl w:val="0"/>
          </w:rPr>
          <w:t xml:space="preserve">02:58</w:t>
        </w:r>
      </w:hyperlink>
      <w:r w:rsidDel="00000000" w:rsidR="00000000" w:rsidRPr="00000000">
        <w:rPr>
          <w:rtl w:val="0"/>
        </w:rPr>
        <w:t xml:space="preserve">, </w:t>
      </w:r>
      <w:hyperlink r:id="rId14">
        <w:r w:rsidDel="00000000" w:rsidR="00000000" w:rsidRPr="00000000">
          <w:rPr>
            <w:color w:val="0000ee"/>
            <w:u w:val="single"/>
            <w:rtl w:val="0"/>
          </w:rPr>
          <w:t xml:space="preserve">05:08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訴訟中成情的爭議</w:t>
      </w:r>
      <w:r w:rsidDel="00000000" w:rsidR="00000000" w:rsidRPr="00000000">
        <w:rPr>
          <w:rFonts w:ascii="Arial Unicode MS" w:cs="Arial Unicode MS" w:eastAsia="Arial Unicode MS" w:hAnsi="Arial Unicode MS"/>
          <w:rtl w:val="0"/>
        </w:rPr>
        <w:t xml:space="preserve">：針對「訴訟中不能成情」的內規，辯方指出林欽榮在其他三案中也在訴訟期間接受成情，顯見此並非絕對禁止的法律位階，檢方對此項目的指控站不住腳 [</w:t>
      </w:r>
      <w:hyperlink r:id="rId15">
        <w:r w:rsidDel="00000000" w:rsidR="00000000" w:rsidRPr="00000000">
          <w:rPr>
            <w:color w:val="0000ee"/>
            <w:u w:val="single"/>
            <w:rtl w:val="0"/>
          </w:rPr>
          <w:t xml:space="preserve">05:16</w:t>
        </w:r>
      </w:hyperlink>
      <w:r w:rsidDel="00000000" w:rsidR="00000000" w:rsidRPr="00000000">
        <w:rPr>
          <w:rtl w:val="0"/>
        </w:rPr>
        <w:t xml:space="preserve">, </w:t>
      </w:r>
      <w:hyperlink r:id="rId16">
        <w:r w:rsidDel="00000000" w:rsidR="00000000" w:rsidRPr="00000000">
          <w:rPr>
            <w:color w:val="0000ee"/>
            <w:u w:val="single"/>
            <w:rtl w:val="0"/>
          </w:rPr>
          <w:t xml:space="preserve">06:12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總結</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程序與實質的正義</w:t>
      </w:r>
      <w:r w:rsidDel="00000000" w:rsidR="00000000" w:rsidRPr="00000000">
        <w:rPr>
          <w:rFonts w:ascii="Arial Unicode MS" w:cs="Arial Unicode MS" w:eastAsia="Arial Unicode MS" w:hAnsi="Arial Unicode MS"/>
          <w:rtl w:val="0"/>
        </w:rPr>
        <w:t xml:space="preserve">：檢方雖列舉多項公務員證詞，但翟本喬認為內容多受誘導。他強調圖利罪必須在事前明確知道違法，若連當時的行政首長與相關公務員都不知道有此限制，就不存在「明知」的犯罪意圖 [</w:t>
      </w:r>
      <w:hyperlink r:id="rId17">
        <w:r w:rsidDel="00000000" w:rsidR="00000000" w:rsidRPr="00000000">
          <w:rPr>
            <w:color w:val="0000ee"/>
            <w:u w:val="single"/>
            <w:rtl w:val="0"/>
          </w:rPr>
          <w:t xml:space="preserve">03:09</w:t>
        </w:r>
      </w:hyperlink>
      <w:r w:rsidDel="00000000" w:rsidR="00000000" w:rsidRPr="00000000">
        <w:rPr>
          <w:rtl w:val="0"/>
        </w:rPr>
        <w:t xml:space="preserve">, </w:t>
      </w:r>
      <w:hyperlink r:id="rId18">
        <w:r w:rsidDel="00000000" w:rsidR="00000000" w:rsidRPr="00000000">
          <w:rPr>
            <w:color w:val="0000ee"/>
            <w:u w:val="single"/>
            <w:rtl w:val="0"/>
          </w:rPr>
          <w:t xml:space="preserve">06:16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19">
        <w:r w:rsidDel="00000000" w:rsidR="00000000" w:rsidRPr="00000000">
          <w:rPr>
            <w:color w:val="0000ee"/>
            <w:u w:val="single"/>
            <w:rtl w:val="0"/>
          </w:rPr>
          <w:t xml:space="preserve">https://youtu.be/akjFSx3R3TI?si=Y1Sxqly0JTuGKhHt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akjFSx3R3TI&amp;t=205" TargetMode="External"/><Relationship Id="rId10" Type="http://schemas.openxmlformats.org/officeDocument/2006/relationships/hyperlink" Target="http://www.youtube.com/watch?v=akjFSx3R3TI&amp;t=140" TargetMode="External"/><Relationship Id="rId13" Type="http://schemas.openxmlformats.org/officeDocument/2006/relationships/hyperlink" Target="http://www.youtube.com/watch?v=akjFSx3R3TI&amp;t=178" TargetMode="External"/><Relationship Id="rId12" Type="http://schemas.openxmlformats.org/officeDocument/2006/relationships/hyperlink" Target="http://www.youtube.com/watch?v=akjFSx3R3TI&amp;t=2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akjFSx3R3TI&amp;t=117" TargetMode="External"/><Relationship Id="rId15" Type="http://schemas.openxmlformats.org/officeDocument/2006/relationships/hyperlink" Target="http://www.youtube.com/watch?v=akjFSx3R3TI&amp;t=316" TargetMode="External"/><Relationship Id="rId14" Type="http://schemas.openxmlformats.org/officeDocument/2006/relationships/hyperlink" Target="http://www.youtube.com/watch?v=akjFSx3R3TI&amp;t=308" TargetMode="External"/><Relationship Id="rId17" Type="http://schemas.openxmlformats.org/officeDocument/2006/relationships/hyperlink" Target="http://www.youtube.com/watch?v=akjFSx3R3TI&amp;t=189" TargetMode="External"/><Relationship Id="rId16" Type="http://schemas.openxmlformats.org/officeDocument/2006/relationships/hyperlink" Target="http://www.youtube.com/watch?v=akjFSx3R3TI&amp;t=372" TargetMode="External"/><Relationship Id="rId5" Type="http://schemas.openxmlformats.org/officeDocument/2006/relationships/styles" Target="styles.xml"/><Relationship Id="rId19" Type="http://schemas.openxmlformats.org/officeDocument/2006/relationships/hyperlink" Target="https://www.google.com/search?q=https://youtu.be/akjFSx3R3TI?si%3DY1Sxqly0JTuGKhHt" TargetMode="External"/><Relationship Id="rId6" Type="http://schemas.openxmlformats.org/officeDocument/2006/relationships/hyperlink" Target="http://www.youtube.com/watch?v=akjFSx3R3TI&amp;t=13" TargetMode="External"/><Relationship Id="rId18" Type="http://schemas.openxmlformats.org/officeDocument/2006/relationships/hyperlink" Target="http://www.youtube.com/watch?v=akjFSx3R3TI&amp;t=376" TargetMode="External"/><Relationship Id="rId7" Type="http://schemas.openxmlformats.org/officeDocument/2006/relationships/hyperlink" Target="http://www.youtube.com/watch?v=akjFSx3R3TI&amp;t=52" TargetMode="External"/><Relationship Id="rId8" Type="http://schemas.openxmlformats.org/officeDocument/2006/relationships/hyperlink" Target="http://www.youtube.com/watch?v=akjFSx3R3TI&amp;t=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