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62CE3" w14:textId="77777777" w:rsidR="00D95099" w:rsidRPr="002E7CEB" w:rsidRDefault="00D95099" w:rsidP="00D95099">
      <w:pPr>
        <w:pStyle w:val="FreeForm"/>
        <w:jc w:val="center"/>
        <w:rPr>
          <w:rFonts w:ascii="Times New Roman Bold" w:hAnsi="Times New Roman Bold"/>
          <w:b/>
          <w:caps/>
          <w:sz w:val="40"/>
          <w:szCs w:val="40"/>
        </w:rPr>
      </w:pPr>
      <w:r w:rsidRPr="002E7CEB">
        <w:rPr>
          <w:rFonts w:ascii="Times New Roman Bold" w:hAnsi="Times New Roman Bold"/>
          <w:b/>
          <w:caps/>
          <w:sz w:val="40"/>
          <w:szCs w:val="40"/>
        </w:rPr>
        <w:t>The Maryland</w:t>
      </w:r>
    </w:p>
    <w:p w14:paraId="0594F342" w14:textId="77777777" w:rsidR="00D95099" w:rsidRPr="002E7CEB" w:rsidRDefault="00D95099" w:rsidP="00D95099">
      <w:pPr>
        <w:pStyle w:val="FreeForm"/>
        <w:jc w:val="center"/>
        <w:rPr>
          <w:rFonts w:ascii="Times New Roman Bold" w:hAnsi="Times New Roman Bold"/>
          <w:b/>
          <w:caps/>
          <w:sz w:val="40"/>
          <w:szCs w:val="40"/>
          <w:u w:val="single"/>
        </w:rPr>
      </w:pPr>
      <w:r w:rsidRPr="002E7CEB">
        <w:rPr>
          <w:rFonts w:ascii="Times New Roman Bold" w:hAnsi="Times New Roman Bold"/>
          <w:b/>
          <w:caps/>
          <w:sz w:val="40"/>
          <w:szCs w:val="40"/>
          <w:u w:val="single"/>
        </w:rPr>
        <w:t>Foreclosure Process AND TIMELINE</w:t>
      </w:r>
    </w:p>
    <w:p w14:paraId="3E44E8F1" w14:textId="5E02A5C8" w:rsidR="00D95099" w:rsidRDefault="00D95099" w:rsidP="00D95099">
      <w:pPr>
        <w:pStyle w:val="FreeForm"/>
        <w:jc w:val="center"/>
        <w:rPr>
          <w:sz w:val="24"/>
          <w:szCs w:val="24"/>
        </w:rPr>
      </w:pPr>
      <w:r w:rsidRPr="002E7CEB">
        <w:rPr>
          <w:sz w:val="24"/>
          <w:szCs w:val="24"/>
        </w:rPr>
        <w:t xml:space="preserve">[Not Owner-Occupied - Mortgage Loan Default – </w:t>
      </w:r>
      <w:r w:rsidR="001C7D82" w:rsidRPr="00673FBB">
        <w:rPr>
          <w:color w:val="900000" w:themeColor="accent3"/>
          <w:sz w:val="24"/>
          <w:szCs w:val="24"/>
        </w:rPr>
        <w:t xml:space="preserve">IF {LOAN_TYPE} </w:t>
      </w:r>
      <w:r w:rsidR="00673FBB" w:rsidRPr="00673FBB">
        <w:rPr>
          <w:color w:val="900000" w:themeColor="accent3"/>
          <w:sz w:val="24"/>
          <w:szCs w:val="24"/>
        </w:rPr>
        <w:t xml:space="preserve">NOT </w:t>
      </w:r>
      <w:r w:rsidR="001C7D82" w:rsidRPr="00673FBB">
        <w:rPr>
          <w:color w:val="900000" w:themeColor="accent3"/>
          <w:sz w:val="24"/>
          <w:szCs w:val="24"/>
        </w:rPr>
        <w:t>IN</w:t>
      </w:r>
      <w:r w:rsidR="00673FBB" w:rsidRPr="00673FBB">
        <w:rPr>
          <w:color w:val="900000" w:themeColor="accent3"/>
          <w:sz w:val="24"/>
          <w:szCs w:val="24"/>
        </w:rPr>
        <w:t xml:space="preserve"> (“FHA”, “RHS”, “VA”)</w:t>
      </w:r>
      <w:r w:rsidR="00652E53">
        <w:rPr>
          <w:color w:val="900000" w:themeColor="accent3"/>
          <w:sz w:val="24"/>
          <w:szCs w:val="24"/>
        </w:rPr>
        <w:t xml:space="preserve"> AND {GSE_FULLNAME} NOT IN </w:t>
      </w:r>
      <w:r w:rsidR="001A0F8E">
        <w:rPr>
          <w:color w:val="900000" w:themeColor="accent3"/>
          <w:sz w:val="24"/>
          <w:szCs w:val="24"/>
        </w:rPr>
        <w:t>(“</w:t>
      </w:r>
      <w:proofErr w:type="spellStart"/>
      <w:r w:rsidR="001A0F8E">
        <w:rPr>
          <w:color w:val="900000" w:themeColor="accent3"/>
          <w:sz w:val="24"/>
          <w:szCs w:val="24"/>
        </w:rPr>
        <w:t>Ginnie</w:t>
      </w:r>
      <w:proofErr w:type="spellEnd"/>
      <w:r w:rsidR="001A0F8E">
        <w:rPr>
          <w:color w:val="900000" w:themeColor="accent3"/>
          <w:sz w:val="24"/>
          <w:szCs w:val="24"/>
        </w:rPr>
        <w:t xml:space="preserve"> Mae”, “Fannie Mae”, “Freddie Mac”)</w:t>
      </w:r>
      <w:r w:rsidR="00673FBB" w:rsidRPr="00673FBB">
        <w:rPr>
          <w:color w:val="900000" w:themeColor="accent3"/>
          <w:sz w:val="24"/>
          <w:szCs w:val="24"/>
        </w:rPr>
        <w:t xml:space="preserve"> THEN [[</w:t>
      </w:r>
      <w:r w:rsidRPr="00673FBB">
        <w:rPr>
          <w:color w:val="900000" w:themeColor="accent3"/>
          <w:sz w:val="24"/>
          <w:szCs w:val="24"/>
        </w:rPr>
        <w:t>Not</w:t>
      </w:r>
      <w:r w:rsidR="00673FBB" w:rsidRPr="00673FBB">
        <w:rPr>
          <w:color w:val="900000" w:themeColor="accent3"/>
          <w:sz w:val="24"/>
          <w:szCs w:val="24"/>
        </w:rPr>
        <w:t>]]</w:t>
      </w:r>
      <w:r w:rsidRPr="002E7CEB">
        <w:rPr>
          <w:sz w:val="24"/>
          <w:szCs w:val="24"/>
        </w:rPr>
        <w:t xml:space="preserve"> Federally Related Mortgage Loan]</w:t>
      </w:r>
    </w:p>
    <w:p w14:paraId="370F7A1B" w14:textId="7B6952F3" w:rsidR="00D95099" w:rsidRPr="00D95099" w:rsidRDefault="00D95099" w:rsidP="00D95099">
      <w:pPr>
        <w:pStyle w:val="FreeForm"/>
        <w:rPr>
          <w:color w:val="D8D8D8" w:themeColor="accent2"/>
          <w:sz w:val="24"/>
          <w:szCs w:val="24"/>
        </w:rPr>
      </w:pPr>
      <w:r w:rsidRPr="00D95099">
        <w:rPr>
          <w:color w:val="D8D8D8" w:themeColor="accent2"/>
          <w:sz w:val="24"/>
          <w:szCs w:val="24"/>
        </w:rPr>
        <w:t>[[CR]]</w:t>
      </w:r>
    </w:p>
    <w:p w14:paraId="74A947B4" w14:textId="16A6A4BB" w:rsidR="00D95099" w:rsidRDefault="00D95099" w:rsidP="00D95099">
      <w:pPr>
        <w:jc w:val="both"/>
        <w:rPr>
          <w:sz w:val="24"/>
        </w:rPr>
      </w:pPr>
      <w:r w:rsidRPr="002E7CEB">
        <w:rPr>
          <w:b/>
          <w:bCs/>
          <w:sz w:val="24"/>
        </w:rPr>
        <w:t xml:space="preserve">A Notice of Intent to Foreclose </w:t>
      </w:r>
      <w:r w:rsidRPr="002E7CEB">
        <w:rPr>
          <w:bCs/>
          <w:sz w:val="24"/>
        </w:rPr>
        <w:t xml:space="preserve">is enclosed with this document.  </w:t>
      </w:r>
      <w:r w:rsidRPr="002E7CEB">
        <w:rPr>
          <w:sz w:val="24"/>
        </w:rPr>
        <w:t xml:space="preserve">In the Notice you will find specific information about your mortgage. </w:t>
      </w:r>
      <w:r w:rsidRPr="002E7CEB">
        <w:rPr>
          <w:b/>
          <w:sz w:val="24"/>
        </w:rPr>
        <w:t>THIS IS NOT YET A FORECLOSURE FILING.</w:t>
      </w:r>
    </w:p>
    <w:p w14:paraId="3AB1B1AD" w14:textId="77777777" w:rsidR="00D95099" w:rsidRPr="00D95099" w:rsidRDefault="00D95099" w:rsidP="00D95099">
      <w:pPr>
        <w:pStyle w:val="FreeForm"/>
        <w:rPr>
          <w:color w:val="D8D8D8" w:themeColor="accent2"/>
          <w:sz w:val="24"/>
          <w:szCs w:val="24"/>
        </w:rPr>
      </w:pPr>
      <w:r w:rsidRPr="00D95099">
        <w:rPr>
          <w:color w:val="D8D8D8" w:themeColor="accent2"/>
          <w:sz w:val="24"/>
          <w:szCs w:val="24"/>
        </w:rPr>
        <w:t>[[CR]]</w:t>
      </w:r>
    </w:p>
    <w:p w14:paraId="1D30C2A6" w14:textId="4FA795B1" w:rsidR="00D95099" w:rsidRPr="002E7CEB" w:rsidRDefault="00D95099" w:rsidP="001D2865">
      <w:pPr>
        <w:numPr>
          <w:ilvl w:val="0"/>
          <w:numId w:val="1"/>
        </w:numPr>
        <w:jc w:val="both"/>
        <w:rPr>
          <w:sz w:val="24"/>
        </w:rPr>
      </w:pPr>
      <w:r w:rsidRPr="002E7CEB">
        <w:rPr>
          <w:sz w:val="24"/>
        </w:rPr>
        <w:t xml:space="preserve">A foreclosure action, called an order to docket or complaint to foreclose (the "OTD"), may not be filed against you in court until at least 45 days after this Notice was mailed and </w:t>
      </w:r>
      <w:r w:rsidR="001A0F8E" w:rsidRPr="00673FBB">
        <w:rPr>
          <w:color w:val="900000" w:themeColor="accent3"/>
          <w:sz w:val="24"/>
          <w:szCs w:val="24"/>
        </w:rPr>
        <w:t>IF {LOAN_TYPE} NOT IN (“FHA”, “RHS”, “VA”)</w:t>
      </w:r>
      <w:r w:rsidR="001A0F8E">
        <w:rPr>
          <w:color w:val="900000" w:themeColor="accent3"/>
          <w:sz w:val="24"/>
          <w:szCs w:val="24"/>
        </w:rPr>
        <w:t xml:space="preserve"> AND {GSE_FULLNAME} NOT IN (“</w:t>
      </w:r>
      <w:proofErr w:type="spellStart"/>
      <w:r w:rsidR="001A0F8E">
        <w:rPr>
          <w:color w:val="900000" w:themeColor="accent3"/>
          <w:sz w:val="24"/>
          <w:szCs w:val="24"/>
        </w:rPr>
        <w:t>Ginnie</w:t>
      </w:r>
      <w:proofErr w:type="spellEnd"/>
      <w:r w:rsidR="001A0F8E">
        <w:rPr>
          <w:color w:val="900000" w:themeColor="accent3"/>
          <w:sz w:val="24"/>
          <w:szCs w:val="24"/>
        </w:rPr>
        <w:t xml:space="preserve"> Mae”, “Fannie Mae”, “Freddie Mac”)</w:t>
      </w:r>
      <w:r w:rsidR="00E9296A">
        <w:rPr>
          <w:color w:val="900000" w:themeColor="accent3"/>
          <w:sz w:val="24"/>
          <w:szCs w:val="24"/>
        </w:rPr>
        <w:t xml:space="preserve"> THEN</w:t>
      </w:r>
      <w:r w:rsidR="00E319FF" w:rsidRPr="00E319FF">
        <w:rPr>
          <w:color w:val="900000" w:themeColor="accent3"/>
          <w:sz w:val="24"/>
          <w:szCs w:val="24"/>
        </w:rPr>
        <w:t xml:space="preserve"> [[</w:t>
      </w:r>
      <w:r w:rsidRPr="00E319FF">
        <w:rPr>
          <w:color w:val="900000" w:themeColor="accent3"/>
          <w:sz w:val="24"/>
        </w:rPr>
        <w:t>90 days after</w:t>
      </w:r>
      <w:r w:rsidR="00E319FF" w:rsidRPr="00E319FF">
        <w:rPr>
          <w:color w:val="900000" w:themeColor="accent3"/>
          <w:sz w:val="24"/>
        </w:rPr>
        <w:t>]] ELSE [[more than 120 days have elapsed since]]</w:t>
      </w:r>
      <w:r w:rsidRPr="00E319FF">
        <w:rPr>
          <w:color w:val="900000" w:themeColor="accent3"/>
          <w:sz w:val="24"/>
        </w:rPr>
        <w:t xml:space="preserve"> </w:t>
      </w:r>
      <w:r w:rsidRPr="002E7CEB">
        <w:rPr>
          <w:sz w:val="24"/>
        </w:rPr>
        <w:t>you first missed your mortgage loan payment.</w:t>
      </w:r>
    </w:p>
    <w:p w14:paraId="72A81053" w14:textId="52C161A0" w:rsidR="00D95099" w:rsidRPr="002E7CEB" w:rsidRDefault="00D95099" w:rsidP="001D2865">
      <w:pPr>
        <w:numPr>
          <w:ilvl w:val="0"/>
          <w:numId w:val="1"/>
        </w:numPr>
        <w:jc w:val="both"/>
        <w:rPr>
          <w:sz w:val="24"/>
        </w:rPr>
      </w:pPr>
      <w:r w:rsidRPr="002E7CEB">
        <w:rPr>
          <w:bCs/>
          <w:sz w:val="24"/>
        </w:rPr>
        <w:t xml:space="preserve">The OTD </w:t>
      </w:r>
      <w:r w:rsidRPr="002E7CEB">
        <w:rPr>
          <w:sz w:val="24"/>
        </w:rPr>
        <w:t xml:space="preserve">must be filed in Circuit Court </w:t>
      </w:r>
      <w:proofErr w:type="gramStart"/>
      <w:r w:rsidRPr="002E7CEB">
        <w:rPr>
          <w:sz w:val="24"/>
        </w:rPr>
        <w:t>in order to</w:t>
      </w:r>
      <w:proofErr w:type="gramEnd"/>
      <w:r w:rsidRPr="002E7CEB">
        <w:rPr>
          <w:sz w:val="24"/>
        </w:rPr>
        <w:t xml:space="preserve"> move forward with foreclosure proceedings. </w:t>
      </w:r>
    </w:p>
    <w:p w14:paraId="55F6BD68" w14:textId="34873EEF" w:rsidR="00D95099" w:rsidRDefault="00D95099" w:rsidP="00C44BA5">
      <w:pPr>
        <w:numPr>
          <w:ilvl w:val="0"/>
          <w:numId w:val="1"/>
        </w:numPr>
        <w:jc w:val="both"/>
      </w:pPr>
      <w:r w:rsidRPr="002E7CEB">
        <w:rPr>
          <w:sz w:val="24"/>
        </w:rPr>
        <w:t>Once the OTD is filed, your mortgage company may proceed with the foreclosure sale as soon as 45 days after the OTD is served.</w:t>
      </w:r>
    </w:p>
    <w:sectPr w:rsidR="00D95099" w:rsidSect="00D95099">
      <w:footerReference w:type="default" r:id="rId7"/>
      <w:pgSz w:w="12240" w:h="15840"/>
      <w:pgMar w:top="720" w:right="1080" w:bottom="36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823A8" w14:textId="77777777" w:rsidR="006642B9" w:rsidRDefault="006642B9" w:rsidP="00D95099">
      <w:r>
        <w:separator/>
      </w:r>
    </w:p>
  </w:endnote>
  <w:endnote w:type="continuationSeparator" w:id="0">
    <w:p w14:paraId="25A51539" w14:textId="77777777" w:rsidR="006642B9" w:rsidRDefault="006642B9" w:rsidP="00D95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00"/>
    <w:family w:val="roman"/>
    <w:pitch w:val="default"/>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32BE6" w14:textId="4B2DC1B1" w:rsidR="00D95099" w:rsidRPr="00D95099" w:rsidRDefault="00D95099" w:rsidP="00D95099">
    <w:pPr>
      <w:tabs>
        <w:tab w:val="left" w:pos="4481"/>
      </w:tabs>
      <w:jc w:val="both"/>
      <w:rPr>
        <w:color w:val="2D5CAB"/>
        <w:sz w:val="16"/>
        <w:szCs w:val="16"/>
      </w:rPr>
    </w:pPr>
    <w:r w:rsidRPr="00D95099">
      <w:rPr>
        <w:color w:val="2D5CAB"/>
        <w:sz w:val="16"/>
        <w:szCs w:val="16"/>
      </w:rPr>
      <w:t xml:space="preserve">{PACKAGEID} </w:t>
    </w:r>
    <w:r w:rsidRPr="00D95099">
      <w:rPr>
        <w:sz w:val="16"/>
        <w:szCs w:val="16"/>
      </w:rPr>
      <w:t>P</w:t>
    </w:r>
    <w:r w:rsidR="004F4BDD">
      <w:rPr>
        <w:sz w:val="16"/>
        <w:szCs w:val="16"/>
      </w:rPr>
      <w:t>339</w:t>
    </w:r>
    <w:r w:rsidRPr="00D95099">
      <w:rPr>
        <w:sz w:val="16"/>
        <w:szCs w:val="16"/>
      </w:rPr>
      <w:t>FEB23.</w:t>
    </w:r>
    <w:r w:rsidRPr="00D95099">
      <w:rPr>
        <w:sz w:val="16"/>
        <w:szCs w:val="16"/>
        <w:shd w:val="clear" w:color="auto" w:fill="FFFFFF"/>
      </w:rPr>
      <w:t>0</w:t>
    </w:r>
  </w:p>
  <w:p w14:paraId="42E7DCB0" w14:textId="77777777" w:rsidR="00D95099" w:rsidRPr="00D95099" w:rsidRDefault="00D95099" w:rsidP="00D95099">
    <w:pPr>
      <w:tabs>
        <w:tab w:val="right" w:pos="9720"/>
      </w:tabs>
      <w:rPr>
        <w:color w:val="926611" w:themeColor="accent4"/>
        <w:sz w:val="16"/>
        <w:szCs w:val="16"/>
      </w:rPr>
    </w:pPr>
    <w:r w:rsidRPr="00D95099">
      <w:rPr>
        <w:color w:val="926611" w:themeColor="accent4"/>
        <w:sz w:val="16"/>
        <w:szCs w:val="16"/>
      </w:rPr>
      <w:t>{GBL_FOOTER}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E9CD6" w14:textId="77777777" w:rsidR="006642B9" w:rsidRDefault="006642B9" w:rsidP="00D95099">
      <w:r>
        <w:separator/>
      </w:r>
    </w:p>
  </w:footnote>
  <w:footnote w:type="continuationSeparator" w:id="0">
    <w:p w14:paraId="46407413" w14:textId="77777777" w:rsidR="006642B9" w:rsidRDefault="006642B9" w:rsidP="00D95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2060"/>
    <w:multiLevelType w:val="hybridMultilevel"/>
    <w:tmpl w:val="52588D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65060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99"/>
    <w:rsid w:val="001A0F8E"/>
    <w:rsid w:val="001C7D82"/>
    <w:rsid w:val="001D2865"/>
    <w:rsid w:val="004F4BDD"/>
    <w:rsid w:val="00652E53"/>
    <w:rsid w:val="006642B9"/>
    <w:rsid w:val="00673FBB"/>
    <w:rsid w:val="00C44BA5"/>
    <w:rsid w:val="00D95099"/>
    <w:rsid w:val="00E319FF"/>
    <w:rsid w:val="00E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E8B11"/>
  <w15:chartTrackingRefBased/>
  <w15:docId w15:val="{754A9862-FAB2-4EFD-83A4-8D94433CB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09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099"/>
    <w:pPr>
      <w:tabs>
        <w:tab w:val="center" w:pos="4680"/>
        <w:tab w:val="right" w:pos="9360"/>
      </w:tabs>
    </w:pPr>
  </w:style>
  <w:style w:type="character" w:customStyle="1" w:styleId="HeaderChar">
    <w:name w:val="Header Char"/>
    <w:basedOn w:val="DefaultParagraphFont"/>
    <w:link w:val="Header"/>
    <w:uiPriority w:val="99"/>
    <w:rsid w:val="00D95099"/>
  </w:style>
  <w:style w:type="paragraph" w:styleId="Footer">
    <w:name w:val="footer"/>
    <w:basedOn w:val="Normal"/>
    <w:link w:val="FooterChar"/>
    <w:uiPriority w:val="99"/>
    <w:unhideWhenUsed/>
    <w:rsid w:val="00D95099"/>
    <w:pPr>
      <w:tabs>
        <w:tab w:val="center" w:pos="4680"/>
        <w:tab w:val="right" w:pos="9360"/>
      </w:tabs>
    </w:pPr>
  </w:style>
  <w:style w:type="character" w:customStyle="1" w:styleId="FooterChar">
    <w:name w:val="Footer Char"/>
    <w:basedOn w:val="DefaultParagraphFont"/>
    <w:link w:val="Footer"/>
    <w:uiPriority w:val="99"/>
    <w:rsid w:val="00D95099"/>
  </w:style>
  <w:style w:type="paragraph" w:customStyle="1" w:styleId="FreeForm">
    <w:name w:val="Free Form"/>
    <w:rsid w:val="00D95099"/>
    <w:pPr>
      <w:spacing w:after="0" w:line="240" w:lineRule="auto"/>
    </w:pPr>
    <w:rPr>
      <w:rFonts w:ascii="Times New Roman" w:eastAsia="ヒラギノ角ゴ Pro W3"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1_MCDS">
  <a:themeElements>
    <a:clrScheme name="MCDS Source Doc">
      <a:dk1>
        <a:sysClr val="windowText" lastClr="000000"/>
      </a:dk1>
      <a:lt1>
        <a:srgbClr val="000000"/>
      </a:lt1>
      <a:dk2>
        <a:srgbClr val="FFFFFF"/>
      </a:dk2>
      <a:lt2>
        <a:srgbClr val="FFFFFF"/>
      </a:lt2>
      <a:accent1>
        <a:srgbClr val="000000"/>
      </a:accent1>
      <a:accent2>
        <a:srgbClr val="D8D8D8"/>
      </a:accent2>
      <a:accent3>
        <a:srgbClr val="900000"/>
      </a:accent3>
      <a:accent4>
        <a:srgbClr val="926611"/>
      </a:accent4>
      <a:accent5>
        <a:srgbClr val="005390"/>
      </a:accent5>
      <a:accent6>
        <a:srgbClr val="015D0E"/>
      </a:accent6>
      <a:hlink>
        <a:srgbClr val="005390"/>
      </a:hlink>
      <a:folHlink>
        <a:srgbClr val="005390"/>
      </a:folHlink>
    </a:clrScheme>
    <a:fontScheme name="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Cally Anawalt</dc:creator>
  <cp:keywords/>
  <dc:description/>
  <cp:lastModifiedBy>Kat Lucia</cp:lastModifiedBy>
  <cp:revision>11</cp:revision>
  <dcterms:created xsi:type="dcterms:W3CDTF">2023-09-20T21:59:00Z</dcterms:created>
  <dcterms:modified xsi:type="dcterms:W3CDTF">2023-09-22T17:39:00Z</dcterms:modified>
</cp:coreProperties>
</file>