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bCs/>
          <w:sz w:val="18"/>
          <w:szCs w:val="18"/>
        </w:rPr>
        <w:t xml:space="preserve">ARTEMIS DIGITAL S.R.L.</w:t>
      </w:r>
      <w:r>
        <w:rPr>
          <w:sz w:val="18"/>
          <w:szCs w:val="18"/>
        </w:rPr>
        <w:t xml:space="preserve"> · CUI </w:t>
      </w:r>
      <w:r>
        <w:rPr>
          <w:sz w:val="18"/>
          <w:szCs w:val="18"/>
          <w:highlight w:val="yellow"/>
        </w:rPr>
        <w:t xml:space="preserve">[CUI]</w:t>
      </w:r>
      <w:r>
        <w:rPr>
          <w:sz w:val="18"/>
          <w:szCs w:val="18"/>
        </w:rPr>
        <w:t xml:space="preserve"> · </w:t>
      </w:r>
      <w:r>
        <w:rPr>
          <w:sz w:val="18"/>
          <w:szCs w:val="18"/>
          <w:highlight w:val="yellow"/>
        </w:rPr>
        <w:t xml:space="preserve">[J40/…/…]</w:t>
      </w:r>
      <w:r>
        <w:rPr>
          <w:sz w:val="18"/>
          <w:szCs w:val="18"/>
        </w:rPr>
        <w:t xml:space="preserve"> · sediul: </w:t>
      </w:r>
      <w:r>
        <w:rPr>
          <w:sz w:val="18"/>
          <w:szCs w:val="18"/>
          <w:highlight w:val="yellow"/>
        </w:rPr>
        <w:t xml:space="preserve">[adresa, sector, București]</w:t>
      </w:r>
    </w:p>
    <w:p>
      <w:pPr/>
      <w:r>
        <w:rPr>
          <w:sz w:val="18"/>
          <w:szCs w:val="18"/>
        </w:rPr>
        <w:t xml:space="preserve">Proiect: </w:t>
      </w:r>
      <w:r>
        <w:rPr>
          <w:b/>
          <w:bCs/>
          <w:sz w:val="18"/>
          <w:szCs w:val="18"/>
        </w:rPr>
        <w:t xml:space="preserve">SOUL-PoC</w:t>
      </w:r>
      <w:r>
        <w:rPr>
          <w:sz w:val="18"/>
          <w:szCs w:val="18"/>
        </w:rPr>
        <w:t xml:space="preserve"> — SOUL — dispozitiv AI tangibil, local-first, cu interfață circulară și carcasă reparabilă din aluminiu: validarea modelului conceptual de la TRL 3 la TRL 5</w:t>
      </w:r>
    </w:p>
    <w:p>
      <w:pPr/>
      <w:r>
        <w:rPr>
          <w:sz w:val="18"/>
          <w:szCs w:val="18"/>
        </w:rPr>
        <w:t xml:space="preserve">Apel: PR BI P1/1.1/1/2026 — Sprijin pentru dezvoltarea unui model conceptual inovativ (Proof of Concept)</w:t>
      </w:r>
    </w:p>
    <w:p>
      <w:pPr>
        <w:jc w:val="center"/>
      </w:pPr>
      <w:r>
        <w:rPr>
          <w:b/>
          <w:bCs/>
          <w:sz w:val="28"/>
          <w:szCs w:val="28"/>
        </w:rPr>
        <w:t xml:space="preserve">FIȘA POSTULUI — INGINER EMBEDDED/FIRMWARE (EXPERT TEHNIC/CERCETĂTOR)</w:t>
      </w:r>
    </w:p>
    <w:p>
      <w:pPr>
        <w:jc w:val="center"/>
      </w:pPr>
      <w:r>
        <w:rPr>
          <w:i/>
          <w:sz w:val="18"/>
          <w:szCs w:val="18"/>
        </w:rPr>
        <w:t xml:space="preserve">Nr. </w:t>
      </w:r>
      <w:r>
        <w:rPr>
          <w:i/>
          <w:sz w:val="18"/>
          <w:szCs w:val="18"/>
          <w:highlight w:val="yellow"/>
        </w:rPr>
        <w:t xml:space="preserve">[…]</w:t>
      </w:r>
      <w:r>
        <w:rPr>
          <w:i/>
          <w:sz w:val="18"/>
          <w:szCs w:val="18"/>
        </w:rPr>
        <w:t xml:space="preserve"> / </w:t>
      </w:r>
      <w:r>
        <w:rPr>
          <w:i/>
          <w:sz w:val="18"/>
          <w:szCs w:val="18"/>
          <w:highlight w:val="yellow"/>
        </w:rPr>
        <w:t xml:space="preserve">[ZZ.LL.AAAA]</w:t>
      </w:r>
      <w:r>
        <w:rPr>
          <w:i/>
          <w:sz w:val="18"/>
          <w:szCs w:val="18"/>
        </w:rPr>
        <w:t xml:space="preserve"> · anexă la </w:t>
      </w:r>
      <w:r>
        <w:rPr>
          <w:i/>
          <w:sz w:val="18"/>
          <w:szCs w:val="18"/>
          <w:highlight w:val="yellow"/>
        </w:rPr>
        <w:t xml:space="preserve">[CIM nr. … / declarația de disponibilitate]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Denumirea postului în proiect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Inginer embedded/firmware (expert tehnic/cercetător)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Titularul postului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  <w:highlight w:val="yellow"/>
              </w:rPr>
              <w:t xml:space="preserve">[Nume Prenume]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[sau: POST VACANT — se ocupă după semnarea contractului de finanțare, pe baza cerințelor de mai jos]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Cod COR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  <w:highlight w:val="yellow"/>
              </w:rPr>
              <w:t xml:space="preserve">[Ct: cod COR, ex. „inginer electronist” / „inginer de sistem în informatică”]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Activitatea / încadrarea în buget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Activități CDI (I.3/I.4) — A2, A3, A4, A5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Categoria salarială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Anexa 2 la HG 1188/2022, categoria 2 „personal de specialitate” — plafon 35 €/oră brut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Tarif bugetat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25 €/oră brut (sub plafon), plătit în lei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Timp de lucru și durată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80 ore/lună × 21 luni = 1.680 ore (L2–L22); CIM cu timp parțial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Locul de muncă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sediul/punctul de lucru ARTEMIS din București </w:t>
            </w:r>
            <w:r>
              <w:rPr>
                <w:sz w:val="19"/>
                <w:szCs w:val="19"/>
                <w:highlight w:val="yellow"/>
              </w:rPr>
              <w:t xml:space="preserve">[adresa]</w:t>
            </w:r>
            <w:r>
              <w:rPr>
                <w:sz w:val="19"/>
                <w:szCs w:val="19"/>
              </w:rPr>
              <w:t xml:space="preserve"> și laboratoarele partenere; muncă hibridă permisă pentru analiză și redactare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Relații ierarhice și funcționale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în subordinea coordonatorului tehnic/științific</w:t>
            </w:r>
          </w:p>
        </w:tc>
      </w:tr>
    </w:tbl>
    <w:p/>
    <w:p>
      <w:pPr>
        <w:pStyle w:val="Heading2"/>
      </w:pPr>
      <w:r>
        <w:t>1. Cerințele postului</w:t>
      </w:r>
    </w:p>
    <w:p>
      <w:pPr>
        <w:pStyle w:val="ListBullet"/>
        <w:jc w:val="both"/>
      </w:pPr>
      <w:r>
        <w:rPr>
          <w:b/>
          <w:bCs/>
        </w:rPr>
        <w:t xml:space="preserve">studii superioare</w:t>
      </w:r>
      <w:r>
        <w:rPr/>
        <w:t xml:space="preserve"> în domeniul proiectului (electronică, calculatoare, automatică, telecomunicații) </w:t>
      </w:r>
      <w:r>
        <w:rPr>
          <w:b/>
          <w:bCs/>
        </w:rPr>
        <w:t xml:space="preserve">și ≥ 2 ani</w:t>
      </w:r>
      <w:r>
        <w:rPr/>
        <w:t xml:space="preserve"> de experiență în domeniu </w:t>
      </w:r>
      <w:r>
        <w:rPr>
          <w:b/>
          <w:bCs/>
        </w:rPr>
        <w:t xml:space="preserve">SAU ≥ 1 publicație</w:t>
      </w:r>
      <w:r>
        <w:rPr/>
        <w:t xml:space="preserve"> indexată Web of Science/Scopus în domeniu (Grila ETF 3.1a-ii);</w:t>
      </w:r>
    </w:p>
    <w:p>
      <w:pPr>
        <w:pStyle w:val="ListBullet"/>
        <w:jc w:val="both"/>
      </w:pPr>
      <w:r>
        <w:rPr/>
        <w:t xml:space="preserve">C/C++ pentru microcontrolere (ESP-IDF/Arduino/PlatformIO), drivere de afișaj și touch (RGB/SPI/I2C), audio I2S, BLE;</w:t>
      </w:r>
    </w:p>
    <w:p>
      <w:pPr>
        <w:pStyle w:val="ListBullet"/>
        <w:jc w:val="both"/>
      </w:pPr>
      <w:r>
        <w:rPr/>
        <w:t xml:space="preserve">proiectare PCB (KiCad/Altium) și punere în funcțiune; lucru cu osciloscop, analizor de consum;</w:t>
      </w:r>
    </w:p>
    <w:p>
      <w:pPr>
        <w:pStyle w:val="ListBullet"/>
        <w:jc w:val="both"/>
      </w:pPr>
      <w:r>
        <w:rPr/>
        <w:t xml:space="preserve">teste automate, control al versiunilor (git), documentare tehnică.</w:t>
      </w:r>
    </w:p>
    <w:p>
      <w:pPr>
        <w:pStyle w:val="Heading2"/>
      </w:pPr>
      <w:r>
        <w:t>2. Atribuții și responsabilități în proiect</w:t>
      </w:r>
    </w:p>
    <w:p>
      <w:pPr>
        <w:pStyle w:val="ListBullet"/>
        <w:jc w:val="both"/>
      </w:pPr>
      <w:r>
        <w:rPr/>
        <w:t xml:space="preserve">portează și optimizează firmware-ul SoulOS pe platforma SOUL M (afișaj 2,8″ ST7701, touch GT911, audio I2S, PMU, baterie) — modelul de laborator integrat (L2.1, IE1 la L6);</w:t>
      </w:r>
    </w:p>
    <w:p>
      <w:pPr>
        <w:pStyle w:val="ListBullet"/>
        <w:jc w:val="both"/>
      </w:pPr>
      <w:r>
        <w:rPr/>
        <w:t xml:space="preserve">implementează fluxul vocal și integrarea cu serviciul AI din UE; menține testele automate;</w:t>
      </w:r>
    </w:p>
    <w:p>
      <w:pPr>
        <w:pStyle w:val="ListBullet"/>
        <w:jc w:val="both"/>
      </w:pPr>
      <w:r>
        <w:rPr/>
        <w:t xml:space="preserve">execută protocoalele de laborator P1–P8 (fps, touch, tastare, latență, autonomie, offline) și raportează datele brute către coordonator (A3);</w:t>
      </w:r>
    </w:p>
    <w:p>
      <w:pPr>
        <w:pStyle w:val="ListBullet"/>
        <w:jc w:val="both"/>
      </w:pPr>
      <w:r>
        <w:rPr/>
        <w:t xml:space="preserve">proiectează, pune în funcțiune și testează </w:t>
      </w:r>
      <w:r>
        <w:rPr>
          <w:b/>
          <w:bCs/>
        </w:rPr>
        <w:t xml:space="preserve">PCB-ul propriu</w:t>
      </w:r>
      <w:r>
        <w:rPr/>
        <w:t xml:space="preserve"> rev A/B și integrarea în carcasa din aluminiu (L4.1, A4); implementează secure boot și OTA semnat (EN 18031);</w:t>
      </w:r>
    </w:p>
    <w:p>
      <w:pPr>
        <w:pStyle w:val="ListBullet"/>
        <w:jc w:val="both"/>
      </w:pPr>
      <w:r>
        <w:rPr/>
        <w:t xml:space="preserve">asamblează, verifică (QC) și pregătește cele 15 prototipuri pre-serie (M3, L17); suport tehnic în validarea TRL 5 și la pre-testarea EMC/RF (A5);</w:t>
      </w:r>
    </w:p>
    <w:p>
      <w:pPr>
        <w:pStyle w:val="ListBullet"/>
        <w:jc w:val="both"/>
      </w:pPr>
      <w:r>
        <w:rPr/>
        <w:t xml:space="preserve">contribuie la rapoartele TRL 4/TRL 5 și la articolul științific (secțiunile tehnice).</w:t>
      </w:r>
    </w:p>
    <w:p>
      <w:pPr>
        <w:pStyle w:val="Heading2"/>
      </w:pPr>
      <w:r>
        <w:t>3. Obligații comune ale membrilor echipei</w:t>
      </w:r>
    </w:p>
    <w:p>
      <w:pPr>
        <w:pStyle w:val="ListBullet"/>
        <w:jc w:val="both"/>
      </w:pPr>
      <w:r>
        <w:rPr/>
        <w:t xml:space="preserve">completează lunar </w:t>
      </w:r>
      <w:r>
        <w:rPr>
          <w:b/>
          <w:bCs/>
        </w:rPr>
        <w:t xml:space="preserve">fișa de pontaj</w:t>
      </w:r>
      <w:r>
        <w:rPr/>
        <w:t xml:space="preserve"> (ore pe activități A1–A8) și un scurt </w:t>
      </w:r>
      <w:r>
        <w:rPr>
          <w:b/>
          <w:bCs/>
        </w:rPr>
        <w:t xml:space="preserve">raport lunar de activitate</w:t>
      </w:r>
      <w:r>
        <w:rPr/>
        <w:t xml:space="preserve">, semnate și predate managerului de proiect până în ziua 5 a lunii următoare;</w:t>
      </w:r>
    </w:p>
    <w:p>
      <w:pPr>
        <w:pStyle w:val="ListBullet"/>
        <w:jc w:val="both"/>
      </w:pPr>
      <w:r>
        <w:rPr/>
        <w:t xml:space="preserve">respectă </w:t>
      </w:r>
      <w:r>
        <w:rPr>
          <w:b/>
          <w:bCs/>
        </w:rPr>
        <w:t xml:space="preserve">confidențialitatea</w:t>
      </w:r>
      <w:r>
        <w:rPr/>
        <w:t xml:space="preserve"> informațiilor tehnice și comerciale ale proiectului; nu publică rezultate înainte de depunerea cererilor de protecție IP („întâi protecția, apoi publicarea”);</w:t>
      </w:r>
    </w:p>
    <w:p>
      <w:pPr>
        <w:pStyle w:val="ListBullet"/>
        <w:jc w:val="both"/>
      </w:pPr>
      <w:r>
        <w:rPr/>
        <w:t xml:space="preserve">recunoaște că </w:t>
      </w:r>
      <w:r>
        <w:rPr>
          <w:b/>
          <w:bCs/>
        </w:rPr>
        <w:t xml:space="preserve">drepturile asupra rezultatelor</w:t>
      </w:r>
      <w:r>
        <w:rPr/>
        <w:t xml:space="preserve"> obținute în proiect aparțin ARTEMIS DIGITAL S.R.L., potrivit contractului de muncă și legii;</w:t>
      </w:r>
    </w:p>
    <w:p>
      <w:pPr>
        <w:pStyle w:val="ListBullet"/>
        <w:jc w:val="both"/>
      </w:pPr>
      <w:r>
        <w:rPr/>
        <w:t xml:space="preserve">declară în scris, în </w:t>
      </w:r>
      <w:r>
        <w:rPr>
          <w:b/>
          <w:bCs/>
        </w:rPr>
        <w:t xml:space="preserve">3 zile lucrătoare</w:t>
      </w:r>
      <w:r>
        <w:rPr/>
        <w:t xml:space="preserve">, orice situație de </w:t>
      </w:r>
      <w:r>
        <w:rPr>
          <w:b/>
          <w:bCs/>
        </w:rPr>
        <w:t xml:space="preserve">conflict de interese</w:t>
      </w:r>
      <w:r>
        <w:rPr/>
        <w:t xml:space="preserve"> (inclusiv legături cu furnizorii proiectului, până la gradul II de rudenie);</w:t>
      </w:r>
    </w:p>
    <w:p>
      <w:pPr>
        <w:pStyle w:val="ListBullet"/>
        <w:jc w:val="both"/>
      </w:pPr>
      <w:r>
        <w:rPr/>
        <w:t xml:space="preserve">respectă principiile de </w:t>
      </w:r>
      <w:r>
        <w:rPr>
          <w:b/>
          <w:bCs/>
        </w:rPr>
        <w:t xml:space="preserve">egalitate de șanse și nediscriminare</w:t>
      </w:r>
      <w:r>
        <w:rPr/>
        <w:t xml:space="preserve"> și regulile de </w:t>
      </w:r>
      <w:r>
        <w:rPr>
          <w:b/>
          <w:bCs/>
        </w:rPr>
        <w:t xml:space="preserve">comunicare și vizibilitate</w:t>
      </w:r>
      <w:r>
        <w:rPr/>
        <w:t xml:space="preserve"> ale PR BI 2021–2027;</w:t>
      </w:r>
    </w:p>
    <w:p>
      <w:pPr>
        <w:pStyle w:val="ListBullet"/>
        <w:jc w:val="both"/>
      </w:pPr>
      <w:r>
        <w:rPr/>
        <w:t xml:space="preserve">nu desfășoară, în orele pontate în proiect, activități finanțate din alte surse publice (</w:t>
      </w:r>
      <w:r>
        <w:rPr>
          <w:b/>
          <w:bCs/>
        </w:rPr>
        <w:t xml:space="preserve">fără dublă finanțare a timpului de lucru</w:t>
      </w:r>
      <w:r>
        <w:rPr/>
        <w:t xml:space="preserve">).</w:t>
      </w:r>
    </w:p>
    <w:p>
      <w:pPr>
        <w:pStyle w:val="Heading2"/>
      </w:pPr>
      <w:r>
        <w:t>4. Evaluare</w:t>
      </w:r>
    </w:p>
    <w:p>
      <w:pPr>
        <w:jc w:val="both"/>
      </w:pPr>
      <w:r>
        <w:rPr/>
        <w:t xml:space="preserve">Activitatea se evaluează pe baza livrabilelor și a termenelor din Cererea de finanțare și din Planul de monitorizare (Anexa 13), a pontajelor și a rapoartelor lunare.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ANGAJATOR</w:t>
            </w:r>
          </w:p>
        </w:tc>
        <w:tc>
          <w:tcPr>
            <w:tcW w:type="dxa" w:w="4706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TITULAR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sz w:val="19"/>
                <w:szCs w:val="19"/>
              </w:rPr>
              <w:t xml:space="preserve">ARTEMIS DIGITAL S.R.L.</w:t>
            </w:r>
          </w:p>
          <w:p>
            <w:r>
              <w:rPr>
                <w:sz w:val="19"/>
                <w:szCs w:val="19"/>
              </w:rPr>
              <w:t xml:space="preserve">prin </w:t>
            </w:r>
            <w:r>
              <w:rPr>
                <w:sz w:val="19"/>
                <w:szCs w:val="19"/>
                <w:highlight w:val="yellow"/>
              </w:rPr>
              <w:t xml:space="preserve">[Nume Prenume]</w:t>
            </w:r>
            <w:r>
              <w:rPr>
                <w:sz w:val="19"/>
                <w:szCs w:val="19"/>
              </w:rPr>
              <w:t xml:space="preserve">, administrator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  <w:tc>
          <w:tcPr>
            <w:tcW w:type="dxa" w:w="4706"/>
          </w:tcPr>
          <w:p>
            <w:r>
              <w:rPr>
                <w:sz w:val="19"/>
                <w:szCs w:val="19"/>
              </w:rPr>
              <w:t xml:space="preserve">Am luat la cunoștință și îmi asum prezenta fișă a postului.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[Nume Prenume]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="Calibri" w:hAnsi="Calibri" w:cs="Calibri" w:eastAsia="Calibri"/>
      <w:b/>
      <w:bCs/>
      <w:color w:val="1B3A6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="Calibri" w:hAnsi="Calibri" w:cs="Calibri" w:eastAsia="Calibri"/>
      <w:b/>
      <w:bCs/>
      <w:color w:val="1B3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