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bCs/>
          <w:sz w:val="18"/>
          <w:szCs w:val="18"/>
        </w:rPr>
        <w:t xml:space="preserve">ARTEMIS DIGITAL S.R.L.</w:t>
      </w:r>
      <w:r>
        <w:rPr>
          <w:sz w:val="18"/>
          <w:szCs w:val="18"/>
        </w:rPr>
        <w:t xml:space="preserve"> · CUI </w:t>
      </w:r>
      <w:r>
        <w:rPr>
          <w:sz w:val="18"/>
          <w:szCs w:val="18"/>
          <w:highlight w:val="yellow"/>
        </w:rPr>
        <w:t xml:space="preserve">[CUI]</w:t>
      </w:r>
      <w:r>
        <w:rPr>
          <w:sz w:val="18"/>
          <w:szCs w:val="18"/>
        </w:rPr>
        <w:t xml:space="preserve"> · </w:t>
      </w:r>
      <w:r>
        <w:rPr>
          <w:sz w:val="18"/>
          <w:szCs w:val="18"/>
          <w:highlight w:val="yellow"/>
        </w:rPr>
        <w:t xml:space="preserve">[J40/…/…]</w:t>
      </w:r>
      <w:r>
        <w:rPr>
          <w:sz w:val="18"/>
          <w:szCs w:val="18"/>
        </w:rPr>
        <w:t xml:space="preserve"> · sediul: </w:t>
      </w:r>
      <w:r>
        <w:rPr>
          <w:sz w:val="18"/>
          <w:szCs w:val="18"/>
          <w:highlight w:val="yellow"/>
        </w:rPr>
        <w:t xml:space="preserve">[adresa, sector, București]</w:t>
      </w:r>
    </w:p>
    <w:p>
      <w:pPr/>
      <w:r>
        <w:rPr>
          <w:sz w:val="18"/>
          <w:szCs w:val="18"/>
        </w:rPr>
        <w:t xml:space="preserve">Proiect: </w:t>
      </w:r>
      <w:r>
        <w:rPr>
          <w:b/>
          <w:bCs/>
          <w:sz w:val="18"/>
          <w:szCs w:val="18"/>
        </w:rPr>
        <w:t xml:space="preserve">SOUL-PoC</w:t>
      </w:r>
      <w:r>
        <w:rPr>
          <w:sz w:val="18"/>
          <w:szCs w:val="18"/>
        </w:rPr>
        <w:t xml:space="preserve"> — SOUL — dispozitiv AI tangibil, local-first, cu interfață circulară și carcasă reparabilă din aluminiu: validarea modelului conceptual de la TRL 3 la TRL 5</w:t>
      </w:r>
    </w:p>
    <w:p>
      <w:pPr/>
      <w:r>
        <w:rPr>
          <w:sz w:val="18"/>
          <w:szCs w:val="18"/>
        </w:rPr>
        <w:t xml:space="preserve">Apel: PR BI P1/1.1/1/2026 — Sprijin pentru dezvoltarea unui model conceptual inovativ (Proof of Concept)</w:t>
      </w:r>
    </w:p>
    <w:p>
      <w:pPr>
        <w:jc w:val="center"/>
      </w:pPr>
      <w:r>
        <w:rPr>
          <w:b/>
          <w:bCs/>
          <w:sz w:val="28"/>
          <w:szCs w:val="28"/>
        </w:rPr>
        <w:t xml:space="preserve">FIȘA POSTULUI — MANAGER DE PROIECT</w:t>
      </w:r>
    </w:p>
    <w:p>
      <w:pPr>
        <w:jc w:val="center"/>
      </w:pPr>
      <w:r>
        <w:rPr>
          <w:i/>
          <w:sz w:val="18"/>
          <w:szCs w:val="18"/>
        </w:rPr>
        <w:t xml:space="preserve">Nr. </w:t>
      </w:r>
      <w:r>
        <w:rPr>
          <w:i/>
          <w:sz w:val="18"/>
          <w:szCs w:val="18"/>
          <w:highlight w:val="yellow"/>
        </w:rPr>
        <w:t xml:space="preserve">[…]</w:t>
      </w:r>
      <w:r>
        <w:rPr>
          <w:i/>
          <w:sz w:val="18"/>
          <w:szCs w:val="18"/>
        </w:rPr>
        <w:t xml:space="preserve"> / </w:t>
      </w:r>
      <w:r>
        <w:rPr>
          <w:i/>
          <w:sz w:val="18"/>
          <w:szCs w:val="18"/>
          <w:highlight w:val="yellow"/>
        </w:rPr>
        <w:t xml:space="preserve">[ZZ.LL.AAAA]</w:t>
      </w:r>
      <w:r>
        <w:rPr>
          <w:i/>
          <w:sz w:val="18"/>
          <w:szCs w:val="18"/>
        </w:rPr>
        <w:t xml:space="preserve"> · anexă la </w:t>
      </w:r>
      <w:r>
        <w:rPr>
          <w:i/>
          <w:sz w:val="18"/>
          <w:szCs w:val="18"/>
          <w:highlight w:val="yellow"/>
        </w:rPr>
        <w:t xml:space="preserve">[CIM nr. … / declarația de disponibilitate]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Denumirea postului în proiect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Manager de proiect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Titularul postului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  <w:highlight w:val="yellow"/>
              </w:rPr>
              <w:t xml:space="preserve">[Nume Prenume — Andu]</w:t>
            </w:r>
          </w:p>
          <w:p>
            <w:r>
              <w:rPr>
                <w:sz w:val="19"/>
                <w:szCs w:val="19"/>
                <w:highlight w:val="yellow"/>
              </w:rPr>
              <w:t xml:space="preserve">[sau: POST VACANT — se ocupă după semnarea contractului de finanțare, pe baza cerințelor de mai jos]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Cod COR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  <w:highlight w:val="yellow"/>
              </w:rPr>
              <w:t xml:space="preserve">[Ct: cod COR, ex. „manager proiect”]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Activitatea / încadrarea în buget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Management de proiect (activitate conexă II.3) — A8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Categoria salarială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Anexa 2 la HG 1188/2022, categoria 1 „director/responsabil/manager de program/proiect” — plafon 50 €/oră brut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Tarif bugetat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18 €/oră brut (sub plafon), plătit în lei la cursul InforEuro din contract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Timp de lucru și durată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20 ore/lună × 24 luni = 480 ore (L1–L24); CIM cu timp parțial </w:t>
            </w:r>
            <w:r>
              <w:rPr>
                <w:sz w:val="19"/>
                <w:szCs w:val="19"/>
                <w:highlight w:val="yellow"/>
              </w:rPr>
              <w:t xml:space="preserve">[Ct: confirmă că administratorul poate avea CIM cu ARTEMIS; altfel managementul se face fără cost în proiect]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Locul de muncă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sediul/punctul de lucru ARTEMIS din București </w:t>
            </w:r>
            <w:r>
              <w:rPr>
                <w:sz w:val="19"/>
                <w:szCs w:val="19"/>
                <w:highlight w:val="yellow"/>
              </w:rPr>
              <w:t xml:space="preserve">[adresa]</w:t>
            </w:r>
            <w:r>
              <w:rPr>
                <w:sz w:val="19"/>
                <w:szCs w:val="19"/>
              </w:rPr>
              <w:t xml:space="preserve"> și laboratoarele partenere; muncă hibridă permisă pentru analiză și redactare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b/>
                <w:bCs/>
                <w:sz w:val="19"/>
                <w:szCs w:val="19"/>
              </w:rPr>
              <w:t xml:space="preserve">Relații ierarhice și funcționale</w:t>
            </w:r>
          </w:p>
        </w:tc>
        <w:tc>
          <w:tcPr>
            <w:tcW w:type="dxa" w:w="6576"/>
          </w:tcPr>
          <w:p>
            <w:r>
              <w:rPr>
                <w:sz w:val="19"/>
                <w:szCs w:val="19"/>
              </w:rPr>
              <w:t xml:space="preserve">raportează asociatului unic/AGA ARTEMIS; coordonează întreaga echipă; interfața cu AM PR BI (ADR BI)</w:t>
            </w:r>
          </w:p>
        </w:tc>
      </w:tr>
    </w:tbl>
    <w:p/>
    <w:p>
      <w:pPr>
        <w:pStyle w:val="Heading2"/>
      </w:pPr>
      <w:r>
        <w:t>1. Cerințele postului</w:t>
      </w:r>
    </w:p>
    <w:p>
      <w:pPr>
        <w:pStyle w:val="ListBullet"/>
        <w:jc w:val="both"/>
      </w:pPr>
      <w:r>
        <w:rPr/>
        <w:t xml:space="preserve">studii superioare </w:t>
      </w:r>
      <w:r>
        <w:rPr>
          <w:highlight w:val="yellow"/>
        </w:rPr>
        <w:t xml:space="preserve">[domeniul]</w:t>
      </w:r>
      <w:r>
        <w:rPr/>
        <w:t xml:space="preserve">; experiență de management de proiecte și de echipe (KREA, MundiShop) — </w:t>
      </w:r>
      <w:r>
        <w:rPr>
          <w:highlight w:val="yellow"/>
        </w:rPr>
        <w:t xml:space="preserve">[ani]</w:t>
      </w:r>
      <w:r>
        <w:rPr/>
        <w:t xml:space="preserve">;</w:t>
      </w:r>
    </w:p>
    <w:p>
      <w:pPr>
        <w:pStyle w:val="ListBullet"/>
        <w:jc w:val="both"/>
      </w:pPr>
      <w:r>
        <w:rPr/>
        <w:t xml:space="preserve">experiență de cercetare-dezvoltare documentată: inițiatorul și dezvoltatorul conceptului SOUL (firmware, serviciul AI, prototipul SoulOS, CAD — dovezile D1–D8 din Raportul științific);</w:t>
      </w:r>
    </w:p>
    <w:p>
      <w:pPr>
        <w:pStyle w:val="ListBullet"/>
        <w:jc w:val="both"/>
      </w:pPr>
      <w:r>
        <w:rPr/>
        <w:t xml:space="preserve">cunoașterea regulilor de achiziții pentru beneficiari privați (Ordinul MFE 1284/2016) sau angajamentul de a le însuși în prima lună;</w:t>
      </w:r>
    </w:p>
    <w:p>
      <w:pPr>
        <w:pStyle w:val="ListBullet"/>
        <w:jc w:val="both"/>
      </w:pPr>
      <w:r>
        <w:rPr/>
        <w:t xml:space="preserve">competențe digitale: MySMIS2021, semnătură electronică calificată.</w:t>
      </w:r>
    </w:p>
    <w:p>
      <w:pPr>
        <w:pStyle w:val="Heading2"/>
      </w:pPr>
      <w:r>
        <w:t>2. Atribuții și responsabilități în proiect</w:t>
      </w:r>
    </w:p>
    <w:p>
      <w:pPr>
        <w:pStyle w:val="ListBullet"/>
        <w:jc w:val="both"/>
      </w:pPr>
      <w:r>
        <w:rPr/>
        <w:t xml:space="preserve">planifică, coordonează și monitorizează activitățile A1–A8 și calendarul (Gantt L1–L24); convoacă ședința lunară a echipei;</w:t>
      </w:r>
    </w:p>
    <w:p>
      <w:pPr>
        <w:pStyle w:val="ListBullet"/>
        <w:jc w:val="both"/>
      </w:pPr>
      <w:r>
        <w:rPr/>
        <w:t xml:space="preserve">derulează </w:t>
      </w:r>
      <w:r>
        <w:rPr>
          <w:b/>
          <w:bCs/>
        </w:rPr>
        <w:t xml:space="preserve">achizițiile</w:t>
      </w:r>
      <w:r>
        <w:rPr/>
        <w:t xml:space="preserve"> proiectului conform Ordinului MFE 1284/2016 (caiete de sarcini, publicare, evaluarea ofertelor, contracte), cu cerințele DNSH (ecodesign, RoHS) incluse;</w:t>
      </w:r>
    </w:p>
    <w:p>
      <w:pPr>
        <w:pStyle w:val="ListBullet"/>
        <w:jc w:val="both"/>
      </w:pPr>
      <w:r>
        <w:rPr/>
        <w:t xml:space="preserve">întocmește și transmite </w:t>
      </w:r>
      <w:r>
        <w:rPr>
          <w:b/>
          <w:bCs/>
        </w:rPr>
        <w:t xml:space="preserve">rapoartele de progres</w:t>
      </w:r>
      <w:r>
        <w:rPr/>
        <w:t xml:space="preserve">, cererile de prefinanțare/plată/rambursare și </w:t>
      </w:r>
      <w:r>
        <w:rPr>
          <w:b/>
          <w:bCs/>
        </w:rPr>
        <w:t xml:space="preserve">raportările indicatorilor</w:t>
      </w:r>
      <w:r>
        <w:rPr/>
        <w:t xml:space="preserve"> (RCO 01, RCO 02, RCR 03; IE1 la L6, IE2 la L14, IE3 la L22);</w:t>
      </w:r>
    </w:p>
    <w:p>
      <w:pPr>
        <w:pStyle w:val="ListBullet"/>
        <w:jc w:val="both"/>
      </w:pPr>
      <w:r>
        <w:rPr/>
        <w:t xml:space="preserve">asigură relația cu AM PR BI: notificări în 5 zile lucrătoare, clarificări, vizite de monitorizare; păstrează </w:t>
      </w:r>
      <w:r>
        <w:rPr>
          <w:b/>
          <w:bCs/>
        </w:rPr>
        <w:t xml:space="preserve">dosarul proiectului</w:t>
      </w:r>
      <w:r>
        <w:rPr/>
        <w:t xml:space="preserve"> (arhivă fizică și electronică);</w:t>
      </w:r>
    </w:p>
    <w:p>
      <w:pPr>
        <w:pStyle w:val="ListBullet"/>
        <w:jc w:val="both"/>
      </w:pPr>
      <w:r>
        <w:rPr/>
        <w:t xml:space="preserve">coordonează </w:t>
      </w:r>
      <w:r>
        <w:rPr>
          <w:b/>
          <w:bCs/>
        </w:rPr>
        <w:t xml:space="preserve">protecția IP</w:t>
      </w:r>
      <w:r>
        <w:rPr/>
        <w:t xml:space="preserve"> (căutare de anteriorități, cererea de desen/model UE ≤ L5, marca UE ≤ L6) și </w:t>
      </w:r>
      <w:r>
        <w:rPr>
          <w:b/>
          <w:bCs/>
        </w:rPr>
        <w:t xml:space="preserve">valorificarea</w:t>
      </w:r>
      <w:r>
        <w:rPr/>
        <w:t xml:space="preserve">: customer discovery, transformarea scrisorilor de intenție în ≥ 2 acorduri, planul de comercializare (R3, R5);</w:t>
      </w:r>
    </w:p>
    <w:p>
      <w:pPr>
        <w:pStyle w:val="ListBullet"/>
        <w:jc w:val="both"/>
      </w:pPr>
      <w:r>
        <w:rPr/>
        <w:t xml:space="preserve">urmărește bugetul, contabilitatea analitică separată, pontajele și auditul financiar (II.4); implementează măsurile de comunicare și vizibilitate (II.5);</w:t>
      </w:r>
    </w:p>
    <w:p>
      <w:pPr>
        <w:pStyle w:val="ListBullet"/>
        <w:jc w:val="both"/>
      </w:pPr>
      <w:r>
        <w:rPr/>
        <w:t xml:space="preserve">aplică politica de egalitate de șanse și măsura suplimentară (panelul TRL 5, testul de accesibilitate); gestionează riscurile din Planul de afaceri §6.4.</w:t>
      </w:r>
    </w:p>
    <w:p>
      <w:pPr>
        <w:pStyle w:val="Heading2"/>
      </w:pPr>
      <w:r>
        <w:t>3. Obligații comune ale membrilor echipei</w:t>
      </w:r>
    </w:p>
    <w:p>
      <w:pPr>
        <w:pStyle w:val="ListBullet"/>
        <w:jc w:val="both"/>
      </w:pPr>
      <w:r>
        <w:rPr/>
        <w:t xml:space="preserve">completează lunar </w:t>
      </w:r>
      <w:r>
        <w:rPr>
          <w:b/>
          <w:bCs/>
        </w:rPr>
        <w:t xml:space="preserve">fișa de pontaj</w:t>
      </w:r>
      <w:r>
        <w:rPr/>
        <w:t xml:space="preserve"> (ore pe activități A1–A8) și un scurt </w:t>
      </w:r>
      <w:r>
        <w:rPr>
          <w:b/>
          <w:bCs/>
        </w:rPr>
        <w:t xml:space="preserve">raport lunar de activitate</w:t>
      </w:r>
      <w:r>
        <w:rPr/>
        <w:t xml:space="preserve">, semnate și predate managerului de proiect până în ziua 5 a lunii următoare;</w:t>
      </w:r>
    </w:p>
    <w:p>
      <w:pPr>
        <w:pStyle w:val="ListBullet"/>
        <w:jc w:val="both"/>
      </w:pPr>
      <w:r>
        <w:rPr/>
        <w:t xml:space="preserve">respectă </w:t>
      </w:r>
      <w:r>
        <w:rPr>
          <w:b/>
          <w:bCs/>
        </w:rPr>
        <w:t xml:space="preserve">confidențialitatea</w:t>
      </w:r>
      <w:r>
        <w:rPr/>
        <w:t xml:space="preserve"> informațiilor tehnice și comerciale ale proiectului; nu publică rezultate înainte de depunerea cererilor de protecție IP („întâi protecția, apoi publicarea”);</w:t>
      </w:r>
    </w:p>
    <w:p>
      <w:pPr>
        <w:pStyle w:val="ListBullet"/>
        <w:jc w:val="both"/>
      </w:pPr>
      <w:r>
        <w:rPr/>
        <w:t xml:space="preserve">recunoaște că </w:t>
      </w:r>
      <w:r>
        <w:rPr>
          <w:b/>
          <w:bCs/>
        </w:rPr>
        <w:t xml:space="preserve">drepturile asupra rezultatelor</w:t>
      </w:r>
      <w:r>
        <w:rPr/>
        <w:t xml:space="preserve"> obținute în proiect aparțin ARTEMIS DIGITAL S.R.L., potrivit contractului de muncă și legii;</w:t>
      </w:r>
    </w:p>
    <w:p>
      <w:pPr>
        <w:pStyle w:val="ListBullet"/>
        <w:jc w:val="both"/>
      </w:pPr>
      <w:r>
        <w:rPr/>
        <w:t xml:space="preserve">declară în scris, în </w:t>
      </w:r>
      <w:r>
        <w:rPr>
          <w:b/>
          <w:bCs/>
        </w:rPr>
        <w:t xml:space="preserve">3 zile lucrătoare</w:t>
      </w:r>
      <w:r>
        <w:rPr/>
        <w:t xml:space="preserve">, orice situație de </w:t>
      </w:r>
      <w:r>
        <w:rPr>
          <w:b/>
          <w:bCs/>
        </w:rPr>
        <w:t xml:space="preserve">conflict de interese</w:t>
      </w:r>
      <w:r>
        <w:rPr/>
        <w:t xml:space="preserve"> (inclusiv legături cu furnizorii proiectului, până la gradul II de rudenie);</w:t>
      </w:r>
    </w:p>
    <w:p>
      <w:pPr>
        <w:pStyle w:val="ListBullet"/>
        <w:jc w:val="both"/>
      </w:pPr>
      <w:r>
        <w:rPr/>
        <w:t xml:space="preserve">respectă principiile de </w:t>
      </w:r>
      <w:r>
        <w:rPr>
          <w:b/>
          <w:bCs/>
        </w:rPr>
        <w:t xml:space="preserve">egalitate de șanse și nediscriminare</w:t>
      </w:r>
      <w:r>
        <w:rPr/>
        <w:t xml:space="preserve"> și regulile de </w:t>
      </w:r>
      <w:r>
        <w:rPr>
          <w:b/>
          <w:bCs/>
        </w:rPr>
        <w:t xml:space="preserve">comunicare și vizibilitate</w:t>
      </w:r>
      <w:r>
        <w:rPr/>
        <w:t xml:space="preserve"> ale PR BI 2021–2027;</w:t>
      </w:r>
    </w:p>
    <w:p>
      <w:pPr>
        <w:pStyle w:val="ListBullet"/>
        <w:jc w:val="both"/>
      </w:pPr>
      <w:r>
        <w:rPr/>
        <w:t xml:space="preserve">nu desfășoară, în orele pontate în proiect, activități finanțate din alte surse publice (</w:t>
      </w:r>
      <w:r>
        <w:rPr>
          <w:b/>
          <w:bCs/>
        </w:rPr>
        <w:t xml:space="preserve">fără dublă finanțare a timpului de lucru</w:t>
      </w:r>
      <w:r>
        <w:rPr/>
        <w:t xml:space="preserve">).</w:t>
      </w:r>
    </w:p>
    <w:p>
      <w:pPr>
        <w:pStyle w:val="Heading2"/>
      </w:pPr>
      <w:r>
        <w:t>4. Evaluare</w:t>
      </w:r>
    </w:p>
    <w:p>
      <w:pPr>
        <w:jc w:val="both"/>
      </w:pPr>
      <w:r>
        <w:rPr/>
        <w:t xml:space="preserve">Activitatea se evaluează pe baza livrabilelor și a termenelor din Cererea de finanțare și din Planul de monitorizare (Anexa 13), a pontajelor și a rapoartelor lunare.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ANGAJATOR</w:t>
            </w:r>
          </w:p>
        </w:tc>
        <w:tc>
          <w:tcPr>
            <w:tcW w:type="dxa" w:w="4706"/>
            <w:shd w:val="clear" w:color="auto" w:fill="1B3A6B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TITULAR</w:t>
            </w:r>
          </w:p>
        </w:tc>
      </w:tr>
      <w:tr>
        <w:trPr>
          <w:cantSplit/>
        </w:trPr>
        <w:tc>
          <w:tcPr>
            <w:tcW w:type="dxa" w:w="4706"/>
          </w:tcPr>
          <w:p>
            <w:r>
              <w:rPr>
                <w:sz w:val="19"/>
                <w:szCs w:val="19"/>
              </w:rPr>
              <w:t xml:space="preserve">ARTEMIS DIGITAL S.R.L.</w:t>
            </w:r>
          </w:p>
          <w:p>
            <w:r>
              <w:rPr>
                <w:sz w:val="19"/>
                <w:szCs w:val="19"/>
              </w:rPr>
              <w:t xml:space="preserve">prin </w:t>
            </w:r>
            <w:r>
              <w:rPr>
                <w:sz w:val="19"/>
                <w:szCs w:val="19"/>
                <w:highlight w:val="yellow"/>
              </w:rPr>
              <w:t xml:space="preserve">[Nume Prenume]</w:t>
            </w:r>
            <w:r>
              <w:rPr>
                <w:sz w:val="19"/>
                <w:szCs w:val="19"/>
              </w:rPr>
              <w:t xml:space="preserve">, administrator</w:t>
            </w:r>
          </w:p>
          <w:p/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</w:tc>
        <w:tc>
          <w:tcPr>
            <w:tcW w:type="dxa" w:w="4706"/>
          </w:tcPr>
          <w:p>
            <w:r>
              <w:rPr>
                <w:sz w:val="19"/>
                <w:szCs w:val="19"/>
              </w:rPr>
              <w:t xml:space="preserve">Am luat la cunoștință și îmi asum prezenta fișă a postului.</w:t>
            </w:r>
          </w:p>
          <w:p>
            <w:r>
              <w:rPr>
                <w:sz w:val="19"/>
                <w:szCs w:val="19"/>
                <w:highlight w:val="yellow"/>
              </w:rPr>
              <w:t xml:space="preserve">[Nume Prenume]</w:t>
            </w:r>
          </w:p>
          <w:p/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="Calibri" w:hAnsi="Calibri" w:cs="Calibri" w:eastAsia="Calibri"/>
      <w:b/>
      <w:bCs/>
      <w:color w:val="1B3A6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="Calibri" w:hAnsi="Calibri" w:cs="Calibri" w:eastAsia="Calibri"/>
      <w:b/>
      <w:bCs/>
      <w:color w:val="1B3A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