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bCs/>
          <w:sz w:val="18"/>
          <w:szCs w:val="18"/>
        </w:rPr>
        <w:t xml:space="preserve">ARTEMIS DIGITAL S.R.L.</w:t>
      </w:r>
      <w:r>
        <w:rPr>
          <w:sz w:val="18"/>
          <w:szCs w:val="18"/>
        </w:rPr>
        <w:t xml:space="preserve"> · CUI </w:t>
      </w:r>
      <w:r>
        <w:rPr>
          <w:sz w:val="18"/>
          <w:szCs w:val="18"/>
          <w:highlight w:val="yellow"/>
        </w:rPr>
        <w:t xml:space="preserve">[CUI]</w:t>
      </w:r>
      <w:r>
        <w:rPr>
          <w:sz w:val="18"/>
          <w:szCs w:val="18"/>
        </w:rPr>
        <w:t xml:space="preserve"> · </w:t>
      </w:r>
      <w:r>
        <w:rPr>
          <w:sz w:val="18"/>
          <w:szCs w:val="18"/>
          <w:highlight w:val="yellow"/>
        </w:rPr>
        <w:t xml:space="preserve">[J40/…/…]</w:t>
      </w:r>
      <w:r>
        <w:rPr>
          <w:sz w:val="18"/>
          <w:szCs w:val="18"/>
        </w:rPr>
        <w:t xml:space="preserve"> · </w:t>
      </w:r>
      <w:r>
        <w:rPr>
          <w:sz w:val="18"/>
          <w:szCs w:val="18"/>
          <w:highlight w:val="yellow"/>
        </w:rPr>
        <w:t xml:space="preserve">[adresa sediului]</w:t>
      </w:r>
    </w:p>
    <w:p>
      <w:pPr>
        <w:jc w:val="center"/>
      </w:pPr>
      <w:r>
        <w:rPr>
          <w:b/>
          <w:bCs/>
          <w:sz w:val="26"/>
          <w:szCs w:val="26"/>
        </w:rPr>
        <w:t xml:space="preserve">DECIZIA ADMINISTRATORULUI</w:t>
      </w:r>
      <w:r>
        <w:rPr>
          <w:sz w:val="26"/>
          <w:szCs w:val="26"/>
        </w:rPr>
        <w:t xml:space="preserve"> nr. </w:t>
      </w:r>
      <w:r>
        <w:rPr>
          <w:sz w:val="26"/>
          <w:szCs w:val="26"/>
          <w:highlight w:val="yellow"/>
        </w:rPr>
        <w:t xml:space="preserve">[…]</w:t>
      </w:r>
      <w:r>
        <w:rPr>
          <w:sz w:val="26"/>
          <w:szCs w:val="26"/>
        </w:rPr>
        <w:t xml:space="preserve"> din </w:t>
      </w:r>
      <w:r>
        <w:rPr>
          <w:sz w:val="26"/>
          <w:szCs w:val="26"/>
          <w:highlight w:val="yellow"/>
        </w:rPr>
        <w:t xml:space="preserve">[ZZ.LL.AAAA]</w:t>
      </w:r>
    </w:p>
    <w:p>
      <w:pPr>
        <w:jc w:val="center"/>
      </w:pPr>
      <w:r>
        <w:rPr>
          <w:b/>
          <w:bCs/>
          <w:sz w:val="22"/>
          <w:szCs w:val="22"/>
        </w:rPr>
        <w:t xml:space="preserve">privind adoptarea Politicii interne de egalitate de șanse, nediscriminare și accesibilitate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4E5"/>
          </w:tcPr>
          <w:p>
            <w:r>
              <w:rPr>
                <w:b/>
                <w:bCs/>
                <w:sz w:val="19"/>
                <w:szCs w:val="19"/>
              </w:rPr>
              <w:t xml:space="preserve">Se datează înainte de depunerea cererii de finanțare</w:t>
            </w:r>
            <w:r>
              <w:rPr>
                <w:sz w:val="19"/>
                <w:szCs w:val="19"/>
              </w:rPr>
              <w:t xml:space="preserve"> și se anexează la cerere (Grila ETF 4.3b). Data și numărul se trec și în registrul de decizii al societății.</w:t>
            </w:r>
          </w:p>
        </w:tc>
      </w:tr>
    </w:tbl>
    <w:p/>
    <w:p>
      <w:pPr>
        <w:jc w:val="both"/>
      </w:pPr>
      <w:r>
        <w:rPr/>
        <w:t xml:space="preserve">Subsemnatul </w:t>
      </w:r>
      <w:r>
        <w:rPr>
          <w:highlight w:val="yellow"/>
        </w:rPr>
        <w:t xml:space="preserve">[Nume Prenume]</w:t>
      </w:r>
      <w:r>
        <w:rPr/>
        <w:t xml:space="preserve">, în calitate de administrator al ARTEMIS DIGITAL S.R.L., având în vedere Ordonanța Guvernului nr. 137/2000 privind prevenirea și sancționarea tuturor formelor de discriminare, Legea nr. 202/2002 privind egalitatea de șanse și de tratament între femei și bărbați, Legea nr. 448/2006 privind protecția și promovarea drepturilor persoanelor cu handicap, art. 9 din Regulamentul (UE) 2021/1060 și Carta drepturilor fundamentale a Uniunii Europene,</w:t>
      </w:r>
    </w:p>
    <w:p>
      <w:pPr>
        <w:jc w:val="center"/>
      </w:pPr>
      <w:r>
        <w:rPr>
          <w:b/>
          <w:bCs/>
        </w:rPr>
        <w:t xml:space="preserve">DECID:</w:t>
      </w:r>
    </w:p>
    <w:p>
      <w:pPr>
        <w:jc w:val="both"/>
      </w:pPr>
      <w:r>
        <w:rPr>
          <w:b/>
          <w:bCs/>
        </w:rPr>
        <w:t xml:space="preserve">Art. 1.</w:t>
      </w:r>
      <w:r>
        <w:rPr/>
        <w:t xml:space="preserve"> Se adoptă Politica internă de egalitate de șanse, nediscriminare și accesibilitate, prevăzută mai jos, aplicabilă tuturor angajaților, colaboratorilor și candidaților societății, inclusiv în proiectul SOUL-PoC.</w:t>
      </w:r>
    </w:p>
    <w:p>
      <w:pPr>
        <w:jc w:val="both"/>
      </w:pPr>
      <w:r>
        <w:rPr>
          <w:b/>
          <w:bCs/>
        </w:rPr>
        <w:t xml:space="preserve">Art. 2.</w:t>
      </w:r>
      <w:r>
        <w:rPr/>
        <w:t xml:space="preserve"> Responsabil cu aplicarea și monitorizarea politicii este </w:t>
      </w:r>
      <w:r>
        <w:rPr>
          <w:highlight w:val="yellow"/>
        </w:rPr>
        <w:t xml:space="preserve">[Nume Prenume, funcția]</w:t>
      </w:r>
      <w:r>
        <w:rPr/>
        <w:t xml:space="preserve">. Politica se aduce la cunoștința personalului prin semnătură și se publică pe site-ul societății.</w:t>
      </w:r>
    </w:p>
    <w:p>
      <w:pPr>
        <w:jc w:val="both"/>
      </w:pPr>
      <w:r>
        <w:rPr>
          <w:b/>
          <w:bCs/>
        </w:rPr>
        <w:t xml:space="preserve">Art. 3.</w:t>
      </w:r>
      <w:r>
        <w:rPr/>
        <w:t xml:space="preserve"> Prezenta decizie intră în vigoare la data semnării.</w:t>
      </w:r>
    </w:p>
    <w:p>
      <w:pPr>
        <w:pStyle w:val="Heading1"/>
      </w:pPr>
      <w:r>
        <w:t>POLITICA INTERNĂ DE EGALITATE DE ȘANSE, NEDISCRIMINARE ȘI ACCESIBILITATE</w:t>
      </w:r>
    </w:p>
    <w:p>
      <w:pPr>
        <w:pStyle w:val="Heading2"/>
      </w:pPr>
      <w:r>
        <w:t>1. Principii</w:t>
      </w:r>
    </w:p>
    <w:p>
      <w:pPr>
        <w:pStyle w:val="ListBullet"/>
        <w:jc w:val="both"/>
      </w:pPr>
      <w:r>
        <w:rPr/>
        <w:t xml:space="preserve">Societatea interzice orice discriminare directă sau indirectă pe criterii de sex, origine rasială sau etnică, religie sau convingeri, dizabilitate, vârstă, orientare sexuală, stare civilă sau responsabilități familiale.</w:t>
      </w:r>
    </w:p>
    <w:p>
      <w:pPr>
        <w:pStyle w:val="ListBullet"/>
        <w:jc w:val="both"/>
      </w:pPr>
      <w:r>
        <w:rPr/>
        <w:t xml:space="preserve">Hărțuirea și hărțuirea sexuală sunt interzise; orice persoană poate sesiza confidențial responsabilul desemnat, fără risc de represalii.</w:t>
      </w:r>
    </w:p>
    <w:p>
      <w:pPr>
        <w:pStyle w:val="Heading2"/>
      </w:pPr>
      <w:r>
        <w:t>2. Recrutare și selecție</w:t>
      </w:r>
    </w:p>
    <w:p>
      <w:pPr>
        <w:pStyle w:val="ListBullet"/>
        <w:jc w:val="both"/>
      </w:pPr>
      <w:r>
        <w:rPr/>
        <w:t xml:space="preserve">anunțurile de angajare sunt formulate neutru din punctul de vedere al genului și sunt publicate pe cel puțin două canale, inclusiv canale universitare;</w:t>
      </w:r>
    </w:p>
    <w:p>
      <w:pPr>
        <w:pStyle w:val="ListBullet"/>
        <w:jc w:val="both"/>
      </w:pPr>
      <w:r>
        <w:rPr/>
        <w:t xml:space="preserve">selecția se face pe criterii obiective, publicate în fișa postului (studii, experiență, competențe); întrebările despre starea civilă, sarcină sau planuri familiale sunt interzise;</w:t>
      </w:r>
    </w:p>
    <w:p>
      <w:pPr>
        <w:pStyle w:val="ListBullet"/>
        <w:jc w:val="both"/>
      </w:pPr>
      <w:r>
        <w:rPr/>
        <w:t xml:space="preserve">candidații cu dizabilități beneficiază, la cerere, de adaptări rezonabile ale procesului de selecție.</w:t>
      </w:r>
    </w:p>
    <w:p>
      <w:pPr>
        <w:pStyle w:val="Heading2"/>
      </w:pPr>
      <w:r>
        <w:t>3. Salarizare și condiții de muncă</w:t>
      </w:r>
    </w:p>
    <w:p>
      <w:pPr>
        <w:pStyle w:val="ListBullet"/>
        <w:jc w:val="both"/>
      </w:pPr>
      <w:r>
        <w:rPr/>
        <w:t xml:space="preserve">salarizarea se face pe o grilă transparentă (tarif orar pe categorii de post), cu același tarif pentru aceeași muncă, indiferent de sex;</w:t>
      </w:r>
    </w:p>
    <w:p>
      <w:pPr>
        <w:pStyle w:val="ListBullet"/>
        <w:jc w:val="both"/>
      </w:pPr>
      <w:r>
        <w:rPr/>
        <w:t xml:space="preserve">program flexibil și muncă hibridă pentru activitățile care o permit; programul studenților se adaptează orarului academic;</w:t>
      </w:r>
    </w:p>
    <w:p>
      <w:pPr>
        <w:pStyle w:val="ListBullet"/>
        <w:jc w:val="both"/>
      </w:pPr>
      <w:r>
        <w:rPr/>
        <w:t xml:space="preserve">acces egal la formare profesională, conferințe și co-autorat științific, pe baza contribuției.</w:t>
      </w:r>
    </w:p>
    <w:p>
      <w:pPr>
        <w:pStyle w:val="Heading2"/>
      </w:pPr>
      <w:r>
        <w:t>4. Măsuri în proiectul SOUL-PoC</w:t>
      </w:r>
    </w:p>
    <w:p>
      <w:pPr>
        <w:pStyle w:val="ListBullet"/>
        <w:jc w:val="both"/>
      </w:pPr>
      <w:r>
        <w:rPr>
          <w:b/>
          <w:bCs/>
        </w:rPr>
        <w:t xml:space="preserve">implicarea tinerilor:</w:t>
      </w:r>
      <w:r>
        <w:rPr/>
        <w:t xml:space="preserve"> echipa de cercetare include cel puțin un student cu vârsta de cel mult 24 de ani, angajat pe activități de cercetare-dezvoltare;</w:t>
      </w:r>
    </w:p>
    <w:p>
      <w:pPr>
        <w:pStyle w:val="ListBullet"/>
        <w:jc w:val="both"/>
      </w:pPr>
      <w:r>
        <w:rPr>
          <w:b/>
          <w:bCs/>
        </w:rPr>
        <w:t xml:space="preserve">panelul de validare TRL 5</w:t>
      </w:r>
      <w:r>
        <w:rPr/>
        <w:t xml:space="preserve"> include </w:t>
      </w:r>
      <w:r>
        <w:rPr>
          <w:b/>
          <w:bCs/>
        </w:rPr>
        <w:t xml:space="preserve">≥ 40 % femei</w:t>
      </w:r>
      <w:r>
        <w:rPr/>
        <w:t xml:space="preserve">, </w:t>
      </w:r>
      <w:r>
        <w:rPr>
          <w:b/>
          <w:bCs/>
        </w:rPr>
        <w:t xml:space="preserve">≥ 3 persoane peste 55 de ani</w:t>
      </w:r>
      <w:r>
        <w:rPr/>
        <w:t xml:space="preserve"> și </w:t>
      </w:r>
      <w:r>
        <w:rPr>
          <w:b/>
          <w:bCs/>
        </w:rPr>
        <w:t xml:space="preserve">≥ 2 persoane cu deficiențe de vedere sau motorii</w:t>
      </w:r>
      <w:r>
        <w:rPr/>
        <w:t xml:space="preserve">, recrutate inclusiv printr-o asociație de profil;</w:t>
      </w:r>
    </w:p>
    <w:p>
      <w:pPr>
        <w:pStyle w:val="ListBullet"/>
        <w:jc w:val="both"/>
      </w:pPr>
      <w:r>
        <w:rPr>
          <w:b/>
          <w:bCs/>
        </w:rPr>
        <w:t xml:space="preserve">testul de accesibilitate</w:t>
      </w:r>
      <w:r>
        <w:rPr/>
        <w:t xml:space="preserve"> al interfeței SOUL (control vocal, modul „taste mari”, contrast ridicat, feedback haptic/sonor, dimensiunea textului), realizat împreună cu o asociație a persoanelor cu dizabilități, cu raport public;</w:t>
      </w:r>
    </w:p>
    <w:p>
      <w:pPr>
        <w:pStyle w:val="ListBullet"/>
        <w:jc w:val="both"/>
      </w:pPr>
      <w:r>
        <w:rPr>
          <w:b/>
          <w:bCs/>
        </w:rPr>
        <w:t xml:space="preserve">accesibilitatea rezultatelor:</w:t>
      </w:r>
      <w:r>
        <w:rPr/>
        <w:t xml:space="preserve"> produsul rezultat nu depinde exclusiv de gesturi fine sau de vedere; documentația și materialele de comunicare sunt publicate în formate accesibile.</w:t>
      </w:r>
    </w:p>
    <w:p>
      <w:pPr>
        <w:pStyle w:val="Heading2"/>
      </w:pPr>
      <w:r>
        <w:t>5. Monitorizare</w:t>
      </w:r>
    </w:p>
    <w:p>
      <w:pPr>
        <w:pStyle w:val="ListBullet"/>
        <w:jc w:val="both"/>
      </w:pPr>
      <w:r>
        <w:rPr/>
        <w:t xml:space="preserve">responsabilul desemnat ține evidența anonimizată a componenței echipei și a panelului de testare și raportează anual administratorului;</w:t>
      </w:r>
    </w:p>
    <w:p>
      <w:pPr>
        <w:pStyle w:val="ListBullet"/>
        <w:jc w:val="both"/>
      </w:pPr>
      <w:r>
        <w:rPr/>
        <w:t xml:space="preserve">politica se revizuiește anual sau la orice modificare legislativă relevantă.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</w:tcPr>
          <w:p>
            <w:r>
              <w:rPr>
                <w:sz w:val="19"/>
                <w:szCs w:val="19"/>
              </w:rPr>
              <w:t xml:space="preserve">Administrator,</w:t>
            </w:r>
          </w:p>
          <w:p>
            <w:r>
              <w:rPr>
                <w:sz w:val="19"/>
                <w:szCs w:val="19"/>
                <w:highlight w:val="yellow"/>
              </w:rPr>
              <w:t xml:space="preserve">[Nume Prenume]</w:t>
            </w:r>
          </w:p>
          <w:p/>
          <w:p>
            <w:r>
              <w:rPr>
                <w:sz w:val="19"/>
                <w:szCs w:val="19"/>
              </w:rPr>
              <w:t xml:space="preserve">Semnătura: ____________________</w:t>
            </w:r>
          </w:p>
          <w:p>
            <w:r>
              <w:rPr>
                <w:sz w:val="19"/>
                <w:szCs w:val="19"/>
              </w:rPr>
              <w:t xml:space="preserve">Data: </w:t>
            </w:r>
            <w:r>
              <w:rPr>
                <w:sz w:val="19"/>
                <w:szCs w:val="19"/>
                <w:highlight w:val="yellow"/>
              </w:rPr>
              <w:t xml:space="preserve">[ZZ.LL.AAAA]</w:t>
            </w:r>
          </w:p>
        </w:tc>
      </w:tr>
    </w:tbl>
    <w:p/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="Calibri" w:hAnsi="Calibri" w:cs="Calibri" w:eastAsia="Calibri"/>
      <w:b/>
      <w:bCs/>
      <w:color w:val="1B3A6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="Calibri" w:hAnsi="Calibri" w:cs="Calibri" w:eastAsia="Calibri"/>
      <w:b/>
      <w:bCs/>
      <w:color w:val="1B3A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