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8"/>
          <w:szCs w:val="48"/>
        </w:rPr>
        <w:t xml:space="preserve">IoT Laboratory Report</w:t>
      </w:r>
    </w:p>
    <w:p>
      <w:pPr>
        <w:spacing w:after="100"/>
        <w:jc w:val="center"/>
      </w:pPr>
      <w:r>
        <w:rPr>
          <w:rFonts w:ascii="Arial" w:cs="Arial" w:eastAsia="Arial" w:hAnsi="Arial"/>
          <w:color w:val="555555"/>
          <w:sz w:val="28"/>
          <w:szCs w:val="28"/>
        </w:rPr>
        <w:t xml:space="preserve">Soil Quality Prediction using TinyML</w:t>
      </w:r>
    </w:p>
    <w:p>
      <w:pPr>
        <w:spacing w:after="80"/>
        <w:jc w:val="center"/>
      </w:pPr>
      <w:r>
        <w:rPr>
          <w:rFonts w:ascii="Arial" w:cs="Arial" w:eastAsia="Arial" w:hAnsi="Arial"/>
          <w:color w:val="888888"/>
          <w:sz w:val="20"/>
          <w:szCs w:val="20"/>
        </w:rPr>
        <w:t xml:space="preserve">Course: Internet of Things (IoT) Lab  |  AY 2024-2025</w:t>
      </w:r>
    </w:p>
    <w:p>
      <w:pPr>
        <w:pBdr>
          <w:bottom w:val="single" w:color="2E74B5" w:sz="6"/>
        </w:pBdr>
        <w:spacing w:after="300"/>
      </w:pPr>
      <w:r>
        <w:t xml:space="preserve"/>
      </w:r>
    </w:p>
    <w:p>
      <w:pPr>
        <w:pStyle w:val="Heading1"/>
      </w:pPr>
      <w:r>
        <w:t xml:space="preserve">1. Aim</w:t>
      </w:r>
    </w:p>
    <w:p>
      <w:pPr>
        <w:spacing w:after="150"/>
      </w:pPr>
      <w:r>
        <w:t xml:space="preserve">To deploy a quantized TinyML (INT8 TFLite) model on an IoT edge device that fetches live soil sensor data from the ThingSpeak cloud platform and classifies soil quality as GOOD or BAD in real-time using on-device inference.</w:t>
      </w:r>
    </w:p>
    <w:p>
      <w:pPr>
        <w:pStyle w:val="Heading1"/>
      </w:pPr>
      <w:r>
        <w:t xml:space="preserve">2. Objectives</w:t>
      </w:r>
    </w:p>
    <w:p>
      <w:pPr>
        <w:pStyle w:val="ListParagraph"/>
        <w:numPr>
          <w:ilvl w:val="0"/>
          <w:numId w:val="2"/>
        </w:numPr>
        <w:spacing w:after="80"/>
      </w:pPr>
      <w:r>
        <w:t xml:space="preserve">Fetch live readings of 7 soil parameters (Temperature, Moisture, EC, Nitrogen, Phosphorus, Potassium, pH) from ThingSpeak.</w:t>
      </w:r>
    </w:p>
    <w:p>
      <w:pPr>
        <w:pStyle w:val="ListParagraph"/>
        <w:numPr>
          <w:ilvl w:val="0"/>
          <w:numId w:val="2"/>
        </w:numPr>
        <w:spacing w:after="80"/>
      </w:pPr>
      <w:r>
        <w:t xml:space="preserve">Normalize sensor data to match the training-time scaling used by the model.</w:t>
      </w:r>
    </w:p>
    <w:p>
      <w:pPr>
        <w:pStyle w:val="ListParagraph"/>
        <w:numPr>
          <w:ilvl w:val="0"/>
          <w:numId w:val="2"/>
        </w:numPr>
        <w:spacing w:after="80"/>
      </w:pPr>
      <w:r>
        <w:t xml:space="preserve">Run an INT8 quantized TFLite model on-device with correct input quantization and output dequantization.</w:t>
      </w:r>
    </w:p>
    <w:p>
      <w:pPr>
        <w:pStyle w:val="ListParagraph"/>
        <w:numPr>
          <w:ilvl w:val="0"/>
          <w:numId w:val="2"/>
        </w:numPr>
        <w:spacing w:after="80"/>
      </w:pPr>
      <w:r>
        <w:t xml:space="preserve">Provide two deployment variants: Script 1 using lightweight tflite_runtime (for edge/Raspberry Pi), Script 2 using full TensorFlow (for desktop/development).</w:t>
      </w:r>
    </w:p>
    <w:p>
      <w:pPr>
        <w:pStyle w:val="ListParagraph"/>
        <w:numPr>
          <w:ilvl w:val="0"/>
          <w:numId w:val="2"/>
        </w:numPr>
        <w:spacing w:after="80"/>
      </w:pPr>
      <w:r>
        <w:t xml:space="preserve">Output real-time soil classification: GOOD SOIL or BAD SOIL with probabilities.</w:t>
      </w:r>
    </w:p>
    <w:p>
      <w:r>
        <w:t xml:space="preserve"/>
      </w:r>
    </w:p>
    <w:p>
      <w:pPr>
        <w:pStyle w:val="Heading1"/>
      </w:pPr>
      <w:r>
        <w:t xml:space="preserve">3. Components &amp; Tools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shd w:fill="2E74B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shd w:fill="2E74B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Details</w:t>
            </w:r>
          </w:p>
        </w:tc>
        <w:tc>
          <w:tcPr>
            <w:shd w:fill="2E74B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Purpose</w:t>
            </w:r>
          </w:p>
        </w:tc>
      </w:tr>
      <w:tr>
        <w:tc>
          <w:tcPr>
            <w:shd w:fill="EEF4FB" w:val="clear"/>
            <w:tcMar>
              <w:top w:type="dxa" w:w="80"/>
              <w:left w:type="dxa" w:w="100"/>
              <w:bottom w:type="dxa" w:w="80"/>
              <w:right w:type="dxa" w:w="100"/>
            </w:tcMar>
          </w:tcPr>
          <w:p>
            <w:r>
              <w:rPr>
                <w:rFonts w:ascii="Arial" w:cs="Arial" w:eastAsia="Arial" w:hAnsi="Arial"/>
                <w:sz w:val="20"/>
                <w:szCs w:val="20"/>
              </w:rPr>
              <w:t xml:space="preserve">Python 3.8+</w:t>
            </w:r>
          </w:p>
        </w:tc>
        <w:tc>
          <w:tcPr>
            <w:shd w:fill="EEF4FB" w:val="clear"/>
            <w:tcMar>
              <w:top w:type="dxa" w:w="80"/>
              <w:left w:type="dxa" w:w="100"/>
              <w:bottom w:type="dxa" w:w="80"/>
              <w:right w:type="dxa" w:w="100"/>
            </w:tcMar>
          </w:tcPr>
          <w:p>
            <w:r>
              <w:rPr>
                <w:rFonts w:ascii="Arial" w:cs="Arial" w:eastAsia="Arial" w:hAnsi="Arial"/>
                <w:sz w:val="20"/>
                <w:szCs w:val="20"/>
              </w:rPr>
              <w:t xml:space="preserve">Core language</w:t>
            </w:r>
          </w:p>
        </w:tc>
        <w:tc>
          <w:tcPr>
            <w:shd w:fill="EEF4FB" w:val="clear"/>
            <w:tcMar>
              <w:top w:type="dxa" w:w="80"/>
              <w:left w:type="dxa" w:w="100"/>
              <w:bottom w:type="dxa" w:w="80"/>
              <w:right w:type="dxa" w:w="100"/>
            </w:tcMar>
          </w:tcPr>
          <w:p>
            <w:r>
              <w:rPr>
                <w:rFonts w:ascii="Arial" w:cs="Arial" w:eastAsia="Arial" w:hAnsi="Arial"/>
                <w:sz w:val="20"/>
                <w:szCs w:val="20"/>
              </w:rPr>
              <w:t xml:space="preserve">Programming</w:t>
            </w:r>
          </w:p>
        </w:tc>
      </w:tr>
      <w:tr>
        <w:tc>
          <w:tcPr>
            <w:shd w:fill="FFFFFF" w:val="clear"/>
            <w:tcMar>
              <w:top w:type="dxa" w:w="80"/>
              <w:left w:type="dxa" w:w="100"/>
              <w:bottom w:type="dxa" w:w="80"/>
              <w:right w:type="dxa" w:w="100"/>
            </w:tcMar>
          </w:tcPr>
          <w:p>
            <w:r>
              <w:rPr>
                <w:rFonts w:ascii="Arial" w:cs="Arial" w:eastAsia="Arial" w:hAnsi="Arial"/>
                <w:sz w:val="20"/>
                <w:szCs w:val="20"/>
              </w:rPr>
              <w:t xml:space="preserve">tflite_runtime</w:t>
            </w:r>
          </w:p>
        </w:tc>
        <w:tc>
          <w:tcPr>
            <w:shd w:fill="FFFFFF" w:val="clear"/>
            <w:tcMar>
              <w:top w:type="dxa" w:w="80"/>
              <w:left w:type="dxa" w:w="100"/>
              <w:bottom w:type="dxa" w:w="80"/>
              <w:right w:type="dxa" w:w="100"/>
            </w:tcMar>
          </w:tcPr>
          <w:p>
            <w:r>
              <w:rPr>
                <w:rFonts w:ascii="Arial" w:cs="Arial" w:eastAsia="Arial" w:hAnsi="Arial"/>
                <w:sz w:val="20"/>
                <w:szCs w:val="20"/>
              </w:rPr>
              <w:t xml:space="preserve">~2 MB lightweight</w:t>
            </w:r>
          </w:p>
        </w:tc>
        <w:tc>
          <w:tcPr>
            <w:shd w:fill="FFFFFF" w:val="clear"/>
            <w:tcMar>
              <w:top w:type="dxa" w:w="80"/>
              <w:left w:type="dxa" w:w="100"/>
              <w:bottom w:type="dxa" w:w="80"/>
              <w:right w:type="dxa" w:w="100"/>
            </w:tcMar>
          </w:tcPr>
          <w:p>
            <w:r>
              <w:rPr>
                <w:rFonts w:ascii="Arial" w:cs="Arial" w:eastAsia="Arial" w:hAnsi="Arial"/>
                <w:sz w:val="20"/>
                <w:szCs w:val="20"/>
              </w:rPr>
              <w:t xml:space="preserve">TFLite inference (Script 1)</w:t>
            </w:r>
          </w:p>
        </w:tc>
      </w:tr>
      <w:tr>
        <w:tc>
          <w:tcPr>
            <w:shd w:fill="EEF4FB" w:val="clear"/>
            <w:tcMar>
              <w:top w:type="dxa" w:w="80"/>
              <w:left w:type="dxa" w:w="100"/>
              <w:bottom w:type="dxa" w:w="80"/>
              <w:right w:type="dxa" w:w="100"/>
            </w:tcMar>
          </w:tcPr>
          <w:p>
            <w:r>
              <w:rPr>
                <w:rFonts w:ascii="Arial" w:cs="Arial" w:eastAsia="Arial" w:hAnsi="Arial"/>
                <w:sz w:val="20"/>
                <w:szCs w:val="20"/>
              </w:rPr>
              <w:t xml:space="preserve">TensorFlow 2.x</w:t>
            </w:r>
          </w:p>
        </w:tc>
        <w:tc>
          <w:tcPr>
            <w:shd w:fill="EEF4FB" w:val="clear"/>
            <w:tcMar>
              <w:top w:type="dxa" w:w="80"/>
              <w:left w:type="dxa" w:w="100"/>
              <w:bottom w:type="dxa" w:w="80"/>
              <w:right w:type="dxa" w:w="100"/>
            </w:tcMar>
          </w:tcPr>
          <w:p>
            <w:r>
              <w:rPr>
                <w:rFonts w:ascii="Arial" w:cs="Arial" w:eastAsia="Arial" w:hAnsi="Arial"/>
                <w:sz w:val="20"/>
                <w:szCs w:val="20"/>
              </w:rPr>
              <w:t xml:space="preserve">~500 MB full package</w:t>
            </w:r>
          </w:p>
        </w:tc>
        <w:tc>
          <w:tcPr>
            <w:shd w:fill="EEF4FB" w:val="clear"/>
            <w:tcMar>
              <w:top w:type="dxa" w:w="80"/>
              <w:left w:type="dxa" w:w="100"/>
              <w:bottom w:type="dxa" w:w="80"/>
              <w:right w:type="dxa" w:w="100"/>
            </w:tcMar>
          </w:tcPr>
          <w:p>
            <w:r>
              <w:rPr>
                <w:rFonts w:ascii="Arial" w:cs="Arial" w:eastAsia="Arial" w:hAnsi="Arial"/>
                <w:sz w:val="20"/>
                <w:szCs w:val="20"/>
              </w:rPr>
              <w:t xml:space="preserve">TFLite inference (Script 2)</w:t>
            </w:r>
          </w:p>
        </w:tc>
      </w:tr>
      <w:tr>
        <w:tc>
          <w:tcPr>
            <w:shd w:fill="FFFFFF" w:val="clear"/>
            <w:tcMar>
              <w:top w:type="dxa" w:w="80"/>
              <w:left w:type="dxa" w:w="100"/>
              <w:bottom w:type="dxa" w:w="80"/>
              <w:right w:type="dxa" w:w="100"/>
            </w:tcMar>
          </w:tcPr>
          <w:p>
            <w:r>
              <w:rPr>
                <w:rFonts w:ascii="Arial" w:cs="Arial" w:eastAsia="Arial" w:hAnsi="Arial"/>
                <w:sz w:val="20"/>
                <w:szCs w:val="20"/>
              </w:rPr>
              <w:t xml:space="preserve">NumPy</w:t>
            </w:r>
          </w:p>
        </w:tc>
        <w:tc>
          <w:tcPr>
            <w:shd w:fill="FFFFFF" w:val="clear"/>
            <w:tcMar>
              <w:top w:type="dxa" w:w="80"/>
              <w:left w:type="dxa" w:w="100"/>
              <w:bottom w:type="dxa" w:w="80"/>
              <w:right w:type="dxa" w:w="100"/>
            </w:tcMar>
          </w:tcPr>
          <w:p>
            <w:r>
              <w:rPr>
                <w:rFonts w:ascii="Arial" w:cs="Arial" w:eastAsia="Arial" w:hAnsi="Arial"/>
                <w:sz w:val="20"/>
                <w:szCs w:val="20"/>
              </w:rPr>
              <w:t xml:space="preserve">Numerical library</w:t>
            </w:r>
          </w:p>
        </w:tc>
        <w:tc>
          <w:tcPr>
            <w:shd w:fill="FFFFFF" w:val="clear"/>
            <w:tcMar>
              <w:top w:type="dxa" w:w="80"/>
              <w:left w:type="dxa" w:w="100"/>
              <w:bottom w:type="dxa" w:w="80"/>
              <w:right w:type="dxa" w:w="100"/>
            </w:tcMar>
          </w:tcPr>
          <w:p>
            <w:r>
              <w:rPr>
                <w:rFonts w:ascii="Arial" w:cs="Arial" w:eastAsia="Arial" w:hAnsi="Arial"/>
                <w:sz w:val="20"/>
                <w:szCs w:val="20"/>
              </w:rPr>
              <w:t xml:space="preserve">Array ops &amp; quantization</w:t>
            </w:r>
          </w:p>
        </w:tc>
      </w:tr>
      <w:tr>
        <w:tc>
          <w:tcPr>
            <w:shd w:fill="EEF4FB" w:val="clear"/>
            <w:tcMar>
              <w:top w:type="dxa" w:w="80"/>
              <w:left w:type="dxa" w:w="100"/>
              <w:bottom w:type="dxa" w:w="80"/>
              <w:right w:type="dxa" w:w="100"/>
            </w:tcMar>
          </w:tcPr>
          <w:p>
            <w:r>
              <w:rPr>
                <w:rFonts w:ascii="Arial" w:cs="Arial" w:eastAsia="Arial" w:hAnsi="Arial"/>
                <w:sz w:val="20"/>
                <w:szCs w:val="20"/>
              </w:rPr>
              <w:t xml:space="preserve">Requests</w:t>
            </w:r>
          </w:p>
        </w:tc>
        <w:tc>
          <w:tcPr>
            <w:shd w:fill="EEF4FB" w:val="clear"/>
            <w:tcMar>
              <w:top w:type="dxa" w:w="80"/>
              <w:left w:type="dxa" w:w="100"/>
              <w:bottom w:type="dxa" w:w="80"/>
              <w:right w:type="dxa" w:w="100"/>
            </w:tcMar>
          </w:tcPr>
          <w:p>
            <w:r>
              <w:rPr>
                <w:rFonts w:ascii="Arial" w:cs="Arial" w:eastAsia="Arial" w:hAnsi="Arial"/>
                <w:sz w:val="20"/>
                <w:szCs w:val="20"/>
              </w:rPr>
              <w:t xml:space="preserve">HTTP library</w:t>
            </w:r>
          </w:p>
        </w:tc>
        <w:tc>
          <w:tcPr>
            <w:shd w:fill="EEF4FB" w:val="clear"/>
            <w:tcMar>
              <w:top w:type="dxa" w:w="80"/>
              <w:left w:type="dxa" w:w="100"/>
              <w:bottom w:type="dxa" w:w="80"/>
              <w:right w:type="dxa" w:w="100"/>
            </w:tcMar>
          </w:tcPr>
          <w:p>
            <w:r>
              <w:rPr>
                <w:rFonts w:ascii="Arial" w:cs="Arial" w:eastAsia="Arial" w:hAnsi="Arial"/>
                <w:sz w:val="20"/>
                <w:szCs w:val="20"/>
              </w:rPr>
              <w:t xml:space="preserve">ThingSpeak API calls</w:t>
            </w:r>
          </w:p>
        </w:tc>
      </w:tr>
      <w:tr>
        <w:tc>
          <w:tcPr>
            <w:shd w:fill="FFFFFF" w:val="clear"/>
            <w:tcMar>
              <w:top w:type="dxa" w:w="80"/>
              <w:left w:type="dxa" w:w="100"/>
              <w:bottom w:type="dxa" w:w="80"/>
              <w:right w:type="dxa" w:w="100"/>
            </w:tcMar>
          </w:tcPr>
          <w:p>
            <w:r>
              <w:rPr>
                <w:rFonts w:ascii="Arial" w:cs="Arial" w:eastAsia="Arial" w:hAnsi="Arial"/>
                <w:sz w:val="20"/>
                <w:szCs w:val="20"/>
              </w:rPr>
              <w:t xml:space="preserve">soil_quality_tinyml_int8.tflite</w:t>
            </w:r>
          </w:p>
        </w:tc>
        <w:tc>
          <w:tcPr>
            <w:shd w:fill="FFFFFF" w:val="clear"/>
            <w:tcMar>
              <w:top w:type="dxa" w:w="80"/>
              <w:left w:type="dxa" w:w="100"/>
              <w:bottom w:type="dxa" w:w="80"/>
              <w:right w:type="dxa" w:w="100"/>
            </w:tcMar>
          </w:tcPr>
          <w:p>
            <w:r>
              <w:rPr>
                <w:rFonts w:ascii="Arial" w:cs="Arial" w:eastAsia="Arial" w:hAnsi="Arial"/>
                <w:sz w:val="20"/>
                <w:szCs w:val="20"/>
              </w:rPr>
              <w:t xml:space="preserve">INT8 quantized model</w:t>
            </w:r>
          </w:p>
        </w:tc>
        <w:tc>
          <w:tcPr>
            <w:shd w:fill="FFFFFF" w:val="clear"/>
            <w:tcMar>
              <w:top w:type="dxa" w:w="80"/>
              <w:left w:type="dxa" w:w="100"/>
              <w:bottom w:type="dxa" w:w="80"/>
              <w:right w:type="dxa" w:w="100"/>
            </w:tcMar>
          </w:tcPr>
          <w:p>
            <w:r>
              <w:rPr>
                <w:rFonts w:ascii="Arial" w:cs="Arial" w:eastAsia="Arial" w:hAnsi="Arial"/>
                <w:sz w:val="20"/>
                <w:szCs w:val="20"/>
              </w:rPr>
              <w:t xml:space="preserve">Soil classification</w:t>
            </w:r>
          </w:p>
        </w:tc>
      </w:tr>
      <w:tr>
        <w:tc>
          <w:tcPr>
            <w:shd w:fill="EEF4FB" w:val="clear"/>
            <w:tcMar>
              <w:top w:type="dxa" w:w="80"/>
              <w:left w:type="dxa" w:w="100"/>
              <w:bottom w:type="dxa" w:w="80"/>
              <w:right w:type="dxa" w:w="100"/>
            </w:tcMar>
          </w:tcPr>
          <w:p>
            <w:r>
              <w:rPr>
                <w:rFonts w:ascii="Arial" w:cs="Arial" w:eastAsia="Arial" w:hAnsi="Arial"/>
                <w:sz w:val="20"/>
                <w:szCs w:val="20"/>
              </w:rPr>
              <w:t xml:space="preserve">ThingSpeak Channel</w:t>
            </w:r>
          </w:p>
        </w:tc>
        <w:tc>
          <w:tcPr>
            <w:shd w:fill="EEF4FB" w:val="clear"/>
            <w:tcMar>
              <w:top w:type="dxa" w:w="80"/>
              <w:left w:type="dxa" w:w="100"/>
              <w:bottom w:type="dxa" w:w="80"/>
              <w:right w:type="dxa" w:w="100"/>
            </w:tcMar>
          </w:tcPr>
          <w:p>
            <w:r>
              <w:rPr>
                <w:rFonts w:ascii="Arial" w:cs="Arial" w:eastAsia="Arial" w:hAnsi="Arial"/>
                <w:sz w:val="20"/>
                <w:szCs w:val="20"/>
              </w:rPr>
              <w:t xml:space="preserve">ID: 3250750</w:t>
            </w:r>
          </w:p>
        </w:tc>
        <w:tc>
          <w:tcPr>
            <w:shd w:fill="EEF4FB" w:val="clear"/>
            <w:tcMar>
              <w:top w:type="dxa" w:w="80"/>
              <w:left w:type="dxa" w:w="100"/>
              <w:bottom w:type="dxa" w:w="80"/>
              <w:right w:type="dxa" w:w="100"/>
            </w:tcMar>
          </w:tcPr>
          <w:p>
            <w:r>
              <w:rPr>
                <w:rFonts w:ascii="Arial" w:cs="Arial" w:eastAsia="Arial" w:hAnsi="Arial"/>
                <w:sz w:val="20"/>
                <w:szCs w:val="20"/>
              </w:rPr>
              <w:t xml:space="preserve">IoT cloud data source</w:t>
            </w:r>
          </w:p>
        </w:tc>
      </w:tr>
      <w:tr>
        <w:tc>
          <w:tcPr>
            <w:shd w:fill="FFFFFF" w:val="clear"/>
            <w:tcMar>
              <w:top w:type="dxa" w:w="80"/>
              <w:left w:type="dxa" w:w="100"/>
              <w:bottom w:type="dxa" w:w="80"/>
              <w:right w:type="dxa" w:w="100"/>
            </w:tcMar>
          </w:tcPr>
          <w:p>
            <w:r>
              <w:rPr>
                <w:rFonts w:ascii="Arial" w:cs="Arial" w:eastAsia="Arial" w:hAnsi="Arial"/>
                <w:sz w:val="20"/>
                <w:szCs w:val="20"/>
              </w:rPr>
              <w:t xml:space="preserve">Edge Device</w:t>
            </w:r>
          </w:p>
        </w:tc>
        <w:tc>
          <w:tcPr>
            <w:shd w:fill="FFFFFF" w:val="clear"/>
            <w:tcMar>
              <w:top w:type="dxa" w:w="80"/>
              <w:left w:type="dxa" w:w="100"/>
              <w:bottom w:type="dxa" w:w="80"/>
              <w:right w:type="dxa" w:w="100"/>
            </w:tcMar>
          </w:tcPr>
          <w:p>
            <w:r>
              <w:rPr>
                <w:rFonts w:ascii="Arial" w:cs="Arial" w:eastAsia="Arial" w:hAnsi="Arial"/>
                <w:sz w:val="20"/>
                <w:szCs w:val="20"/>
              </w:rPr>
              <w:t xml:space="preserve">Raspberry Pi / PC</w:t>
            </w:r>
          </w:p>
        </w:tc>
        <w:tc>
          <w:tcPr>
            <w:shd w:fill="FFFFFF" w:val="clear"/>
            <w:tcMar>
              <w:top w:type="dxa" w:w="80"/>
              <w:left w:type="dxa" w:w="100"/>
              <w:bottom w:type="dxa" w:w="80"/>
              <w:right w:type="dxa" w:w="100"/>
            </w:tcMar>
          </w:tcPr>
          <w:p>
            <w:r>
              <w:rPr>
                <w:rFonts w:ascii="Arial" w:cs="Arial" w:eastAsia="Arial" w:hAnsi="Arial"/>
                <w:sz w:val="20"/>
                <w:szCs w:val="20"/>
              </w:rPr>
              <w:t xml:space="preserve">Inference host</w:t>
            </w:r>
          </w:p>
        </w:tc>
      </w:tr>
    </w:tbl>
    <w:p>
      <w:r>
        <w:t xml:space="preserve"/>
      </w:r>
    </w:p>
    <w:p>
      <w:pPr>
        <w:pStyle w:val="Heading1"/>
      </w:pPr>
      <w:r>
        <w:t xml:space="preserve">4. Theory</w:t>
      </w:r>
    </w:p>
    <w:p>
      <w:pPr>
        <w:pStyle w:val="Heading2"/>
      </w:pPr>
      <w:r>
        <w:t xml:space="preserve">4.1 TinyML</w:t>
      </w:r>
    </w:p>
    <w:p>
      <w:pPr>
        <w:spacing w:after="150"/>
      </w:pPr>
      <w:r>
        <w:t xml:space="preserve">TinyML is the deployment of machine learning models on low-power edge devices. Running inference locally (on-device) avoids cloud round-trips, reducing latency and bandwidth usage — ideal for remote agricultural IoT applications.</w:t>
      </w:r>
    </w:p>
    <w:p>
      <w:pPr>
        <w:pStyle w:val="Heading2"/>
      </w:pPr>
      <w:r>
        <w:t xml:space="preserve">4.2 INT8 Model Quantization</w:t>
      </w:r>
    </w:p>
    <w:p>
      <w:pPr>
        <w:spacing w:after="150"/>
      </w:pPr>
      <w:r>
        <w:t xml:space="preserve">Quantization converts a model's float32 weights to 8-bit integers (INT8), reducing model size by ~4x and speeding up inference on embedded hardware. The float32 input must be manually converted using:</w:t>
      </w:r>
    </w:p>
    <w:p>
      <w:pPr>
        <w:shd w:fill="F2F2F2"/>
        <w:spacing w:after="0"/>
      </w:pPr>
      <w:r>
        <w:rPr>
          <w:rFonts w:ascii="Courier New" w:cs="Courier New" w:eastAsia="Courier New" w:hAnsi="Courier New"/>
          <w:sz w:val="18"/>
          <w:szCs w:val="18"/>
        </w:rPr>
        <w:t xml:space="preserve">  quantized_input  = round( float_input / input_scale + input_zero_point )</w:t>
      </w:r>
    </w:p>
    <w:p>
      <w:pPr>
        <w:shd w:fill="F2F2F2"/>
        <w:spacing w:after="0"/>
      </w:pPr>
      <w:r>
        <w:rPr>
          <w:rFonts w:ascii="Courier New" w:cs="Courier New" w:eastAsia="Courier New" w:hAnsi="Courier New"/>
          <w:sz w:val="18"/>
          <w:szCs w:val="18"/>
        </w:rPr>
        <w:t xml:space="preserve">  dequantized_output = ( int8_output - output_zero_point ) * output_scale</w:t>
      </w:r>
    </w:p>
    <w:p>
      <w:r>
        <w:t xml:space="preserve"/>
      </w:r>
    </w:p>
    <w:p>
      <w:pPr>
        <w:pStyle w:val="Heading2"/>
      </w:pPr>
      <w:r>
        <w:t xml:space="preserve">4.3 ThingSpeak &amp; Sliding Window</w:t>
      </w:r>
    </w:p>
    <w:p>
      <w:pPr>
        <w:spacing w:after="150"/>
      </w:pPr>
      <w:r>
        <w:t xml:space="preserve">ThingSpeak is an IoT analytics cloud platform. Sensor data is stored in 7 channel fields and retrieved via REST API. The model classifies a sliding window of 8 consecutive readings (shape [8, 7]) rather than a single sample, capturing temporal trends for more stable predictions.</w:t>
      </w:r>
    </w:p>
    <w:p>
      <w:pPr>
        <w:pStyle w:val="Heading2"/>
      </w:pPr>
      <w:r>
        <w:t xml:space="preserve">4.4 Data Normalization</w:t>
      </w:r>
    </w:p>
    <w:p>
      <w:pPr>
        <w:spacing w:after="150"/>
      </w:pPr>
      <w:r>
        <w:t xml:space="preserve">Each of the 7 features is divided by a fixed maximum to scale all values to the [0, 1] range, matching the preprocessing done during model training:</w:t>
      </w:r>
    </w:p>
    <w:p>
      <w:pPr>
        <w:shd w:fill="F2F2F2"/>
        <w:spacing w:after="0"/>
      </w:pPr>
      <w:r>
        <w:rPr>
          <w:rFonts w:ascii="Courier New" w:cs="Courier New" w:eastAsia="Courier New" w:hAnsi="Courier New"/>
          <w:sz w:val="18"/>
          <w:szCs w:val="18"/>
        </w:rPr>
        <w:t xml:space="preserve">  Temperature / 50.0  |  Moisture / 100.0  |  EC / 5.0  |  N / 300.0</w:t>
      </w:r>
    </w:p>
    <w:p>
      <w:pPr>
        <w:shd w:fill="F2F2F2"/>
        <w:spacing w:after="0"/>
      </w:pPr>
      <w:r>
        <w:rPr>
          <w:rFonts w:ascii="Courier New" w:cs="Courier New" w:eastAsia="Courier New" w:hAnsi="Courier New"/>
          <w:sz w:val="18"/>
          <w:szCs w:val="18"/>
        </w:rPr>
        <w:t xml:space="preserve">  Phosphorus / 200.0  |  Potassium / 400.0  |  pH / 14.0</w:t>
      </w:r>
    </w:p>
    <w:p>
      <w:r>
        <w:t xml:space="preserve"/>
      </w:r>
    </w:p>
    <w:p>
      <w:pPr>
        <w:pStyle w:val="Heading1"/>
      </w:pPr>
      <w:r>
        <w:t xml:space="preserve">5. Code Description</w:t>
      </w:r>
    </w:p>
    <w:p>
      <w:pPr>
        <w:pStyle w:val="Heading2"/>
      </w:pPr>
      <w:r>
        <w:t xml:space="preserve">Script 1 — tflite_runtime (Edge/Production)</w:t>
      </w:r>
    </w:p>
    <w:p>
      <w:pPr>
        <w:spacing w:after="150"/>
      </w:pPr>
      <w:r>
        <w:t xml:space="preserve">Uses the lightweight tflite_runtime package. Loads the INT8 TFLite model, detects quantization automatically via is_quantized = (input dtype == np.int8), fetches 8-sample windows from ThingSpeak, scales and quantizes the data, runs inference, dequantizes the output, and prints classification results every 15 seconds.</w:t>
      </w:r>
    </w:p>
    <w:p>
      <w:pPr>
        <w:pStyle w:val="Heading2"/>
      </w:pPr>
      <w:r>
        <w:t xml:space="preserve">Script 2 — Full TensorFlow (Desktop/Development)</w:t>
      </w:r>
    </w:p>
    <w:p>
      <w:pPr>
        <w:spacing w:after="150"/>
      </w:pPr>
      <w:r>
        <w:t xml:space="preserve">Drop-in replacement for Script 1, using tensorflow.lite (with a tf.lite fallback for version differences). Adds two improvements over Script 1:</w:t>
      </w:r>
    </w:p>
    <w:p>
      <w:pPr>
        <w:pStyle w:val="ListParagraph"/>
        <w:numPr>
          <w:ilvl w:val="0"/>
          <w:numId w:val="2"/>
        </w:numPr>
        <w:spacing w:after="80"/>
      </w:pPr>
      <w:r>
        <w:t xml:space="preserve">None-value guard: Skips any window where a sensor field is missing/null, preventing crashes on incomplete IoT data.</w:t>
      </w:r>
    </w:p>
    <w:p>
      <w:pPr>
        <w:pStyle w:val="ListParagraph"/>
        <w:numPr>
          <w:ilvl w:val="0"/>
          <w:numId w:val="2"/>
        </w:numPr>
        <w:spacing w:after="80"/>
      </w:pPr>
      <w:r>
        <w:t xml:space="preserve">TF version fallback: Handles API differences across TensorFlow versions using try/except AttributeError.</w:t>
      </w:r>
    </w:p>
    <w:p>
      <w:pPr>
        <w:spacing w:after="150"/>
      </w:pPr>
      <w:r>
        <w:t xml:space="preserve">The core inference logic (scaling, quantization, model invocation, dequantization) is identical in both scripts.</w:t>
      </w:r>
    </w:p>
    <w:p>
      <w:r>
        <w:t xml:space="preserve"/>
      </w:r>
    </w:p>
    <w:p>
      <w:pPr>
        <w:pStyle w:val="Heading1"/>
      </w:pPr>
      <w:r>
        <w:t xml:space="preserve">6.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shd w:fill="2E74B5" w:val="clear"/>
            <w:tcMar>
              <w:top w:type="dxa" w:w="80"/>
              <w:left w:type="dxa" w:w="100"/>
              <w:bottom w:type="dxa" w:w="80"/>
              <w:right w:type="dxa" w:w="100"/>
            </w:tcMar>
          </w:tcPr>
          <w:p>
            <w:r>
              <w:rPr>
                <w:rFonts w:ascii="Arial" w:cs="Arial" w:eastAsia="Arial" w:hAnsi="Arial"/>
                <w:b/>
                <w:bCs/>
                <w:color w:val="FFFFFF"/>
                <w:sz w:val="20"/>
                <w:szCs w:val="20"/>
              </w:rPr>
              <w:t xml:space="preserve">Parameter</w:t>
            </w:r>
          </w:p>
        </w:tc>
        <w:tc>
          <w:tcPr>
            <w:shd w:fill="2E74B5" w:val="clear"/>
            <w:tcMar>
              <w:top w:type="dxa" w:w="80"/>
              <w:left w:type="dxa" w:w="100"/>
              <w:bottom w:type="dxa" w:w="80"/>
              <w:right w:type="dxa" w:w="100"/>
            </w:tcMar>
          </w:tcPr>
          <w:p>
            <w:r>
              <w:rPr>
                <w:rFonts w:ascii="Arial" w:cs="Arial" w:eastAsia="Arial" w:hAnsi="Arial"/>
                <w:b/>
                <w:bCs/>
                <w:color w:val="FFFFFF"/>
                <w:sz w:val="20"/>
                <w:szCs w:val="20"/>
              </w:rPr>
              <w:t xml:space="preserve">Observed Value</w:t>
            </w:r>
          </w:p>
        </w:tc>
      </w:tr>
      <w:tr>
        <w:tc>
          <w:tcPr>
            <w:shd w:fill="EEF4FB" w:val="clear"/>
            <w:tcMar>
              <w:top w:type="dxa" w:w="80"/>
              <w:left w:type="dxa" w:w="100"/>
              <w:bottom w:type="dxa" w:w="80"/>
              <w:right w:type="dxa" w:w="100"/>
            </w:tcMar>
          </w:tcPr>
          <w:p>
            <w:r>
              <w:rPr>
                <w:rFonts w:ascii="Arial" w:cs="Arial" w:eastAsia="Arial" w:hAnsi="Arial"/>
                <w:sz w:val="20"/>
                <w:szCs w:val="20"/>
              </w:rPr>
              <w:t xml:space="preserve">Model Input Shape</w:t>
            </w:r>
          </w:p>
        </w:tc>
        <w:tc>
          <w:tcPr>
            <w:shd w:fill="EEF4FB" w:val="clear"/>
            <w:tcMar>
              <w:top w:type="dxa" w:w="80"/>
              <w:left w:type="dxa" w:w="100"/>
              <w:bottom w:type="dxa" w:w="80"/>
              <w:right w:type="dxa" w:w="100"/>
            </w:tcMar>
          </w:tcPr>
          <w:p>
            <w:r>
              <w:rPr>
                <w:rFonts w:ascii="Arial" w:cs="Arial" w:eastAsia="Arial" w:hAnsi="Arial"/>
                <w:sz w:val="20"/>
                <w:szCs w:val="20"/>
              </w:rPr>
              <w:t xml:space="preserve">[1, 8, 7]  (batch=1, window=8, features=7)</w:t>
            </w:r>
          </w:p>
        </w:tc>
      </w:tr>
      <w:tr>
        <w:tc>
          <w:tcPr>
            <w:shd w:fill="FFFFFF" w:val="clear"/>
            <w:tcMar>
              <w:top w:type="dxa" w:w="80"/>
              <w:left w:type="dxa" w:w="100"/>
              <w:bottom w:type="dxa" w:w="80"/>
              <w:right w:type="dxa" w:w="100"/>
            </w:tcMar>
          </w:tcPr>
          <w:p>
            <w:r>
              <w:rPr>
                <w:rFonts w:ascii="Arial" w:cs="Arial" w:eastAsia="Arial" w:hAnsi="Arial"/>
                <w:sz w:val="20"/>
                <w:szCs w:val="20"/>
              </w:rPr>
              <w:t xml:space="preserve">is_quantized</w:t>
            </w:r>
          </w:p>
        </w:tc>
        <w:tc>
          <w:tcPr>
            <w:shd w:fill="FFFFFF" w:val="clear"/>
            <w:tcMar>
              <w:top w:type="dxa" w:w="80"/>
              <w:left w:type="dxa" w:w="100"/>
              <w:bottom w:type="dxa" w:w="80"/>
              <w:right w:type="dxa" w:w="100"/>
            </w:tcMar>
          </w:tcPr>
          <w:p>
            <w:r>
              <w:rPr>
                <w:rFonts w:ascii="Arial" w:cs="Arial" w:eastAsia="Arial" w:hAnsi="Arial"/>
                <w:sz w:val="20"/>
                <w:szCs w:val="20"/>
              </w:rPr>
              <w:t xml:space="preserve">True  (INT8 dtype confirmed)</w:t>
            </w:r>
          </w:p>
        </w:tc>
      </w:tr>
      <w:tr>
        <w:tc>
          <w:tcPr>
            <w:shd w:fill="EEF4FB" w:val="clear"/>
            <w:tcMar>
              <w:top w:type="dxa" w:w="80"/>
              <w:left w:type="dxa" w:w="100"/>
              <w:bottom w:type="dxa" w:w="80"/>
              <w:right w:type="dxa" w:w="100"/>
            </w:tcMar>
          </w:tcPr>
          <w:p>
            <w:r>
              <w:rPr>
                <w:rFonts w:ascii="Arial" w:cs="Arial" w:eastAsia="Arial" w:hAnsi="Arial"/>
                <w:sz w:val="20"/>
                <w:szCs w:val="20"/>
              </w:rPr>
              <w:t xml:space="preserve">Poll Interval</w:t>
            </w:r>
          </w:p>
        </w:tc>
        <w:tc>
          <w:tcPr>
            <w:shd w:fill="EEF4FB" w:val="clear"/>
            <w:tcMar>
              <w:top w:type="dxa" w:w="80"/>
              <w:left w:type="dxa" w:w="100"/>
              <w:bottom w:type="dxa" w:w="80"/>
              <w:right w:type="dxa" w:w="100"/>
            </w:tcMar>
          </w:tcPr>
          <w:p>
            <w:r>
              <w:rPr>
                <w:rFonts w:ascii="Arial" w:cs="Arial" w:eastAsia="Arial" w:hAnsi="Arial"/>
                <w:sz w:val="20"/>
                <w:szCs w:val="20"/>
              </w:rPr>
              <w:t xml:space="preserve">Every 15 seconds (ThingSpeak rate limit)</w:t>
            </w:r>
          </w:p>
        </w:tc>
      </w:tr>
      <w:tr>
        <w:tc>
          <w:tcPr>
            <w:shd w:fill="FFFFFF" w:val="clear"/>
            <w:tcMar>
              <w:top w:type="dxa" w:w="80"/>
              <w:left w:type="dxa" w:w="100"/>
              <w:bottom w:type="dxa" w:w="80"/>
              <w:right w:type="dxa" w:w="100"/>
            </w:tcMar>
          </w:tcPr>
          <w:p>
            <w:r>
              <w:rPr>
                <w:rFonts w:ascii="Arial" w:cs="Arial" w:eastAsia="Arial" w:hAnsi="Arial"/>
                <w:sz w:val="20"/>
                <w:szCs w:val="20"/>
              </w:rPr>
              <w:t xml:space="preserve">Inference Time (RPi 4)</w:t>
            </w:r>
          </w:p>
        </w:tc>
        <w:tc>
          <w:tcPr>
            <w:shd w:fill="FFFFFF" w:val="clear"/>
            <w:tcMar>
              <w:top w:type="dxa" w:w="80"/>
              <w:left w:type="dxa" w:w="100"/>
              <w:bottom w:type="dxa" w:w="80"/>
              <w:right w:type="dxa" w:w="100"/>
            </w:tcMar>
          </w:tcPr>
          <w:p>
            <w:r>
              <w:rPr>
                <w:rFonts w:ascii="Arial" w:cs="Arial" w:eastAsia="Arial" w:hAnsi="Arial"/>
                <w:sz w:val="20"/>
                <w:szCs w:val="20"/>
              </w:rPr>
              <w:t xml:space="preserve">~2–8 ms per window</w:t>
            </w:r>
          </w:p>
        </w:tc>
      </w:tr>
      <w:tr>
        <w:tc>
          <w:tcPr>
            <w:shd w:fill="EEF4FB" w:val="clear"/>
            <w:tcMar>
              <w:top w:type="dxa" w:w="80"/>
              <w:left w:type="dxa" w:w="100"/>
              <w:bottom w:type="dxa" w:w="80"/>
              <w:right w:type="dxa" w:w="100"/>
            </w:tcMar>
          </w:tcPr>
          <w:p>
            <w:r>
              <w:rPr>
                <w:rFonts w:ascii="Arial" w:cs="Arial" w:eastAsia="Arial" w:hAnsi="Arial"/>
                <w:sz w:val="20"/>
                <w:szCs w:val="20"/>
              </w:rPr>
              <w:t xml:space="preserve">Output</w:t>
            </w:r>
          </w:p>
        </w:tc>
        <w:tc>
          <w:tcPr>
            <w:shd w:fill="EEF4FB" w:val="clear"/>
            <w:tcMar>
              <w:top w:type="dxa" w:w="80"/>
              <w:left w:type="dxa" w:w="100"/>
              <w:bottom w:type="dxa" w:w="80"/>
              <w:right w:type="dxa" w:w="100"/>
            </w:tcMar>
          </w:tcPr>
          <w:p>
            <w:r>
              <w:rPr>
                <w:rFonts w:ascii="Arial" w:cs="Arial" w:eastAsia="Arial" w:hAnsi="Arial"/>
                <w:sz w:val="20"/>
                <w:szCs w:val="20"/>
              </w:rPr>
              <w:t xml:space="preserve">2-element float32: [P(BAD), P(GOOD)]</w:t>
            </w:r>
          </w:p>
        </w:tc>
      </w:tr>
      <w:tr>
        <w:tc>
          <w:tcPr>
            <w:shd w:fill="FFFFFF" w:val="clear"/>
            <w:tcMar>
              <w:top w:type="dxa" w:w="80"/>
              <w:left w:type="dxa" w:w="100"/>
              <w:bottom w:type="dxa" w:w="80"/>
              <w:right w:type="dxa" w:w="100"/>
            </w:tcMar>
          </w:tcPr>
          <w:p>
            <w:r>
              <w:rPr>
                <w:rFonts w:ascii="Arial" w:cs="Arial" w:eastAsia="Arial" w:hAnsi="Arial"/>
                <w:sz w:val="20"/>
                <w:szCs w:val="20"/>
              </w:rPr>
              <w:t xml:space="preserve">Good Soil (sample)</w:t>
            </w:r>
          </w:p>
        </w:tc>
        <w:tc>
          <w:tcPr>
            <w:shd w:fill="FFFFFF" w:val="clear"/>
            <w:tcMar>
              <w:top w:type="dxa" w:w="80"/>
              <w:left w:type="dxa" w:w="100"/>
              <w:bottom w:type="dxa" w:w="80"/>
              <w:right w:type="dxa" w:w="100"/>
            </w:tcMar>
          </w:tcPr>
          <w:p>
            <w:r>
              <w:rPr>
                <w:rFonts w:ascii="Arial" w:cs="Arial" w:eastAsia="Arial" w:hAnsi="Arial"/>
                <w:sz w:val="20"/>
                <w:szCs w:val="20"/>
              </w:rPr>
              <w:t xml:space="preserve">Prob Good: 0.8921  |  Prob Bad: 0.1079  → GOOD</w:t>
            </w:r>
          </w:p>
        </w:tc>
      </w:tr>
      <w:tr>
        <w:tc>
          <w:tcPr>
            <w:shd w:fill="EEF4FB" w:val="clear"/>
            <w:tcMar>
              <w:top w:type="dxa" w:w="80"/>
              <w:left w:type="dxa" w:w="100"/>
              <w:bottom w:type="dxa" w:w="80"/>
              <w:right w:type="dxa" w:w="100"/>
            </w:tcMar>
          </w:tcPr>
          <w:p>
            <w:r>
              <w:rPr>
                <w:rFonts w:ascii="Arial" w:cs="Arial" w:eastAsia="Arial" w:hAnsi="Arial"/>
                <w:sz w:val="20"/>
                <w:szCs w:val="20"/>
              </w:rPr>
              <w:t xml:space="preserve">Bad Soil (sample)</w:t>
            </w:r>
          </w:p>
        </w:tc>
        <w:tc>
          <w:tcPr>
            <w:shd w:fill="EEF4FB" w:val="clear"/>
            <w:tcMar>
              <w:top w:type="dxa" w:w="80"/>
              <w:left w:type="dxa" w:w="100"/>
              <w:bottom w:type="dxa" w:w="80"/>
              <w:right w:type="dxa" w:w="100"/>
            </w:tcMar>
          </w:tcPr>
          <w:p>
            <w:r>
              <w:rPr>
                <w:rFonts w:ascii="Arial" w:cs="Arial" w:eastAsia="Arial" w:hAnsi="Arial"/>
                <w:sz w:val="20"/>
                <w:szCs w:val="20"/>
              </w:rPr>
              <w:t xml:space="preserve">Prob Good: 0.2340  |  Prob Bad: 0.7660  → BAD</w:t>
            </w:r>
          </w:p>
        </w:tc>
      </w:tr>
    </w:tbl>
    <w:p>
      <w:r>
        <w:t xml:space="preserve"/>
      </w:r>
    </w:p>
    <w:p>
      <w:pPr>
        <w:pStyle w:val="Heading1"/>
      </w:pPr>
      <w:r>
        <w:t xml:space="preserve">7. Results</w:t>
      </w:r>
    </w:p>
    <w:p>
      <w:pPr>
        <w:pStyle w:val="ListParagraph"/>
        <w:numPr>
          <w:ilvl w:val="0"/>
          <w:numId w:val="2"/>
        </w:numPr>
        <w:spacing w:after="80"/>
      </w:pPr>
      <w:r>
        <w:t xml:space="preserve">TFLite INT8 model loaded and quantization parameters detected correctly at runtime.</w:t>
      </w:r>
    </w:p>
    <w:p>
      <w:pPr>
        <w:pStyle w:val="ListParagraph"/>
        <w:numPr>
          <w:ilvl w:val="0"/>
          <w:numId w:val="2"/>
        </w:numPr>
        <w:spacing w:after="80"/>
      </w:pPr>
      <w:r>
        <w:t xml:space="preserve">Live sensor data fetched from ThingSpeak and assembled into valid [8,7] windows.</w:t>
      </w:r>
    </w:p>
    <w:p>
      <w:pPr>
        <w:pStyle w:val="ListParagraph"/>
        <w:numPr>
          <w:ilvl w:val="0"/>
          <w:numId w:val="2"/>
        </w:numPr>
        <w:spacing w:after="80"/>
      </w:pPr>
      <w:r>
        <w:t xml:space="preserve">All 7 features normalized correctly before inference.</w:t>
      </w:r>
    </w:p>
    <w:p>
      <w:pPr>
        <w:pStyle w:val="ListParagraph"/>
        <w:numPr>
          <w:ilvl w:val="0"/>
          <w:numId w:val="2"/>
        </w:numPr>
        <w:spacing w:after="80"/>
      </w:pPr>
      <w:r>
        <w:t xml:space="preserve">INT8 quantization/dequantization pipeline executed accurately.</w:t>
      </w:r>
    </w:p>
    <w:p>
      <w:pPr>
        <w:pStyle w:val="ListParagraph"/>
        <w:numPr>
          <w:ilvl w:val="0"/>
          <w:numId w:val="2"/>
        </w:numPr>
        <w:spacing w:after="80"/>
      </w:pPr>
      <w:r>
        <w:t xml:space="preserve">Soil classification output two valid softmax probabilities summing to ~1.0.</w:t>
      </w:r>
    </w:p>
    <w:p>
      <w:pPr>
        <w:pStyle w:val="ListParagraph"/>
        <w:numPr>
          <w:ilvl w:val="0"/>
          <w:numId w:val="2"/>
        </w:numPr>
        <w:spacing w:after="80"/>
      </w:pPr>
      <w:r>
        <w:t xml:space="preserve">Script 2 handled missing sensor values gracefully without crashing.</w:t>
      </w:r>
    </w:p>
    <w:p>
      <w:r>
        <w:t xml:space="preserve"/>
      </w:r>
    </w:p>
    <w:p>
      <w:pPr>
        <w:pStyle w:val="Heading1"/>
      </w:pPr>
      <w:r>
        <w:t xml:space="preserve">8. Conclusion</w:t>
      </w:r>
    </w:p>
    <w:p>
      <w:pPr>
        <w:spacing w:after="150"/>
      </w:pPr>
      <w:r>
        <w:t xml:space="preserve">The experiment successfully demonstrated a complete IoT edge AI pipeline: live soil data collection via ThingSpeak, on-device INT8 TFLite inference, and real-time GOOD/BAD soil classification. The dual-script approach (tflite_runtime for production, full TF for development) shows good software engineering practice. INT8 quantization made the model suitable for deployment on resource-constrained edge devices, enabling smart agriculture monitoring without reliance on cloud AI services.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b/>
      <w:bCs/>
      <w:color w:val="2E74B5"/>
      <w:sz w:val="30"/>
      <w:szCs w:val="30"/>
    </w:rPr>
  </w:style>
  <w:style w:type="paragraph" w:styleId="Heading2">
    <w:name w:val="Heading 2"/>
    <w:basedOn w:val="Normal"/>
    <w:next w:val="Normal"/>
    <w:pPr>
      <w:spacing w:after="100" w:before="200"/>
      <w:outlineLvl w:val="1"/>
    </w:pPr>
    <w:rP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2026-04-20T06:10:50.793Z</dcterms:created>
  <dcterms:modified xsi:type="dcterms:W3CDTF">2026-04-20T06:10:50.793Z</dcterms:modified>
</cp:coreProperties>
</file>

<file path=docProps/custom.xml><?xml version="1.0" encoding="utf-8"?>
<Properties xmlns="http://schemas.openxmlformats.org/officeDocument/2006/custom-properties" xmlns:vt="http://schemas.openxmlformats.org/officeDocument/2006/docPropsVTypes"/>
</file>